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版本号：ZHCG-DXXQ-2026060220260706001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西电片区地块实施详细规划技术审查服务项目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ZHCG-DXXQ-20260602</w:t>
      </w:r>
      <w:r>
        <w:br/>
      </w:r>
      <w:r>
        <w:br/>
      </w:r>
      <w:r>
        <w:br/>
      </w:r>
    </w:p>
    <w:p>
      <w:pPr>
        <w:pStyle w:val="null3"/>
        <w:jc w:val="center"/>
        <w:outlineLvl w:val="2"/>
      </w:pPr>
      <w:r>
        <w:rPr>
          <w:rFonts w:ascii="仿宋_GB2312" w:hAnsi="仿宋_GB2312" w:cs="仿宋_GB2312" w:eastAsia="仿宋_GB2312"/>
          <w:sz w:val="28"/>
          <w:b/>
        </w:rPr>
        <w:t>西安大兴新区开发建设管理委员会</w:t>
      </w:r>
    </w:p>
    <w:p>
      <w:pPr>
        <w:pStyle w:val="null3"/>
        <w:jc w:val="center"/>
        <w:outlineLvl w:val="2"/>
      </w:pPr>
      <w:r>
        <w:rPr>
          <w:rFonts w:ascii="仿宋_GB2312" w:hAnsi="仿宋_GB2312" w:cs="仿宋_GB2312" w:eastAsia="仿宋_GB2312"/>
          <w:sz w:val="28"/>
          <w:b/>
        </w:rPr>
        <w:t>正和丽景项目管理有限公司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西安大兴新区开发建设管理委员会</w:t>
      </w:r>
      <w:r>
        <w:rPr>
          <w:rFonts w:ascii="仿宋_GB2312" w:hAnsi="仿宋_GB2312" w:cs="仿宋_GB2312" w:eastAsia="仿宋_GB2312"/>
        </w:rPr>
        <w:t>委托，拟对</w:t>
      </w:r>
      <w:r>
        <w:rPr>
          <w:rFonts w:ascii="仿宋_GB2312" w:hAnsi="仿宋_GB2312" w:cs="仿宋_GB2312" w:eastAsia="仿宋_GB2312"/>
        </w:rPr>
        <w:t>西电片区地块实施详细规划技术审查服务项目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ZHCG-DXXQ-20260602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西电片区地块实施详细规划技术审查服务项目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本项目为做好西电片区2025年-2026年西电片区土地供应工作，需对西电片区24宗土地开展地块实施详细规划技术审查工作。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采购包1（西电片区地块实施详细规划技术审查服务项目）：属于专门面向中小企业采购。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商业信誉和财会制度：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供应商提供响应文件提交截止之日前近六个月内至少一个月的纳税证明或完税证明（增值税，印花税，城市维护建设费，企业所得税等一种或多种税种），依法免税的单位应提供相关证明材料；</w:t>
      </w:r>
    </w:p>
    <w:p>
      <w:pPr>
        <w:pStyle w:val="null3"/>
      </w:pPr>
      <w:r>
        <w:rPr>
          <w:rFonts w:ascii="仿宋_GB2312" w:hAnsi="仿宋_GB2312" w:cs="仿宋_GB2312" w:eastAsia="仿宋_GB2312"/>
        </w:rPr>
        <w:t>4、社会保障资金缴纳证明：供应商提供响应文件提交截止之日前近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5、履行合同的能力：供应商提供具有履行本合同所必需的设备和专业技术能力的声明；</w:t>
      </w:r>
    </w:p>
    <w:p>
      <w:pPr>
        <w:pStyle w:val="null3"/>
      </w:pPr>
      <w:r>
        <w:rPr>
          <w:rFonts w:ascii="仿宋_GB2312" w:hAnsi="仿宋_GB2312" w:cs="仿宋_GB2312" w:eastAsia="仿宋_GB2312"/>
        </w:rPr>
        <w:t>6、前三年内无重大违法记录的声明：供应商出具参加政府采购活动前3年内在经营活动中没有重大违法记录的书面声明；</w:t>
      </w:r>
    </w:p>
    <w:p>
      <w:pPr>
        <w:pStyle w:val="null3"/>
      </w:pPr>
      <w:r>
        <w:rPr>
          <w:rFonts w:ascii="仿宋_GB2312" w:hAnsi="仿宋_GB2312" w:cs="仿宋_GB2312" w:eastAsia="仿宋_GB2312"/>
        </w:rPr>
        <w:t>7、法定代表人授权书：供应商须提供法定代表人授权书及被授权人在本公司缴纳的近3个月至少一个月的社保证明（法定代表人或负责人直接参与磋商，须提交法定代表人证明书）；</w:t>
      </w:r>
    </w:p>
    <w:p>
      <w:pPr>
        <w:pStyle w:val="null3"/>
      </w:pPr>
      <w:r>
        <w:rPr>
          <w:rFonts w:ascii="仿宋_GB2312" w:hAnsi="仿宋_GB2312" w:cs="仿宋_GB2312" w:eastAsia="仿宋_GB2312"/>
        </w:rPr>
        <w:t>8、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9、资质证书：供应商须具备行政主管部门颁发的有效的城乡规划（国土空间规划）编制乙级（含）以上资质。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西安大兴新区开发建设管理委员会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刘琦玉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029-88103061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陕西省西安市高新区唐延路35号旺座现代住所城B座1103/04室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何智颖、李冲、高兴、亢辉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029-88212028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代理服务费收费标准：依据发改价格〔2015〕299号文件，代理费以成交金额为基准，按成交金额的1.40% 收取。经双方协商，由成交供应商支付招标代理服务费，发放成交通知书时一次性付清。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西安大兴新区开发建设管理委员会</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西安大兴新区开发建设管理委员会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西安大兴新区开发建设管理委员会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正和丽景项目管理有限公司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根据西安市人民政府办公厅印发的《关于西安市国土空间城镇开发边界内详细规划编制审 批管理实施监督暂行规定的通知》（市政办发〔2024〕36 号）、《西安市城镇开发边界内详 细规划编制审批管理和实施操作流程（暂行）》的通知（市资源发〔2025〕37 号）、《关于 做好近期详细规划编制审批管理及实施监督相关工作的通知》（市资源发〔2025〕38 号）。 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联系人：何智颖、李冲</w:t>
      </w:r>
    </w:p>
    <w:p>
      <w:pPr>
        <w:pStyle w:val="null3"/>
      </w:pPr>
      <w:r>
        <w:rPr>
          <w:rFonts w:ascii="仿宋_GB2312" w:hAnsi="仿宋_GB2312" w:cs="仿宋_GB2312" w:eastAsia="仿宋_GB2312"/>
        </w:rPr>
        <w:t>联系电话：029-88212028</w:t>
      </w:r>
    </w:p>
    <w:p>
      <w:pPr>
        <w:pStyle w:val="null3"/>
      </w:pPr>
      <w:r>
        <w:rPr>
          <w:rFonts w:ascii="仿宋_GB2312" w:hAnsi="仿宋_GB2312" w:cs="仿宋_GB2312" w:eastAsia="仿宋_GB2312"/>
        </w:rPr>
        <w:t>地址：陕西省西安市雁塔区唐延路35号旺座现代城B座1104室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本项目为做好西电片区2025年-2026年西电片区土地供应工作，需对西电片区24宗土地开展地块实施详细规划技术审查工作。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321,300.00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西电片区地块实施详细规划技术审查服务项目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标的名称：西电片区地块实施详细规划技术审查服务项目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按照国家、地方行业技术标准、管理规定对规划成果开展技术审查，主要包括成果规范性审查、上位规划符合性、技术标准符合性审查、合理性审查等内容。</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（一）成果规范性审查要求。审查规划成果的完整性、规范性、一致性。</w:t>
            </w:r>
          </w:p>
          <w:p>
            <w:pPr>
              <w:pStyle w:val="null3"/>
            </w:pPr>
            <w:r>
              <w:rPr>
                <w:rFonts w:ascii="仿宋_GB2312" w:hAnsi="仿宋_GB2312" w:cs="仿宋_GB2312" w:eastAsia="仿宋_GB2312"/>
              </w:rPr>
              <w:t>（二）上位规划符合性审查要求。审查上位规划确定的各类控制线、用地布局、约束性指标、重大设施等传导落实情况。</w:t>
            </w:r>
          </w:p>
          <w:p>
            <w:pPr>
              <w:pStyle w:val="null3"/>
            </w:pPr>
            <w:r>
              <w:rPr>
                <w:rFonts w:ascii="仿宋_GB2312" w:hAnsi="仿宋_GB2312" w:cs="仿宋_GB2312" w:eastAsia="仿宋_GB2312"/>
              </w:rPr>
              <w:t>（三）技术标准符合性审查要求。审查经济技术指标、地块控制指标、配套设施、交通组织、建筑控制线、城市设计等内容是否符合相关技术标准。</w:t>
            </w:r>
          </w:p>
          <w:p>
            <w:pPr>
              <w:pStyle w:val="null3"/>
            </w:pPr>
            <w:r>
              <w:rPr>
                <w:rFonts w:ascii="仿宋_GB2312" w:hAnsi="仿宋_GB2312" w:cs="仿宋_GB2312" w:eastAsia="仿宋_GB2312"/>
              </w:rPr>
              <w:t>（四）合理性审查要求。审查用地布局合理性、实施合理性、建设意向方案合理性等内容。</w:t>
            </w:r>
          </w:p>
          <w:p>
            <w:pPr>
              <w:pStyle w:val="null3"/>
            </w:pPr>
            <w:r>
              <w:rPr>
                <w:rFonts w:ascii="仿宋_GB2312" w:hAnsi="仿宋_GB2312" w:cs="仿宋_GB2312" w:eastAsia="仿宋_GB2312"/>
              </w:rPr>
              <w:t>（五）结合行业要求及甲方要求开展的其他审查。</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（一）成果交付要求。地块实施详细规划审查完成出具《地块实施详细规划成果技术审查报告》。</w:t>
            </w:r>
          </w:p>
          <w:p>
            <w:pPr>
              <w:pStyle w:val="null3"/>
            </w:pPr>
            <w:r>
              <w:rPr>
                <w:rFonts w:ascii="仿宋_GB2312" w:hAnsi="仿宋_GB2312" w:cs="仿宋_GB2312" w:eastAsia="仿宋_GB2312"/>
              </w:rPr>
              <w:t>（二）审查时效要求。地块实施详细规划成果技术审查意见3日内出具，特殊事项当日出具。</w:t>
            </w:r>
          </w:p>
          <w:p>
            <w:pPr>
              <w:pStyle w:val="null3"/>
            </w:pPr>
            <w:r>
              <w:rPr>
                <w:rFonts w:ascii="仿宋_GB2312" w:hAnsi="仿宋_GB2312" w:cs="仿宋_GB2312" w:eastAsia="仿宋_GB2312"/>
              </w:rPr>
              <w:t>（三）人员要求。配置具有规划、建筑、地理信息、开发（系统、软件）专业背景技术团队的人员，分别承担规划成果审查（规划、建筑学专业）、数据质检（地理信息专业数据处理工程师）、软件（系统）服务（软件工程、计算机专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拟投入人员须满足完成采购内容要求的所有事项，相关人员职称证书、资格证书需提供网络查验截图。</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投入设备须满足完成采购内容要求的所有事项。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1、报价含完成项目所需的税费、人工费、交通费、专家费、资料费等所有费用。 2、因资金拨款审批程序等原因，具体支付进度需结合采购人资金到账情况而定，供应商需预见且接受该情况。合同其他条款根据采购文件、响应文件及合同约定执行。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合同签订至所有地块服务完成。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符合国家、省、市及地方现行有关规定及行业规范标准，满足采购人要求。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预付款，本合同签订后 ，达到付款条件起30个工作日内，支付合同总金额的40.0%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进度款，供应商完成详细规划技术审查，完成报告及相关成果资料，工作成果经甲方验收合格后，按进度完成80%工作量，达到付款条件起30个工作日内，支付合同总金额的40.0%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进度款，应商完成详细规划技术审查，完成报告及相关成果资料，工作成果经甲方验收合格后，按进度完成100%工作量，达到付款条件起30个工作日内，支付合同总金额的20.0%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1、报价含完成任务所需的税费、设计费、编制费、人工费、交通费、专家费、租车费、资料费等所有费用。2、各供应商所有分项报价（与最后磋商报价比例一致）同比例下浮。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商业信誉和财会制度</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供应商提供响应文件提交截止之日前近六个月内至少一个月的纳税证明或完税证明（增值税，印花税，城市维护建设费，企业所得税等一种或多种税种），依法免税的单位应提供相关证明材料；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供应商提供响应文件提交截止之日前近六个月内至少一个月的社会保障资金缴存单据或社保机构开具的社会保险参保缴费情况证明，依法不需要缴纳社会保障资金的单位应提供相关证明材料；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履行合同的能力</w:t>
            </w:r>
          </w:p>
        </w:tc>
        <w:tc>
          <w:tcPr>
            <w:tcW w:type="dxa" w:w="3322"/>
          </w:tcPr>
          <w:p>
            <w:pPr>
              <w:pStyle w:val="null3"/>
            </w:pPr>
            <w:r>
              <w:rPr>
                <w:rFonts w:ascii="仿宋_GB2312" w:hAnsi="仿宋_GB2312" w:cs="仿宋_GB2312" w:eastAsia="仿宋_GB2312"/>
              </w:rPr>
              <w:t>供应商提供具有履行本合同所必需的设备和专业技术能力的声明；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供应商出具参加政府采购活动前3年内在经营活动中没有重大违法记录的书面声明；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供应商须提供法定代表人授权书及被授权人在本公司缴纳的近3个月至少一个月的社保证明（法定代表人或负责人直接参与磋商，须提交法定代表人证明书）；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供应商须具备行政主管部门颁发的有效的城乡规划（国土空间规划）编制乙级（含）以上资质。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2.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 签字齐全并加盖公章</w:t>
            </w:r>
          </w:p>
        </w:tc>
        <w:tc>
          <w:tcPr>
            <w:tcW w:type="dxa" w:w="1661"/>
          </w:tcPr>
          <w:p>
            <w:pPr>
              <w:pStyle w:val="null3"/>
            </w:pPr>
            <w:r>
              <w:rPr>
                <w:rFonts w:ascii="仿宋_GB2312" w:hAnsi="仿宋_GB2312" w:cs="仿宋_GB2312" w:eastAsia="仿宋_GB2312"/>
              </w:rPr>
              <w:t>响应文件封面 商务应答表 服务内容及服务要求应答表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评审内容包括：①项目理解②需求分析③项目重难点分析 每一项内容全面详细、阐述条理清晰得2分，满分6分，每项存在一处缺陷，扣0.5分，扣完为止。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评审内容包括：①总体工作方案②项目实施计划③组织实施方案。 每一项内容全面详细、阐述条理清晰得3分，满分9分，每项存在一处缺陷，扣0.5分，扣完为止。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项目关键性技术、重点难点的解决方案</w:t>
            </w:r>
          </w:p>
        </w:tc>
        <w:tc>
          <w:tcPr>
            <w:tcW w:type="dxa" w:w="2492"/>
          </w:tcPr>
          <w:p>
            <w:pPr>
              <w:pStyle w:val="null3"/>
            </w:pPr>
            <w:r>
              <w:rPr>
                <w:rFonts w:ascii="仿宋_GB2312" w:hAnsi="仿宋_GB2312" w:cs="仿宋_GB2312" w:eastAsia="仿宋_GB2312"/>
              </w:rPr>
              <w:t>评审内容包括：①对规划技术审查实施重、难点的认识、理解及分析；②针对规划技术审查实施重、难点提出工作思路；③针对规划技术审查实施重、难点拟定的解决方案。 每一项内容全面详细、阐述条理清晰得2分，满分6分，每项存在一处缺陷，扣0.5分，扣完为止。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评审内容包括：①质量保障体系②质量保障措施③针对本项目的特色服务说明，每一项内容全面详细、阐述条理清晰得2分，满分6分，每项存在一处缺陷，扣0.5分，扣完为止。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智能化审查实施方案</w:t>
            </w:r>
          </w:p>
        </w:tc>
        <w:tc>
          <w:tcPr>
            <w:tcW w:type="dxa" w:w="2492"/>
          </w:tcPr>
          <w:p>
            <w:pPr>
              <w:pStyle w:val="null3"/>
            </w:pPr>
            <w:r>
              <w:rPr>
                <w:rFonts w:ascii="仿宋_GB2312" w:hAnsi="仿宋_GB2312" w:cs="仿宋_GB2312" w:eastAsia="仿宋_GB2312"/>
              </w:rPr>
              <w:t>评审内容包括：①智能化审查目标及原则②智能化审查流程③人机协作机制④系统互联互通，每一项内容全面详细、阐述条理清晰得2分，满分8分，每项存在一处缺陷，扣0.5分，扣完为止。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后续技术服务方案及措施</w:t>
            </w:r>
          </w:p>
        </w:tc>
        <w:tc>
          <w:tcPr>
            <w:tcW w:type="dxa" w:w="2492"/>
          </w:tcPr>
          <w:p>
            <w:pPr>
              <w:pStyle w:val="null3"/>
            </w:pPr>
            <w:r>
              <w:rPr>
                <w:rFonts w:ascii="仿宋_GB2312" w:hAnsi="仿宋_GB2312" w:cs="仿宋_GB2312" w:eastAsia="仿宋_GB2312"/>
              </w:rPr>
              <w:t>评审内容包括：①售后服务方案②服务承诺： 每一项内容全面详细、阐述条理清晰得2.5分，满分5分，每项存在一处缺陷，扣0.5分，扣完为止。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投标人具有 ISO9001 质量管理体系认证证书(覆盖的产品和服务须包含计算机软件开发、信息技术服务等)、ISO14001 环境管理体系认证证书(须适用于计算机软件开发、信息技术服务及相关管理活动等)ISO45001 职业健康安全管理体系认证证书(须适用于计算机软件开发、信息技术服务及相关管理活动等)，具有任意一个得2分，最高得6分。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1.拟定项目总负责人具备规划类中级职称的得2分，高级职称的得4分；2.有国家注册城乡规划师职业资格的，得2分；满分6分（项目总负责人与数据负责人不为同一人）。 （评审依据：提供项目人员职称证书、资格证书复印件及网络查验截图，无提供不得分；提供的人员须在本单位工作，以提供开标前6个月内至少一个月社保证明为准，否则此项不得分。）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数据专项负责人</w:t>
            </w:r>
          </w:p>
        </w:tc>
        <w:tc>
          <w:tcPr>
            <w:tcW w:type="dxa" w:w="2492"/>
          </w:tcPr>
          <w:p>
            <w:pPr>
              <w:pStyle w:val="null3"/>
            </w:pPr>
            <w:r>
              <w:rPr>
                <w:rFonts w:ascii="仿宋_GB2312" w:hAnsi="仿宋_GB2312" w:cs="仿宋_GB2312" w:eastAsia="仿宋_GB2312"/>
              </w:rPr>
              <w:t>1.数据负责人为地理信息专业（包括地理信息、测绘）高级职称得4分，中级职称得2分，未提供不得分（项目总负责人与数据负责人不为同一人）。 2.数据负责人具备注册测绘师职业资格得2分，未提供不得分。 （评审依据：提供项目人员职称证书、资格证书复印件及网络查验截图，无提供不得分；提供的人员须在本单位工作，以提供开标前6个月内至少一个月社保证明为准，否则此项不得分。）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项目组整体人员配备</w:t>
            </w:r>
          </w:p>
        </w:tc>
        <w:tc>
          <w:tcPr>
            <w:tcW w:type="dxa" w:w="2492"/>
          </w:tcPr>
          <w:p>
            <w:pPr>
              <w:pStyle w:val="null3"/>
            </w:pPr>
            <w:r>
              <w:rPr>
                <w:rFonts w:ascii="仿宋_GB2312" w:hAnsi="仿宋_GB2312" w:cs="仿宋_GB2312" w:eastAsia="仿宋_GB2312"/>
              </w:rPr>
              <w:t>核投标人拟投入项目团队人员（不含项目总负责人，数据负责人）知识构架全面，专业性强，满足项目需求，分工明确、配置合理，科学合理，总体实力较强，有丰富的设计方案技术审查工作经验。 1.项目组成员每提供一名具有注册城乡规划师或一级注册建筑师职业资格的得1分，最高得8分。 2.项目组成员专业（以毕业证为准）涵盖城市（乡）规划、建筑学、人文地理、土地资源管理、地理信息系统、风景园林、计算机科学与技术、测绘工程等相关专业，每涵盖上述一个专业得0.5分，最高得4分； （评审依据：提供项目人员职称证书、资格证书复印件及网络查验截图，无提供不得分；专业评判以毕业证为准。提供的人员须在本单位工作，以提供开标前6个月内至少一个月社保证明为准，否则此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技术履约能力</w:t>
            </w:r>
          </w:p>
        </w:tc>
        <w:tc>
          <w:tcPr>
            <w:tcW w:type="dxa" w:w="2492"/>
          </w:tcPr>
          <w:p>
            <w:pPr>
              <w:pStyle w:val="null3"/>
            </w:pPr>
            <w:r>
              <w:rPr>
                <w:rFonts w:ascii="仿宋_GB2312" w:hAnsi="仿宋_GB2312" w:cs="仿宋_GB2312" w:eastAsia="仿宋_GB2312"/>
              </w:rPr>
              <w:t>投标人提供2023年6月1日至今类似业绩（需同时提供合同及中标通知书加盖公章的复印件），每提供1项有效业绩得2分，最高得10分。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详见附件：11.7.6合同模版技术审查服务项目合同书.docx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