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480" w:lineRule="exact"/>
        <w:jc w:val="left"/>
        <w:rPr>
          <w:rFonts w:hint="eastAsia" w:ascii="宋体" w:hAnsi="宋体"/>
          <w:b/>
          <w:sz w:val="32"/>
          <w:szCs w:val="32"/>
          <w:highlight w:val="none"/>
        </w:rPr>
      </w:pPr>
      <w:r>
        <w:rPr>
          <w:rFonts w:hint="eastAsia" w:ascii="宋体" w:hAnsi="宋体"/>
          <w:b/>
          <w:sz w:val="32"/>
          <w:szCs w:val="32"/>
          <w:highlight w:val="none"/>
        </w:rPr>
        <w:t>政府采购项目</w:t>
      </w:r>
    </w:p>
    <w:p>
      <w:pPr>
        <w:pStyle w:val="9"/>
        <w:ind w:left="0" w:leftChars="0" w:firstLine="0"/>
        <w:rPr>
          <w:rFonts w:hint="eastAsia"/>
          <w:highlight w:val="none"/>
        </w:rPr>
      </w:pPr>
    </w:p>
    <w:p>
      <w:pPr>
        <w:pStyle w:val="9"/>
        <w:ind w:left="0" w:leftChars="0" w:firstLine="0"/>
        <w:rPr>
          <w:rFonts w:hint="eastAsia"/>
          <w:highlight w:val="none"/>
        </w:rPr>
      </w:pPr>
    </w:p>
    <w:p>
      <w:pPr>
        <w:spacing w:line="480" w:lineRule="exact"/>
        <w:rPr>
          <w:rFonts w:hint="default" w:ascii="宋体" w:hAnsi="宋体"/>
          <w:b/>
          <w:sz w:val="32"/>
          <w:szCs w:val="32"/>
          <w:highlight w:val="none"/>
          <w:lang w:val="en-US" w:eastAsia="zh-CN"/>
        </w:rPr>
      </w:pPr>
      <w:r>
        <w:rPr>
          <w:rFonts w:hint="eastAsia" w:ascii="宋体" w:hAnsi="宋体"/>
          <w:b/>
          <w:sz w:val="32"/>
          <w:szCs w:val="32"/>
          <w:highlight w:val="none"/>
        </w:rPr>
        <w:t>项目编号:</w:t>
      </w:r>
      <w:r>
        <w:rPr>
          <w:rFonts w:hint="eastAsia" w:ascii="宋体" w:hAnsi="宋体"/>
          <w:b/>
          <w:sz w:val="32"/>
          <w:szCs w:val="32"/>
          <w:highlight w:val="none"/>
          <w:lang w:eastAsia="zh-CN"/>
        </w:rPr>
        <w:t xml:space="preserve"> XQCG(2026)0</w:t>
      </w:r>
      <w:r>
        <w:rPr>
          <w:rFonts w:hint="eastAsia" w:ascii="宋体" w:hAnsi="宋体"/>
          <w:b/>
          <w:sz w:val="32"/>
          <w:szCs w:val="32"/>
          <w:highlight w:val="none"/>
          <w:lang w:val="en-US" w:eastAsia="zh-CN"/>
        </w:rPr>
        <w:t>14</w:t>
      </w:r>
      <w:r>
        <w:rPr>
          <w:rFonts w:hint="eastAsia" w:ascii="宋体" w:hAnsi="宋体"/>
          <w:b/>
          <w:sz w:val="32"/>
          <w:szCs w:val="32"/>
          <w:highlight w:val="none"/>
          <w:lang w:eastAsia="zh-CN"/>
        </w:rPr>
        <w:t>号</w:t>
      </w:r>
      <w:r>
        <w:rPr>
          <w:rFonts w:hint="eastAsia" w:ascii="宋体" w:hAnsi="宋体"/>
          <w:b/>
          <w:sz w:val="32"/>
          <w:szCs w:val="32"/>
          <w:highlight w:val="none"/>
          <w:lang w:val="en-US" w:eastAsia="zh-CN"/>
        </w:rPr>
        <w:t>.1B2</w:t>
      </w:r>
    </w:p>
    <w:p>
      <w:pPr>
        <w:ind w:left="0" w:firstLine="0" w:firstLineChars="0"/>
        <w:jc w:val="center"/>
        <w:rPr>
          <w:rFonts w:hint="default" w:ascii="宋体" w:hAnsi="宋体"/>
          <w:b/>
          <w:sz w:val="52"/>
          <w:szCs w:val="52"/>
          <w:highlight w:val="none"/>
          <w:lang w:val="en-US" w:eastAsia="zh-CN"/>
        </w:rPr>
      </w:pPr>
      <w:r>
        <w:rPr>
          <w:rFonts w:hint="eastAsia" w:ascii="宋体" w:hAnsi="宋体"/>
          <w:b/>
          <w:sz w:val="52"/>
          <w:szCs w:val="52"/>
          <w:highlight w:val="none"/>
          <w:lang w:eastAsia="zh-CN"/>
        </w:rPr>
        <w:t>咸阳</w:t>
      </w:r>
      <w:r>
        <w:rPr>
          <w:rFonts w:hint="eastAsia" w:ascii="宋体" w:hAnsi="宋体"/>
          <w:b/>
          <w:sz w:val="52"/>
          <w:szCs w:val="52"/>
          <w:highlight w:val="none"/>
          <w:lang w:val="en-US" w:eastAsia="zh-CN"/>
        </w:rPr>
        <w:t>市秦都区丝路花城小学信息化教育教学设备采购项目(三次）</w:t>
      </w:r>
    </w:p>
    <w:p>
      <w:pPr>
        <w:jc w:val="center"/>
        <w:rPr>
          <w:rFonts w:hint="eastAsia" w:ascii="宋体" w:hAnsi="宋体"/>
          <w:b/>
          <w:sz w:val="52"/>
          <w:szCs w:val="52"/>
          <w:highlight w:val="none"/>
          <w:lang w:val="en-US" w:eastAsia="zh-CN"/>
        </w:rPr>
      </w:pPr>
    </w:p>
    <w:p>
      <w:pPr>
        <w:jc w:val="center"/>
        <w:rPr>
          <w:rFonts w:hint="eastAsia" w:ascii="宋体" w:hAnsi="宋体"/>
          <w:b/>
          <w:sz w:val="72"/>
          <w:szCs w:val="72"/>
          <w:highlight w:val="none"/>
        </w:rPr>
      </w:pPr>
      <w:r>
        <w:rPr>
          <w:rFonts w:hint="eastAsia" w:ascii="宋体" w:hAnsi="宋体"/>
          <w:b/>
          <w:sz w:val="72"/>
          <w:szCs w:val="72"/>
          <w:highlight w:val="none"/>
        </w:rPr>
        <w:t>竞争性</w:t>
      </w:r>
      <w:r>
        <w:rPr>
          <w:rFonts w:hint="eastAsia" w:ascii="宋体" w:hAnsi="宋体"/>
          <w:b/>
          <w:sz w:val="72"/>
          <w:szCs w:val="72"/>
          <w:highlight w:val="none"/>
          <w:lang w:val="en-US" w:eastAsia="zh-CN"/>
        </w:rPr>
        <w:t>谈判</w:t>
      </w:r>
      <w:r>
        <w:rPr>
          <w:rFonts w:hint="eastAsia" w:ascii="宋体" w:hAnsi="宋体"/>
          <w:b/>
          <w:sz w:val="72"/>
          <w:szCs w:val="72"/>
          <w:highlight w:val="none"/>
        </w:rPr>
        <w:t>文件</w:t>
      </w:r>
    </w:p>
    <w:p>
      <w:pPr>
        <w:tabs>
          <w:tab w:val="left" w:pos="1749"/>
        </w:tabs>
        <w:jc w:val="left"/>
        <w:rPr>
          <w:rFonts w:hint="eastAsia" w:ascii="宋体" w:hAnsi="宋体" w:eastAsia="宋体"/>
          <w:b/>
          <w:sz w:val="52"/>
          <w:szCs w:val="52"/>
          <w:highlight w:val="none"/>
          <w:lang w:eastAsia="zh-CN"/>
        </w:rPr>
      </w:pPr>
      <w:r>
        <w:rPr>
          <w:rFonts w:hint="eastAsia" w:ascii="宋体" w:hAnsi="宋体"/>
          <w:b/>
          <w:sz w:val="52"/>
          <w:szCs w:val="52"/>
          <w:highlight w:val="none"/>
          <w:lang w:eastAsia="zh-CN"/>
        </w:rPr>
        <w:tab/>
      </w:r>
    </w:p>
    <w:p>
      <w:pPr>
        <w:jc w:val="center"/>
        <w:rPr>
          <w:rFonts w:hint="eastAsia" w:ascii="宋体" w:hAnsi="宋体"/>
          <w:b/>
          <w:sz w:val="52"/>
          <w:szCs w:val="52"/>
          <w:highlight w:val="none"/>
        </w:rPr>
      </w:pPr>
    </w:p>
    <w:p>
      <w:pPr>
        <w:pStyle w:val="9"/>
        <w:rPr>
          <w:rFonts w:hint="eastAsia"/>
          <w:highlight w:val="none"/>
        </w:rPr>
      </w:pPr>
    </w:p>
    <w:p>
      <w:pPr>
        <w:ind w:firstLine="640" w:firstLineChars="200"/>
        <w:rPr>
          <w:rFonts w:hint="eastAsia" w:ascii="宋体" w:hAnsi="宋体"/>
          <w:sz w:val="32"/>
          <w:highlight w:val="none"/>
        </w:rPr>
      </w:pPr>
    </w:p>
    <w:p>
      <w:pPr>
        <w:spacing w:line="480" w:lineRule="exact"/>
        <w:rPr>
          <w:rFonts w:hint="eastAsia" w:ascii="宋体" w:hAnsi="宋体"/>
          <w:b/>
          <w:sz w:val="36"/>
          <w:szCs w:val="36"/>
          <w:highlight w:val="none"/>
        </w:rPr>
      </w:pPr>
    </w:p>
    <w:p>
      <w:pPr>
        <w:pStyle w:val="9"/>
        <w:ind w:left="0" w:leftChars="0" w:firstLine="0"/>
        <w:rPr>
          <w:rFonts w:hint="eastAsia"/>
          <w:highlight w:val="none"/>
        </w:rPr>
      </w:pPr>
    </w:p>
    <w:p>
      <w:pPr>
        <w:pStyle w:val="9"/>
        <w:rPr>
          <w:rFonts w:hint="eastAsia"/>
          <w:highlight w:val="none"/>
        </w:rPr>
      </w:pPr>
    </w:p>
    <w:p>
      <w:pPr>
        <w:spacing w:line="480" w:lineRule="exact"/>
        <w:rPr>
          <w:rFonts w:hint="eastAsia" w:ascii="宋体" w:hAnsi="宋体"/>
          <w:b/>
          <w:sz w:val="36"/>
          <w:szCs w:val="36"/>
          <w:highlight w:val="none"/>
        </w:rPr>
      </w:pPr>
    </w:p>
    <w:p>
      <w:pPr>
        <w:spacing w:line="480" w:lineRule="exact"/>
        <w:rPr>
          <w:rFonts w:hint="eastAsia" w:ascii="宋体" w:hAnsi="宋体"/>
          <w:b/>
          <w:sz w:val="36"/>
          <w:szCs w:val="36"/>
          <w:highlight w:val="none"/>
        </w:rPr>
      </w:pPr>
    </w:p>
    <w:p>
      <w:pPr>
        <w:ind w:firstLine="1928" w:firstLineChars="600"/>
        <w:jc w:val="left"/>
        <w:rPr>
          <w:rFonts w:hint="eastAsia" w:ascii="宋体" w:hAnsi="宋体"/>
          <w:b/>
          <w:sz w:val="32"/>
          <w:szCs w:val="32"/>
          <w:highlight w:val="none"/>
        </w:rPr>
      </w:pPr>
    </w:p>
    <w:p>
      <w:pPr>
        <w:ind w:firstLine="1928" w:firstLineChars="600"/>
        <w:jc w:val="left"/>
        <w:rPr>
          <w:rFonts w:hint="eastAsia" w:ascii="宋体" w:hAnsi="宋体"/>
          <w:b/>
          <w:sz w:val="32"/>
          <w:szCs w:val="32"/>
          <w:highlight w:val="none"/>
        </w:rPr>
      </w:pPr>
    </w:p>
    <w:p>
      <w:pPr>
        <w:ind w:firstLine="1928" w:firstLineChars="600"/>
        <w:jc w:val="left"/>
        <w:rPr>
          <w:rFonts w:hint="eastAsia" w:ascii="宋体" w:hAnsi="宋体"/>
          <w:b/>
          <w:sz w:val="32"/>
          <w:szCs w:val="32"/>
          <w:highlight w:val="none"/>
        </w:rPr>
      </w:pPr>
    </w:p>
    <w:p>
      <w:pPr>
        <w:ind w:firstLine="1928" w:firstLineChars="600"/>
        <w:jc w:val="left"/>
        <w:rPr>
          <w:rFonts w:hint="default" w:ascii="宋体" w:hAnsi="宋体"/>
          <w:b/>
          <w:sz w:val="32"/>
          <w:szCs w:val="32"/>
          <w:highlight w:val="none"/>
          <w:lang w:val="en-US" w:eastAsia="zh-CN"/>
        </w:rPr>
      </w:pPr>
      <w:r>
        <w:rPr>
          <w:rFonts w:hint="eastAsia" w:ascii="宋体" w:hAnsi="宋体"/>
          <w:b/>
          <w:sz w:val="32"/>
          <w:szCs w:val="32"/>
          <w:highlight w:val="none"/>
        </w:rPr>
        <w:t>采购人：</w:t>
      </w:r>
      <w:r>
        <w:rPr>
          <w:rFonts w:hint="eastAsia" w:ascii="宋体" w:hAnsi="宋体"/>
          <w:b/>
          <w:sz w:val="32"/>
          <w:szCs w:val="32"/>
          <w:highlight w:val="none"/>
          <w:lang w:val="en-US" w:eastAsia="zh-CN"/>
        </w:rPr>
        <w:t>咸阳市秦都区丝路花城小学</w:t>
      </w:r>
    </w:p>
    <w:p>
      <w:pPr>
        <w:ind w:firstLine="1928" w:firstLineChars="600"/>
        <w:jc w:val="left"/>
        <w:rPr>
          <w:rFonts w:hint="eastAsia" w:ascii="宋体" w:hAnsi="宋体"/>
          <w:b/>
          <w:sz w:val="32"/>
          <w:szCs w:val="32"/>
          <w:highlight w:val="none"/>
        </w:rPr>
      </w:pPr>
      <w:r>
        <w:rPr>
          <w:rFonts w:hint="eastAsia" w:ascii="宋体" w:hAnsi="宋体"/>
          <w:b/>
          <w:sz w:val="32"/>
          <w:szCs w:val="32"/>
          <w:highlight w:val="none"/>
        </w:rPr>
        <w:t>采购代理机构：咸阳市秦都区政府采购中心</w:t>
      </w:r>
    </w:p>
    <w:p>
      <w:pPr>
        <w:ind w:firstLine="1928" w:firstLineChars="600"/>
        <w:jc w:val="left"/>
        <w:rPr>
          <w:rFonts w:ascii="宋体" w:hAnsi="宋体"/>
          <w:b/>
          <w:sz w:val="32"/>
          <w:szCs w:val="32"/>
          <w:highlight w:val="none"/>
        </w:rPr>
      </w:pPr>
      <w:r>
        <w:rPr>
          <w:rFonts w:hint="eastAsia" w:ascii="宋体" w:hAnsi="宋体"/>
          <w:b/>
          <w:sz w:val="32"/>
          <w:szCs w:val="32"/>
          <w:highlight w:val="none"/>
        </w:rPr>
        <w:t>日期：二零二</w:t>
      </w:r>
      <w:r>
        <w:rPr>
          <w:rFonts w:hint="eastAsia" w:ascii="宋体" w:hAnsi="宋体"/>
          <w:b/>
          <w:sz w:val="32"/>
          <w:szCs w:val="32"/>
          <w:highlight w:val="none"/>
          <w:lang w:val="en-US" w:eastAsia="zh-CN"/>
        </w:rPr>
        <w:t>六</w:t>
      </w:r>
      <w:r>
        <w:rPr>
          <w:rFonts w:hint="eastAsia" w:ascii="宋体" w:hAnsi="宋体"/>
          <w:b/>
          <w:sz w:val="32"/>
          <w:szCs w:val="32"/>
          <w:highlight w:val="none"/>
        </w:rPr>
        <w:t>年</w:t>
      </w:r>
      <w:r>
        <w:rPr>
          <w:rFonts w:hint="eastAsia" w:ascii="宋体" w:hAnsi="宋体"/>
          <w:b/>
          <w:sz w:val="32"/>
          <w:szCs w:val="32"/>
          <w:highlight w:val="none"/>
          <w:lang w:val="en-US" w:eastAsia="zh-CN"/>
        </w:rPr>
        <w:t>十</w:t>
      </w:r>
      <w:r>
        <w:rPr>
          <w:rFonts w:hint="eastAsia" w:ascii="宋体" w:hAnsi="宋体"/>
          <w:b/>
          <w:sz w:val="32"/>
          <w:szCs w:val="32"/>
          <w:highlight w:val="none"/>
        </w:rPr>
        <w:t>月</w:t>
      </w:r>
      <w:r>
        <w:rPr>
          <w:rFonts w:hint="eastAsia" w:ascii="宋体" w:hAnsi="宋体"/>
          <w:b/>
          <w:sz w:val="32"/>
          <w:szCs w:val="32"/>
          <w:highlight w:val="none"/>
          <w:lang w:val="en-US" w:eastAsia="zh-CN"/>
        </w:rPr>
        <w:t>十三</w:t>
      </w:r>
      <w:r>
        <w:rPr>
          <w:rFonts w:hint="eastAsia" w:ascii="宋体" w:hAnsi="宋体"/>
          <w:b/>
          <w:sz w:val="32"/>
          <w:szCs w:val="32"/>
          <w:highlight w:val="none"/>
        </w:rPr>
        <w:t>日</w:t>
      </w:r>
    </w:p>
    <w:p>
      <w:pPr>
        <w:keepNext w:val="0"/>
        <w:keepLines w:val="0"/>
        <w:pageBreakBefore w:val="0"/>
        <w:widowControl/>
        <w:kinsoku/>
        <w:wordWrap/>
        <w:overflowPunct/>
        <w:topLinePunct w:val="0"/>
        <w:autoSpaceDE/>
        <w:autoSpaceDN/>
        <w:bidi w:val="0"/>
        <w:adjustRightInd/>
        <w:snapToGrid/>
        <w:spacing w:line="460" w:lineRule="exact"/>
        <w:ind w:firstLine="2711" w:firstLineChars="900"/>
        <w:jc w:val="both"/>
        <w:textAlignment w:val="auto"/>
        <w:rPr>
          <w:rFonts w:hint="default" w:ascii="Times New Roman" w:hAnsi="Times New Roman" w:cs="Times New Roman"/>
          <w:b/>
          <w:bCs/>
          <w:color w:val="auto"/>
          <w:sz w:val="30"/>
          <w:szCs w:val="30"/>
          <w:highlight w:val="none"/>
        </w:rPr>
      </w:pPr>
      <w:r>
        <w:rPr>
          <w:rFonts w:hint="eastAsia" w:ascii="Times New Roman" w:hAnsi="Times New Roman" w:cs="Times New Roman" w:eastAsiaTheme="majorEastAsia"/>
          <w:b/>
          <w:color w:val="auto"/>
          <w:sz w:val="30"/>
          <w:szCs w:val="30"/>
          <w:highlight w:val="none"/>
          <w:lang w:val="en-US" w:eastAsia="zh-CN"/>
        </w:rPr>
        <w:t xml:space="preserve">第一部分   </w:t>
      </w:r>
      <w:r>
        <w:rPr>
          <w:rFonts w:hint="default" w:ascii="Times New Roman" w:hAnsi="Times New Roman" w:cs="Times New Roman" w:eastAsiaTheme="majorEastAsia"/>
          <w:b/>
          <w:color w:val="auto"/>
          <w:sz w:val="30"/>
          <w:szCs w:val="30"/>
          <w:highlight w:val="none"/>
          <w:lang w:val="en-US" w:eastAsia="zh-CN"/>
        </w:rPr>
        <w:t>谈判公告</w:t>
      </w:r>
    </w:p>
    <w:p>
      <w:pPr>
        <w:keepNext w:val="0"/>
        <w:keepLines w:val="0"/>
        <w:pageBreakBefore w:val="0"/>
        <w:widowControl/>
        <w:kinsoku/>
        <w:wordWrap/>
        <w:overflowPunct/>
        <w:topLinePunct w:val="0"/>
        <w:autoSpaceDE/>
        <w:autoSpaceDN/>
        <w:bidi w:val="0"/>
        <w:adjustRightInd/>
        <w:snapToGrid/>
        <w:spacing w:line="240" w:lineRule="exact"/>
        <w:textAlignment w:val="auto"/>
        <w:rPr>
          <w:rFonts w:hint="default" w:ascii="Times New Roman" w:hAnsi="Times New Roman" w:cs="Times New Roman"/>
          <w:color w:val="auto"/>
          <w:kern w:val="0"/>
          <w:sz w:val="24"/>
          <w:highlight w:val="none"/>
        </w:rPr>
      </w:pPr>
      <w:bookmarkStart w:id="0" w:name="OLE_LINK1"/>
      <w:bookmarkStart w:id="1" w:name="OLE_LINK2"/>
    </w:p>
    <w:bookmarkEnd w:id="0"/>
    <w:bookmarkEnd w:id="1"/>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lang w:eastAsia="zh-CN"/>
        </w:rPr>
        <w:t>咸阳</w:t>
      </w:r>
      <w:r>
        <w:rPr>
          <w:rFonts w:hint="eastAsia" w:ascii="Times New Roman" w:hAnsi="Times New Roman" w:cs="Times New Roman"/>
          <w:color w:val="auto"/>
          <w:spacing w:val="0"/>
          <w:sz w:val="24"/>
          <w:szCs w:val="24"/>
          <w:highlight w:val="none"/>
          <w:lang w:val="en-US" w:eastAsia="zh-CN"/>
        </w:rPr>
        <w:t>市秦都区丝路花城小学信息化教育教学设备采购项目（三次）</w:t>
      </w:r>
      <w:r>
        <w:rPr>
          <w:rFonts w:hint="eastAsia" w:ascii="Times New Roman" w:hAnsi="Times New Roman" w:cs="Times New Roman"/>
          <w:color w:val="auto"/>
          <w:spacing w:val="0"/>
          <w:sz w:val="24"/>
          <w:szCs w:val="24"/>
          <w:highlight w:val="none"/>
        </w:rPr>
        <w:t>的潜在</w:t>
      </w:r>
      <w:r>
        <w:rPr>
          <w:rFonts w:hint="eastAsia" w:ascii="Times New Roman" w:hAnsi="Times New Roman" w:cs="Times New Roman"/>
          <w:color w:val="auto"/>
          <w:spacing w:val="0"/>
          <w:sz w:val="24"/>
          <w:szCs w:val="24"/>
          <w:highlight w:val="none"/>
          <w:lang w:val="en-US" w:eastAsia="zh-CN"/>
        </w:rPr>
        <w:t>供应商</w:t>
      </w:r>
      <w:r>
        <w:rPr>
          <w:rFonts w:hint="eastAsia" w:ascii="Times New Roman" w:hAnsi="Times New Roman" w:cs="Times New Roman"/>
          <w:color w:val="auto"/>
          <w:spacing w:val="0"/>
          <w:sz w:val="24"/>
          <w:szCs w:val="24"/>
          <w:highlight w:val="none"/>
        </w:rPr>
        <w:t>应</w:t>
      </w:r>
      <w:r>
        <w:rPr>
          <w:rFonts w:hint="eastAsia" w:ascii="Times New Roman" w:hAnsi="Times New Roman" w:cs="Times New Roman"/>
          <w:color w:val="auto"/>
          <w:spacing w:val="0"/>
          <w:sz w:val="24"/>
          <w:szCs w:val="24"/>
          <w:highlight w:val="none"/>
          <w:lang w:val="en-US" w:eastAsia="zh-CN"/>
        </w:rPr>
        <w:t>在全国公共资源交易平台网（陕西省咸阳市）获取竞争性谈判文件</w:t>
      </w:r>
      <w:r>
        <w:rPr>
          <w:rFonts w:hint="eastAsia" w:ascii="Times New Roman" w:hAnsi="Times New Roman" w:cs="Times New Roman"/>
          <w:color w:val="auto"/>
          <w:spacing w:val="0"/>
          <w:sz w:val="24"/>
          <w:szCs w:val="24"/>
          <w:highlight w:val="none"/>
        </w:rPr>
        <w:t>，并于202</w:t>
      </w:r>
      <w:r>
        <w:rPr>
          <w:rFonts w:hint="eastAsia" w:ascii="Times New Roman" w:hAnsi="Times New Roman" w:cs="Times New Roman"/>
          <w:color w:val="auto"/>
          <w:spacing w:val="0"/>
          <w:sz w:val="24"/>
          <w:szCs w:val="24"/>
          <w:highlight w:val="none"/>
          <w:lang w:val="en-US" w:eastAsia="zh-CN"/>
        </w:rPr>
        <w:t>6</w:t>
      </w:r>
      <w:r>
        <w:rPr>
          <w:rFonts w:hint="eastAsia" w:ascii="Times New Roman" w:hAnsi="Times New Roman" w:cs="Times New Roman"/>
          <w:color w:val="auto"/>
          <w:spacing w:val="0"/>
          <w:sz w:val="24"/>
          <w:szCs w:val="24"/>
          <w:highlight w:val="none"/>
        </w:rPr>
        <w:t>年</w:t>
      </w:r>
      <w:r>
        <w:rPr>
          <w:rFonts w:hint="eastAsia" w:ascii="Times New Roman" w:hAnsi="Times New Roman" w:cs="Times New Roman"/>
          <w:color w:val="auto"/>
          <w:spacing w:val="0"/>
          <w:sz w:val="24"/>
          <w:szCs w:val="24"/>
          <w:highlight w:val="none"/>
          <w:lang w:val="en-US" w:eastAsia="zh-CN"/>
        </w:rPr>
        <w:t>10</w:t>
      </w:r>
      <w:r>
        <w:rPr>
          <w:rFonts w:hint="eastAsia" w:ascii="Times New Roman" w:hAnsi="Times New Roman" w:cs="Times New Roman"/>
          <w:color w:val="auto"/>
          <w:spacing w:val="0"/>
          <w:sz w:val="24"/>
          <w:szCs w:val="24"/>
          <w:highlight w:val="none"/>
        </w:rPr>
        <w:t>月</w:t>
      </w:r>
      <w:r>
        <w:rPr>
          <w:rFonts w:hint="eastAsia" w:ascii="Times New Roman" w:hAnsi="Times New Roman" w:cs="Times New Roman"/>
          <w:color w:val="auto"/>
          <w:spacing w:val="0"/>
          <w:sz w:val="24"/>
          <w:szCs w:val="24"/>
          <w:highlight w:val="none"/>
          <w:lang w:val="en-US" w:eastAsia="zh-CN"/>
        </w:rPr>
        <w:t xml:space="preserve">23 </w:t>
      </w:r>
      <w:r>
        <w:rPr>
          <w:rFonts w:hint="eastAsia" w:ascii="Times New Roman" w:hAnsi="Times New Roman" w:cs="Times New Roman"/>
          <w:color w:val="auto"/>
          <w:spacing w:val="0"/>
          <w:sz w:val="24"/>
          <w:szCs w:val="24"/>
          <w:highlight w:val="none"/>
        </w:rPr>
        <w:t>日 09时</w:t>
      </w:r>
      <w:r>
        <w:rPr>
          <w:rFonts w:hint="eastAsia" w:ascii="Times New Roman" w:hAnsi="Times New Roman" w:cs="Times New Roman"/>
          <w:color w:val="auto"/>
          <w:spacing w:val="0"/>
          <w:sz w:val="24"/>
          <w:szCs w:val="24"/>
          <w:highlight w:val="none"/>
          <w:lang w:val="en-US" w:eastAsia="zh-CN"/>
        </w:rPr>
        <w:t>3</w:t>
      </w:r>
      <w:r>
        <w:rPr>
          <w:rFonts w:hint="eastAsia" w:ascii="Times New Roman" w:hAnsi="Times New Roman" w:cs="Times New Roman"/>
          <w:color w:val="auto"/>
          <w:spacing w:val="0"/>
          <w:sz w:val="24"/>
          <w:szCs w:val="24"/>
          <w:highlight w:val="none"/>
        </w:rPr>
        <w:t>0分（北京时间）前递交</w:t>
      </w:r>
      <w:r>
        <w:rPr>
          <w:rFonts w:hint="eastAsia" w:ascii="Times New Roman" w:hAnsi="Times New Roman" w:cs="Times New Roman"/>
          <w:color w:val="auto"/>
          <w:spacing w:val="0"/>
          <w:sz w:val="24"/>
          <w:szCs w:val="24"/>
          <w:highlight w:val="none"/>
          <w:lang w:val="en-US" w:eastAsia="zh-CN"/>
        </w:rPr>
        <w:t>投标</w:t>
      </w:r>
      <w:r>
        <w:rPr>
          <w:rFonts w:hint="eastAsia" w:ascii="Times New Roman" w:hAnsi="Times New Roman" w:cs="Times New Roman"/>
          <w:color w:val="auto"/>
          <w:spacing w:val="0"/>
          <w:sz w:val="24"/>
          <w:szCs w:val="24"/>
          <w:highlight w:val="none"/>
        </w:rPr>
        <w:t>文件。</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rPr>
        <w:t>一、项目基本情况</w:t>
      </w:r>
    </w:p>
    <w:p>
      <w:pPr>
        <w:spacing w:line="480" w:lineRule="exact"/>
        <w:ind w:firstLine="480" w:firstLineChars="200"/>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项目编号：</w:t>
      </w:r>
      <w:r>
        <w:rPr>
          <w:rFonts w:hint="eastAsia" w:ascii="Times New Roman" w:hAnsi="Times New Roman" w:cs="Times New Roman"/>
          <w:color w:val="auto"/>
          <w:spacing w:val="0"/>
          <w:sz w:val="24"/>
          <w:szCs w:val="24"/>
          <w:highlight w:val="none"/>
          <w:lang w:val="en-US" w:eastAsia="zh-CN"/>
        </w:rPr>
        <w:t>XQCG(2026)014号.1B2</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项目名称：</w:t>
      </w:r>
      <w:r>
        <w:rPr>
          <w:rFonts w:hint="eastAsia" w:ascii="Times New Roman" w:hAnsi="Times New Roman" w:cs="Times New Roman"/>
          <w:color w:val="auto"/>
          <w:spacing w:val="0"/>
          <w:sz w:val="24"/>
          <w:szCs w:val="24"/>
          <w:highlight w:val="none"/>
          <w:lang w:eastAsia="zh-CN"/>
        </w:rPr>
        <w:t>咸阳</w:t>
      </w:r>
      <w:r>
        <w:rPr>
          <w:rFonts w:hint="eastAsia" w:ascii="Times New Roman" w:hAnsi="Times New Roman" w:cs="Times New Roman"/>
          <w:color w:val="auto"/>
          <w:spacing w:val="0"/>
          <w:sz w:val="24"/>
          <w:szCs w:val="24"/>
          <w:highlight w:val="none"/>
          <w:lang w:val="en-US" w:eastAsia="zh-CN"/>
        </w:rPr>
        <w:t>市秦都区丝路花城小学信息化教育教学设备采购项目（三次）</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采购方式：</w:t>
      </w:r>
      <w:r>
        <w:rPr>
          <w:rFonts w:hint="eastAsia" w:ascii="Times New Roman" w:hAnsi="Times New Roman" w:cs="Times New Roman"/>
          <w:color w:val="auto"/>
          <w:spacing w:val="0"/>
          <w:sz w:val="24"/>
          <w:szCs w:val="24"/>
          <w:highlight w:val="none"/>
          <w:lang w:val="en-US" w:eastAsia="zh-CN"/>
        </w:rPr>
        <w:t>竞争性谈判</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预算总金额</w:t>
      </w:r>
      <w:r>
        <w:rPr>
          <w:rFonts w:hint="eastAsia" w:ascii="Times New Roman" w:hAnsi="Times New Roman" w:cs="Times New Roman"/>
          <w:color w:val="auto"/>
          <w:spacing w:val="0"/>
          <w:sz w:val="24"/>
          <w:szCs w:val="24"/>
          <w:highlight w:val="none"/>
          <w:lang w:eastAsia="zh-CN"/>
        </w:rPr>
        <w:t>：</w:t>
      </w:r>
      <w:r>
        <w:rPr>
          <w:rFonts w:hint="eastAsia" w:ascii="Times New Roman" w:hAnsi="Times New Roman" w:cs="Times New Roman"/>
          <w:color w:val="auto"/>
          <w:spacing w:val="0"/>
          <w:sz w:val="24"/>
          <w:szCs w:val="24"/>
          <w:highlight w:val="none"/>
          <w:lang w:val="en-US" w:eastAsia="zh-CN"/>
        </w:rPr>
        <w:t>484000.00</w:t>
      </w:r>
      <w:r>
        <w:rPr>
          <w:rFonts w:hint="eastAsia" w:ascii="Times New Roman" w:hAnsi="Times New Roman" w:cs="Times New Roman"/>
          <w:color w:val="auto"/>
          <w:spacing w:val="0"/>
          <w:sz w:val="24"/>
          <w:szCs w:val="24"/>
          <w:highlight w:val="none"/>
        </w:rPr>
        <w:t>元</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采购需求及分项预算价：</w:t>
      </w:r>
    </w:p>
    <w:tbl>
      <w:tblPr>
        <w:tblStyle w:val="10"/>
        <w:tblW w:w="5930" w:type="pct"/>
        <w:tblInd w:w="-81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46"/>
        <w:gridCol w:w="1767"/>
        <w:gridCol w:w="2035"/>
        <w:gridCol w:w="1154"/>
        <w:gridCol w:w="1749"/>
        <w:gridCol w:w="1688"/>
        <w:gridCol w:w="16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trPr>
        <w:tc>
          <w:tcPr>
            <w:tcW w:w="901"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品目号</w:t>
            </w:r>
          </w:p>
        </w:tc>
        <w:tc>
          <w:tcPr>
            <w:tcW w:w="1680"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品目名称</w:t>
            </w:r>
          </w:p>
        </w:tc>
        <w:tc>
          <w:tcPr>
            <w:tcW w:w="1935"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采购标的</w:t>
            </w:r>
          </w:p>
        </w:tc>
        <w:tc>
          <w:tcPr>
            <w:tcW w:w="1097"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ind w:firstLine="240" w:firstLineChars="100"/>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数量</w:t>
            </w:r>
          </w:p>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（单位）</w:t>
            </w:r>
          </w:p>
        </w:tc>
        <w:tc>
          <w:tcPr>
            <w:tcW w:w="1663"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技术规格、参数及要求</w:t>
            </w:r>
          </w:p>
        </w:tc>
        <w:tc>
          <w:tcPr>
            <w:tcW w:w="1605"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品目预算(元)</w:t>
            </w:r>
          </w:p>
        </w:tc>
        <w:tc>
          <w:tcPr>
            <w:tcW w:w="1544"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最高限价(元)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4" w:hRule="atLeast"/>
        </w:trPr>
        <w:tc>
          <w:tcPr>
            <w:tcW w:w="901"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lang w:val="en-US" w:eastAsia="zh-CN"/>
              </w:rPr>
              <w:t>1-1</w:t>
            </w:r>
          </w:p>
          <w:p>
            <w:pPr>
              <w:keepNext w:val="0"/>
              <w:keepLines w:val="0"/>
              <w:pageBreakBefore w:val="0"/>
              <w:widowControl/>
              <w:kinsoku/>
              <w:wordWrap/>
              <w:overflowPunct/>
              <w:topLinePunct w:val="0"/>
              <w:autoSpaceDE/>
              <w:autoSpaceDN/>
              <w:bidi w:val="0"/>
              <w:adjustRightInd/>
              <w:snapToGrid/>
              <w:spacing w:line="460" w:lineRule="exact"/>
              <w:ind w:firstLine="480" w:firstLineChars="200"/>
              <w:jc w:val="center"/>
              <w:textAlignment w:val="auto"/>
              <w:rPr>
                <w:rFonts w:hint="eastAsia" w:ascii="Times New Roman" w:hAnsi="Times New Roman" w:cs="Times New Roman"/>
                <w:color w:val="auto"/>
                <w:spacing w:val="0"/>
                <w:sz w:val="24"/>
                <w:szCs w:val="24"/>
                <w:highlight w:val="none"/>
                <w:lang w:val="en-US" w:eastAsia="zh-CN"/>
              </w:rPr>
            </w:pPr>
          </w:p>
        </w:tc>
        <w:tc>
          <w:tcPr>
            <w:tcW w:w="1680"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ind w:firstLine="240" w:firstLineChars="100"/>
              <w:jc w:val="both"/>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lang w:val="en-US" w:eastAsia="zh-CN"/>
              </w:rPr>
              <w:t>台式计算机</w:t>
            </w:r>
          </w:p>
        </w:tc>
        <w:tc>
          <w:tcPr>
            <w:tcW w:w="1935"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lang w:val="en-US" w:eastAsia="zh-CN"/>
              </w:rPr>
              <w:t>台式计算机</w:t>
            </w:r>
          </w:p>
        </w:tc>
        <w:tc>
          <w:tcPr>
            <w:tcW w:w="1097"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lang w:val="en-US" w:eastAsia="zh-CN"/>
              </w:rPr>
              <w:t>1（批）</w:t>
            </w:r>
          </w:p>
        </w:tc>
        <w:tc>
          <w:tcPr>
            <w:tcW w:w="1663"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详见竞争性谈判文件</w:t>
            </w:r>
          </w:p>
        </w:tc>
        <w:tc>
          <w:tcPr>
            <w:tcW w:w="1605"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lang w:val="en-US" w:eastAsia="zh-CN"/>
              </w:rPr>
              <w:t>484000.00</w:t>
            </w:r>
          </w:p>
        </w:tc>
        <w:tc>
          <w:tcPr>
            <w:tcW w:w="1544"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default"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484000.00</w:t>
            </w:r>
          </w:p>
        </w:tc>
      </w:tr>
    </w:tbl>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lang w:val="en-US" w:eastAsia="zh-CN"/>
        </w:rPr>
      </w:pP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合同履行期限：自合同签订之日起</w:t>
      </w:r>
      <w:r>
        <w:rPr>
          <w:rFonts w:hint="eastAsia" w:ascii="Times New Roman" w:hAnsi="Times New Roman" w:cs="Times New Roman"/>
          <w:color w:val="auto"/>
          <w:spacing w:val="0"/>
          <w:sz w:val="24"/>
          <w:szCs w:val="24"/>
          <w:highlight w:val="none"/>
          <w:lang w:val="en-US" w:eastAsia="zh-CN"/>
        </w:rPr>
        <w:t>30个</w:t>
      </w:r>
      <w:r>
        <w:rPr>
          <w:rFonts w:hint="eastAsia" w:ascii="Times New Roman" w:hAnsi="Times New Roman" w:cs="Times New Roman"/>
          <w:color w:val="auto"/>
          <w:spacing w:val="0"/>
          <w:sz w:val="24"/>
          <w:szCs w:val="24"/>
          <w:highlight w:val="none"/>
        </w:rPr>
        <w:t>日历日</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rPr>
        <w:t>二、投标人的资格要求：</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1.满足《中华人民共和国政府采购法》第二十二条规定;</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2.落实政府采购政策需满足的资格要求：</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（1）《政府采购促进中小企业发展管理办法》（财库[2020]46号）；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（2）《关于调整优化节能产品、环境标志产品政府采购执行机制的通知》（财库〔2019〕9号）；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（3）《关于印发环境标志产品政府采购品目清单的通知》（财库〔2019〕18号）；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（4）《关于印发节能产品政府采购品目清单的通知》（财库〔2019〕19号）；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（5）《财政部关于进一步加大政府采购支持中小企业力度的通知》（财库〔2022〕19号）；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（6）《关于政府采购支持监狱企业发展有关问题的通知》（财库[2014]68号）；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（7）《关于促进残疾人就业政府采购政策的通知》（财库[2017]141号）；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（8）《陕西省中小企业政府采购信用融资办法》（陕财办采〔2018〕23号）；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（9）《关于建立政府强制采购节能产品制度的通知》(国发办[2007]51号）；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（10）《关于运用政府采购政策支持乡村产业振兴的通知》（财库〔2021〕19号）。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（11）《陕西省财政厅关于进一步加强政府绿色采购有关问题的通知》（陕财办采〔2021〕29号）；</w:t>
      </w:r>
      <w:r>
        <w:rPr>
          <w:rFonts w:hint="eastAsia" w:ascii="Times New Roman" w:hAnsi="Times New Roman" w:eastAsia="宋体" w:cs="Times New Roman"/>
          <w:color w:val="auto"/>
          <w:spacing w:val="0"/>
          <w:sz w:val="24"/>
          <w:szCs w:val="24"/>
          <w:highlight w:val="none"/>
          <w:lang w:val="en-US" w:eastAsia="zh-CN"/>
        </w:rPr>
        <w:br w:type="textWrapping"/>
      </w:r>
      <w:r>
        <w:rPr>
          <w:rFonts w:hint="eastAsia" w:ascii="Times New Roman" w:hAnsi="Times New Roman" w:eastAsia="宋体" w:cs="Times New Roman"/>
          <w:color w:val="auto"/>
          <w:spacing w:val="0"/>
          <w:sz w:val="24"/>
          <w:szCs w:val="24"/>
          <w:highlight w:val="none"/>
          <w:lang w:val="en-US" w:eastAsia="zh-CN"/>
        </w:rPr>
        <w:t xml:space="preserve">    （12）其他需执行的政府采购政策（如有最新颁布的政府采购政策，按最新的文件执行）。</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3.本项目的特定资格要求：</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（1）具有独立承担民事责任能力，提供供应商合法统一社会信用代码证书或注册的法人或其他组织的营业执照/事业单位法人证书/非企业专业服务机构执业许可证/民办非企业单位登记证书；</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（2）财务状况报告</w:t>
      </w:r>
      <w:r>
        <w:rPr>
          <w:rFonts w:hint="eastAsia" w:ascii="Times New Roman" w:hAnsi="Times New Roman" w:eastAsia="宋体" w:cs="Times New Roman"/>
          <w:color w:val="auto"/>
          <w:spacing w:val="0"/>
          <w:sz w:val="24"/>
          <w:szCs w:val="24"/>
          <w:highlight w:val="none"/>
        </w:rPr>
        <w:t>：</w:t>
      </w:r>
      <w:r>
        <w:rPr>
          <w:rFonts w:hint="default" w:ascii="Times New Roman" w:hAnsi="Times New Roman" w:eastAsia="宋体" w:cs="Times New Roman"/>
          <w:color w:val="auto"/>
          <w:spacing w:val="0"/>
          <w:sz w:val="24"/>
          <w:szCs w:val="24"/>
          <w:highlight w:val="none"/>
        </w:rPr>
        <w:t>提供 20</w:t>
      </w:r>
      <w:r>
        <w:rPr>
          <w:rFonts w:hint="eastAsia" w:ascii="Times New Roman" w:hAnsi="Times New Roman" w:eastAsia="宋体" w:cs="Times New Roman"/>
          <w:color w:val="auto"/>
          <w:spacing w:val="0"/>
          <w:sz w:val="24"/>
          <w:szCs w:val="24"/>
          <w:highlight w:val="none"/>
        </w:rPr>
        <w:t>2</w:t>
      </w:r>
      <w:r>
        <w:rPr>
          <w:rFonts w:hint="eastAsia" w:ascii="Times New Roman" w:hAnsi="Times New Roman" w:eastAsia="宋体" w:cs="Times New Roman"/>
          <w:color w:val="auto"/>
          <w:spacing w:val="0"/>
          <w:sz w:val="24"/>
          <w:szCs w:val="24"/>
          <w:highlight w:val="none"/>
          <w:lang w:val="en-US" w:eastAsia="zh-CN"/>
        </w:rPr>
        <w:t>4</w:t>
      </w:r>
      <w:r>
        <w:rPr>
          <w:rFonts w:hint="default" w:ascii="Times New Roman" w:hAnsi="Times New Roman" w:eastAsia="宋体" w:cs="Times New Roman"/>
          <w:color w:val="auto"/>
          <w:spacing w:val="0"/>
          <w:sz w:val="24"/>
          <w:szCs w:val="24"/>
          <w:highlight w:val="none"/>
        </w:rPr>
        <w:t>年</w:t>
      </w:r>
      <w:r>
        <w:rPr>
          <w:rFonts w:hint="eastAsia" w:ascii="Times New Roman" w:hAnsi="Times New Roman" w:eastAsia="宋体" w:cs="Times New Roman"/>
          <w:color w:val="auto"/>
          <w:spacing w:val="0"/>
          <w:sz w:val="24"/>
          <w:szCs w:val="24"/>
          <w:highlight w:val="none"/>
          <w:lang w:val="en-US" w:eastAsia="zh-CN"/>
        </w:rPr>
        <w:t>或2025年</w:t>
      </w:r>
      <w:r>
        <w:rPr>
          <w:rFonts w:hint="default" w:ascii="Times New Roman" w:hAnsi="Times New Roman" w:eastAsia="宋体" w:cs="Times New Roman"/>
          <w:color w:val="auto"/>
          <w:spacing w:val="0"/>
          <w:sz w:val="24"/>
          <w:szCs w:val="24"/>
          <w:highlight w:val="none"/>
        </w:rPr>
        <w:t>度经审计的财务会计报告（至少包括审计报告、资产负债表和利润表，成立时间至提交投标文件截止时间不足一年的可提供成立后任意时段的资产负债表）；</w:t>
      </w:r>
      <w:r>
        <w:rPr>
          <w:rFonts w:hint="eastAsia" w:ascii="Times New Roman" w:hAnsi="Times New Roman" w:eastAsia="宋体" w:cs="Times New Roman"/>
          <w:color w:val="auto"/>
          <w:spacing w:val="0"/>
          <w:sz w:val="24"/>
          <w:szCs w:val="24"/>
          <w:highlight w:val="none"/>
        </w:rPr>
        <w:t>或</w:t>
      </w:r>
      <w:r>
        <w:rPr>
          <w:rFonts w:hint="default" w:ascii="Times New Roman" w:hAnsi="Times New Roman" w:eastAsia="宋体" w:cs="Times New Roman"/>
          <w:color w:val="auto"/>
          <w:spacing w:val="0"/>
          <w:sz w:val="24"/>
          <w:szCs w:val="24"/>
          <w:highlight w:val="none"/>
        </w:rPr>
        <w:t>提供供应商基本存款账户信息及开标日期前三个月内其基本存款账户开户银行出具的资信证明；</w:t>
      </w:r>
      <w:r>
        <w:rPr>
          <w:rFonts w:hint="eastAsia" w:ascii="Times New Roman" w:hAnsi="Times New Roman" w:eastAsia="宋体" w:cs="Times New Roman"/>
          <w:color w:val="auto"/>
          <w:spacing w:val="0"/>
          <w:sz w:val="24"/>
          <w:szCs w:val="24"/>
          <w:highlight w:val="none"/>
        </w:rPr>
        <w:t>或</w:t>
      </w:r>
      <w:r>
        <w:rPr>
          <w:rFonts w:hint="default" w:ascii="Times New Roman" w:hAnsi="Times New Roman" w:eastAsia="宋体" w:cs="Times New Roman"/>
          <w:color w:val="auto"/>
          <w:spacing w:val="0"/>
          <w:sz w:val="24"/>
          <w:szCs w:val="24"/>
          <w:highlight w:val="none"/>
        </w:rPr>
        <w:t>信用担保机构出具的投标担保函（复印件加盖供应商公章</w:t>
      </w:r>
      <w:r>
        <w:rPr>
          <w:rFonts w:hint="eastAsia" w:ascii="Times New Roman" w:hAnsi="Times New Roman" w:eastAsia="宋体" w:cs="Times New Roman"/>
          <w:color w:val="auto"/>
          <w:spacing w:val="0"/>
          <w:sz w:val="24"/>
          <w:szCs w:val="24"/>
          <w:highlight w:val="none"/>
        </w:rPr>
        <w:t>）；</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（3）税收缴纳证明：提供截止投标时间前一年内任意一个月的纳税凭据（依法免税的供应商应提供相关文件证明）；</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（4）社会保障资金缴纳证明：提供截止投标时间前一年内任意一个月的社保缴费凭据或社保机构开具的社会保险参保缴费情况证明（依法不需要缴纳社会保障资金的供应商应提供相关证明）；</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（5）提供具有履行本合同所必需的设备和专业技术能力的说明及承诺（提供书面说明及承诺，加盖供应商公章</w:t>
      </w:r>
      <w:r>
        <w:rPr>
          <w:rFonts w:hint="eastAsia" w:ascii="Times New Roman" w:hAnsi="Times New Roman" w:cs="Times New Roman"/>
          <w:color w:val="auto"/>
          <w:spacing w:val="0"/>
          <w:sz w:val="24"/>
          <w:szCs w:val="24"/>
          <w:highlight w:val="none"/>
          <w:lang w:eastAsia="zh-CN"/>
        </w:rPr>
        <w:t>，</w:t>
      </w:r>
      <w:r>
        <w:rPr>
          <w:rFonts w:hint="eastAsia" w:ascii="Times New Roman" w:hAnsi="Times New Roman" w:cs="Times New Roman"/>
          <w:color w:val="auto"/>
          <w:spacing w:val="0"/>
          <w:sz w:val="24"/>
          <w:szCs w:val="24"/>
          <w:highlight w:val="none"/>
          <w:lang w:val="en-US" w:eastAsia="zh-CN"/>
        </w:rPr>
        <w:t>格式见第五部分</w:t>
      </w:r>
      <w:r>
        <w:rPr>
          <w:rFonts w:hint="eastAsia" w:ascii="Times New Roman" w:hAnsi="Times New Roman" w:cs="Times New Roman"/>
          <w:color w:val="auto"/>
          <w:spacing w:val="0"/>
          <w:sz w:val="24"/>
          <w:szCs w:val="24"/>
          <w:highlight w:val="none"/>
        </w:rPr>
        <w:t>）；</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6）提供截止投标时间前三年内在经营活动中没有重大违法记录的书面声明；成立时间至提交投标文件截止时间不足三年的提供成立日截止投标文件日在经营活动中没有重大违法记录的书面声明。（提供书面声明，格式见第</w:t>
      </w:r>
      <w:r>
        <w:rPr>
          <w:rFonts w:hint="eastAsia" w:ascii="Times New Roman" w:hAnsi="Times New Roman" w:cs="Times New Roman"/>
          <w:color w:val="auto"/>
          <w:spacing w:val="0"/>
          <w:sz w:val="24"/>
          <w:szCs w:val="24"/>
          <w:highlight w:val="none"/>
          <w:lang w:val="en-US" w:eastAsia="zh-CN"/>
        </w:rPr>
        <w:t>五</w:t>
      </w:r>
      <w:r>
        <w:rPr>
          <w:rFonts w:hint="eastAsia" w:ascii="Times New Roman" w:hAnsi="Times New Roman" w:cs="Times New Roman"/>
          <w:color w:val="auto"/>
          <w:spacing w:val="0"/>
          <w:sz w:val="24"/>
          <w:szCs w:val="24"/>
          <w:highlight w:val="none"/>
        </w:rPr>
        <w:t>部分，加盖供应商公章）；</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（7）被授权人参加投标需提供法定代表人或负责人授权</w:t>
      </w:r>
      <w:r>
        <w:rPr>
          <w:rFonts w:hint="eastAsia" w:ascii="Times New Roman" w:hAnsi="Times New Roman" w:cs="Times New Roman"/>
          <w:color w:val="auto"/>
          <w:spacing w:val="0"/>
          <w:sz w:val="24"/>
          <w:szCs w:val="24"/>
          <w:highlight w:val="none"/>
          <w:lang w:val="en-US" w:eastAsia="zh-CN"/>
        </w:rPr>
        <w:t>委托</w:t>
      </w:r>
      <w:r>
        <w:rPr>
          <w:rFonts w:hint="eastAsia" w:ascii="Times New Roman" w:hAnsi="Times New Roman" w:cs="Times New Roman"/>
          <w:color w:val="auto"/>
          <w:spacing w:val="0"/>
          <w:sz w:val="24"/>
          <w:szCs w:val="24"/>
          <w:highlight w:val="none"/>
        </w:rPr>
        <w:t>书（附法定代表人或负责人身份证复印件）及被授权人身份证原件及复印件加盖公章；法定代表人或负责人直接参加投标的只须提供法定代表人或负责人身份证原</w:t>
      </w:r>
      <w:r>
        <w:rPr>
          <w:rFonts w:hint="eastAsia" w:ascii="Times New Roman" w:hAnsi="Times New Roman" w:cs="Times New Roman"/>
          <w:color w:val="auto"/>
          <w:spacing w:val="0"/>
          <w:sz w:val="24"/>
          <w:szCs w:val="24"/>
          <w:highlight w:val="none"/>
          <w:lang w:val="en-US" w:eastAsia="zh-CN"/>
        </w:rPr>
        <w:t>件</w:t>
      </w:r>
      <w:r>
        <w:rPr>
          <w:rFonts w:hint="eastAsia" w:ascii="Times New Roman" w:hAnsi="Times New Roman" w:cs="Times New Roman"/>
          <w:color w:val="auto"/>
          <w:spacing w:val="0"/>
          <w:sz w:val="24"/>
          <w:szCs w:val="24"/>
          <w:highlight w:val="none"/>
        </w:rPr>
        <w:t>及复印件加盖公章，法人身份证、负责人或被授权人身份证可由本人持有；（格式见第</w:t>
      </w:r>
      <w:r>
        <w:rPr>
          <w:rFonts w:hint="eastAsia" w:ascii="Times New Roman" w:hAnsi="Times New Roman" w:cs="Times New Roman"/>
          <w:color w:val="auto"/>
          <w:spacing w:val="0"/>
          <w:sz w:val="24"/>
          <w:szCs w:val="24"/>
          <w:highlight w:val="none"/>
          <w:lang w:val="en-US" w:eastAsia="zh-CN"/>
        </w:rPr>
        <w:t>五</w:t>
      </w:r>
      <w:r>
        <w:rPr>
          <w:rFonts w:hint="eastAsia" w:ascii="Times New Roman" w:hAnsi="Times New Roman" w:cs="Times New Roman"/>
          <w:color w:val="auto"/>
          <w:spacing w:val="0"/>
          <w:sz w:val="24"/>
          <w:szCs w:val="24"/>
          <w:highlight w:val="none"/>
        </w:rPr>
        <w:t>部分，加盖供应商公章）；</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（8）未被列入“信用中国”网站(http://</w:t>
      </w:r>
      <w:r>
        <w:rPr>
          <w:rFonts w:hint="default" w:ascii="Times New Roman" w:hAnsi="Times New Roman" w:cs="Times New Roman"/>
          <w:color w:val="auto"/>
          <w:spacing w:val="0"/>
          <w:sz w:val="24"/>
          <w:szCs w:val="24"/>
          <w:highlight w:val="none"/>
        </w:rPr>
        <w:fldChar w:fldCharType="begin"/>
      </w:r>
      <w:r>
        <w:rPr>
          <w:rFonts w:hint="default" w:ascii="Times New Roman" w:hAnsi="Times New Roman" w:cs="Times New Roman"/>
          <w:color w:val="auto"/>
          <w:spacing w:val="0"/>
          <w:sz w:val="24"/>
          <w:szCs w:val="24"/>
          <w:highlight w:val="none"/>
        </w:rPr>
        <w:instrText xml:space="preserve"> HYPERLINK "http://www.creditchina.gov.cn/" </w:instrText>
      </w:r>
      <w:r>
        <w:rPr>
          <w:rFonts w:hint="default" w:ascii="Times New Roman" w:hAnsi="Times New Roman" w:cs="Times New Roman"/>
          <w:color w:val="auto"/>
          <w:spacing w:val="0"/>
          <w:sz w:val="24"/>
          <w:szCs w:val="24"/>
          <w:highlight w:val="none"/>
        </w:rPr>
        <w:fldChar w:fldCharType="separate"/>
      </w:r>
      <w:r>
        <w:rPr>
          <w:rFonts w:hint="eastAsia" w:ascii="Times New Roman" w:hAnsi="Times New Roman" w:cs="Times New Roman"/>
          <w:color w:val="auto"/>
          <w:spacing w:val="0"/>
          <w:sz w:val="24"/>
          <w:szCs w:val="24"/>
          <w:highlight w:val="none"/>
        </w:rPr>
        <w:t>www.creditchina.gov.cn</w:t>
      </w:r>
      <w:r>
        <w:rPr>
          <w:rFonts w:hint="eastAsia" w:ascii="Times New Roman" w:hAnsi="Times New Roman" w:cs="Times New Roman"/>
          <w:color w:val="auto"/>
          <w:spacing w:val="0"/>
          <w:sz w:val="24"/>
          <w:szCs w:val="24"/>
          <w:highlight w:val="none"/>
        </w:rPr>
        <w:fldChar w:fldCharType="end"/>
      </w:r>
      <w:r>
        <w:rPr>
          <w:rFonts w:hint="eastAsia" w:ascii="Times New Roman" w:hAnsi="Times New Roman" w:cs="Times New Roman"/>
          <w:color w:val="auto"/>
          <w:spacing w:val="0"/>
          <w:sz w:val="24"/>
          <w:szCs w:val="24"/>
          <w:highlight w:val="none"/>
        </w:rPr>
        <w:t>)”失信被执行人或重大税收违法案件当事人名单或政府采购严重违法失信行为记录名单”的供应商；未被列入中国政府采购网(http://</w:t>
      </w:r>
      <w:r>
        <w:rPr>
          <w:rFonts w:hint="default" w:ascii="Times New Roman" w:hAnsi="Times New Roman" w:cs="Times New Roman"/>
          <w:color w:val="auto"/>
          <w:spacing w:val="0"/>
          <w:sz w:val="24"/>
          <w:szCs w:val="24"/>
          <w:highlight w:val="none"/>
        </w:rPr>
        <w:fldChar w:fldCharType="begin"/>
      </w:r>
      <w:r>
        <w:rPr>
          <w:rFonts w:hint="default" w:ascii="Times New Roman" w:hAnsi="Times New Roman" w:cs="Times New Roman"/>
          <w:color w:val="auto"/>
          <w:spacing w:val="0"/>
          <w:sz w:val="24"/>
          <w:szCs w:val="24"/>
          <w:highlight w:val="none"/>
        </w:rPr>
        <w:instrText xml:space="preserve"> HYPERLINK "http://www.ccgp.gov.cn/" </w:instrText>
      </w:r>
      <w:r>
        <w:rPr>
          <w:rFonts w:hint="default" w:ascii="Times New Roman" w:hAnsi="Times New Roman" w:cs="Times New Roman"/>
          <w:color w:val="auto"/>
          <w:spacing w:val="0"/>
          <w:sz w:val="24"/>
          <w:szCs w:val="24"/>
          <w:highlight w:val="none"/>
        </w:rPr>
        <w:fldChar w:fldCharType="separate"/>
      </w:r>
      <w:r>
        <w:rPr>
          <w:rFonts w:hint="eastAsia" w:ascii="Times New Roman" w:hAnsi="Times New Roman" w:cs="Times New Roman"/>
          <w:color w:val="auto"/>
          <w:spacing w:val="0"/>
          <w:sz w:val="24"/>
          <w:szCs w:val="24"/>
          <w:highlight w:val="none"/>
        </w:rPr>
        <w:t>www.ccgp.gov.cn</w:t>
      </w:r>
      <w:r>
        <w:rPr>
          <w:rFonts w:hint="eastAsia" w:ascii="Times New Roman" w:hAnsi="Times New Roman" w:cs="Times New Roman"/>
          <w:color w:val="auto"/>
          <w:spacing w:val="0"/>
          <w:sz w:val="24"/>
          <w:szCs w:val="24"/>
          <w:highlight w:val="none"/>
        </w:rPr>
        <w:fldChar w:fldCharType="end"/>
      </w:r>
      <w:r>
        <w:rPr>
          <w:rFonts w:hint="eastAsia" w:ascii="Times New Roman" w:hAnsi="Times New Roman" w:cs="Times New Roman"/>
          <w:color w:val="auto"/>
          <w:spacing w:val="0"/>
          <w:sz w:val="24"/>
          <w:szCs w:val="24"/>
          <w:highlight w:val="none"/>
        </w:rPr>
        <w:t>)“政府采购严重违法失信行为记录名单”中的供应商，提供网站截图，加盖供应商公章；</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w:t>
      </w:r>
      <w:r>
        <w:rPr>
          <w:rFonts w:hint="eastAsia" w:ascii="Times New Roman" w:hAnsi="Times New Roman" w:cs="Times New Roman"/>
          <w:color w:val="auto"/>
          <w:spacing w:val="0"/>
          <w:sz w:val="24"/>
          <w:szCs w:val="24"/>
          <w:highlight w:val="none"/>
          <w:lang w:val="en-US" w:eastAsia="zh-CN"/>
        </w:rPr>
        <w:t>9</w:t>
      </w:r>
      <w:r>
        <w:rPr>
          <w:rFonts w:hint="eastAsia" w:ascii="Times New Roman" w:hAnsi="Times New Roman" w:cs="Times New Roman"/>
          <w:color w:val="auto"/>
          <w:spacing w:val="0"/>
          <w:sz w:val="24"/>
          <w:szCs w:val="24"/>
          <w:highlight w:val="none"/>
        </w:rPr>
        <w:t>）</w:t>
      </w:r>
      <w:r>
        <w:rPr>
          <w:rFonts w:hint="eastAsia" w:ascii="Times New Roman" w:hAnsi="Times New Roman" w:cs="Times New Roman"/>
          <w:color w:val="auto"/>
          <w:spacing w:val="0"/>
          <w:sz w:val="24"/>
          <w:szCs w:val="24"/>
          <w:highlight w:val="none"/>
          <w:lang w:val="en-US" w:eastAsia="zh-CN"/>
        </w:rPr>
        <w:t>本项目不接受联合体投标</w:t>
      </w:r>
      <w:r>
        <w:rPr>
          <w:rFonts w:hint="eastAsia" w:ascii="Times New Roman" w:hAnsi="Times New Roman" w:cs="Times New Roman"/>
          <w:color w:val="auto"/>
          <w:spacing w:val="0"/>
          <w:sz w:val="24"/>
          <w:szCs w:val="24"/>
          <w:highlight w:val="none"/>
        </w:rPr>
        <w:t>。</w:t>
      </w:r>
    </w:p>
    <w:p>
      <w:pPr>
        <w:widowControl/>
        <w:spacing w:line="460" w:lineRule="exact"/>
        <w:ind w:firstLine="723" w:firstLineChars="300"/>
        <w:rPr>
          <w:rFonts w:hint="eastAsia" w:ascii="Times New Roman" w:hAnsi="Times New Roman" w:cs="Times New Roman"/>
          <w:b/>
          <w:bCs/>
          <w:sz w:val="24"/>
          <w:szCs w:val="24"/>
        </w:rPr>
      </w:pPr>
      <w:r>
        <w:rPr>
          <w:rFonts w:hint="eastAsia" w:ascii="Times New Roman" w:hAnsi="Times New Roman" w:cs="Times New Roman"/>
          <w:b/>
          <w:bCs/>
          <w:sz w:val="24"/>
          <w:szCs w:val="24"/>
        </w:rPr>
        <w:t>注：（1）资格审查:以上资格证明文件为必备资质，由采购人对供应商资格文件进行审核,缺少其中任何一项或有一项达不到要求，其投标文件将被视为无效文件，投标资格将被取消。</w:t>
      </w:r>
    </w:p>
    <w:p>
      <w:pPr>
        <w:widowControl/>
        <w:spacing w:line="460" w:lineRule="exact"/>
        <w:ind w:firstLine="482" w:firstLineChars="200"/>
        <w:rPr>
          <w:rFonts w:hint="eastAsia" w:ascii="Times New Roman" w:hAnsi="Times New Roman" w:cs="Times New Roman"/>
          <w:b/>
          <w:bCs/>
          <w:sz w:val="24"/>
          <w:szCs w:val="24"/>
        </w:rPr>
      </w:pPr>
      <w:r>
        <w:rPr>
          <w:rFonts w:hint="eastAsia" w:ascii="Times New Roman" w:hAnsi="Times New Roman" w:cs="Times New Roman"/>
          <w:b/>
          <w:bCs/>
          <w:sz w:val="24"/>
          <w:szCs w:val="24"/>
        </w:rPr>
        <w:t>（2）本次招标不接受联合体投标，中标供应商不得将项目分包或转包。</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rPr>
        <w:t>三、获取</w:t>
      </w:r>
      <w:r>
        <w:rPr>
          <w:rFonts w:hint="eastAsia" w:ascii="Times New Roman" w:hAnsi="Times New Roman" w:cs="Times New Roman"/>
          <w:b/>
          <w:bCs/>
          <w:color w:val="auto"/>
          <w:spacing w:val="0"/>
          <w:sz w:val="24"/>
          <w:szCs w:val="24"/>
          <w:highlight w:val="none"/>
          <w:lang w:val="en-US" w:eastAsia="zh-CN"/>
        </w:rPr>
        <w:t>竞争性谈判</w:t>
      </w:r>
      <w:r>
        <w:rPr>
          <w:rFonts w:hint="eastAsia" w:ascii="Times New Roman" w:hAnsi="Times New Roman" w:cs="Times New Roman"/>
          <w:b/>
          <w:bCs/>
          <w:color w:val="auto"/>
          <w:spacing w:val="0"/>
          <w:sz w:val="24"/>
          <w:szCs w:val="24"/>
          <w:highlight w:val="none"/>
        </w:rPr>
        <w:t>文件</w:t>
      </w:r>
    </w:p>
    <w:p>
      <w:pPr>
        <w:widowControl/>
        <w:spacing w:line="440" w:lineRule="exact"/>
        <w:ind w:firstLine="480" w:firstLineChars="200"/>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1、获取时间：202</w:t>
      </w:r>
      <w:r>
        <w:rPr>
          <w:rFonts w:hint="eastAsia" w:ascii="Times New Roman" w:hAnsi="Times New Roman" w:cs="Times New Roman"/>
          <w:color w:val="auto"/>
          <w:kern w:val="0"/>
          <w:sz w:val="24"/>
          <w:highlight w:val="none"/>
          <w:lang w:val="en-US" w:eastAsia="zh-CN"/>
        </w:rPr>
        <w:t>6</w:t>
      </w:r>
      <w:r>
        <w:rPr>
          <w:rFonts w:hint="default" w:ascii="Times New Roman" w:hAnsi="Times New Roman" w:cs="Times New Roman"/>
          <w:color w:val="auto"/>
          <w:kern w:val="0"/>
          <w:sz w:val="24"/>
          <w:highlight w:val="none"/>
        </w:rPr>
        <w:t>年</w:t>
      </w:r>
      <w:r>
        <w:rPr>
          <w:rFonts w:hint="eastAsia" w:ascii="Times New Roman" w:hAnsi="Times New Roman" w:cs="Times New Roman"/>
          <w:color w:val="auto"/>
          <w:kern w:val="0"/>
          <w:sz w:val="24"/>
          <w:highlight w:val="none"/>
          <w:lang w:val="en-US" w:eastAsia="zh-CN"/>
        </w:rPr>
        <w:t>10</w:t>
      </w:r>
      <w:r>
        <w:rPr>
          <w:rFonts w:hint="default" w:ascii="Times New Roman" w:hAnsi="Times New Roman" w:cs="Times New Roman"/>
          <w:color w:val="auto"/>
          <w:kern w:val="0"/>
          <w:sz w:val="24"/>
          <w:highlight w:val="none"/>
        </w:rPr>
        <w:t>月</w:t>
      </w:r>
      <w:r>
        <w:rPr>
          <w:rFonts w:hint="eastAsia" w:ascii="Times New Roman" w:hAnsi="Times New Roman" w:cs="Times New Roman"/>
          <w:color w:val="auto"/>
          <w:kern w:val="0"/>
          <w:sz w:val="24"/>
          <w:highlight w:val="none"/>
          <w:lang w:val="en-US" w:eastAsia="zh-CN"/>
        </w:rPr>
        <w:t>14</w:t>
      </w:r>
      <w:r>
        <w:rPr>
          <w:rFonts w:hint="default" w:ascii="Times New Roman" w:hAnsi="Times New Roman" w:cs="Times New Roman"/>
          <w:color w:val="auto"/>
          <w:kern w:val="0"/>
          <w:sz w:val="24"/>
          <w:highlight w:val="none"/>
        </w:rPr>
        <w:t>日</w:t>
      </w:r>
      <w:r>
        <w:rPr>
          <w:rFonts w:hint="eastAsia" w:ascii="Times New Roman" w:hAnsi="Times New Roman" w:cs="Times New Roman"/>
          <w:color w:val="auto"/>
          <w:kern w:val="0"/>
          <w:sz w:val="24"/>
          <w:highlight w:val="none"/>
          <w:lang w:eastAsia="zh-CN"/>
        </w:rPr>
        <w:t>—</w:t>
      </w:r>
      <w:r>
        <w:rPr>
          <w:rFonts w:hint="default" w:ascii="Times New Roman" w:hAnsi="Times New Roman" w:cs="Times New Roman"/>
          <w:color w:val="auto"/>
          <w:kern w:val="0"/>
          <w:sz w:val="24"/>
          <w:highlight w:val="none"/>
        </w:rPr>
        <w:t>202</w:t>
      </w:r>
      <w:r>
        <w:rPr>
          <w:rFonts w:hint="eastAsia" w:ascii="Times New Roman" w:hAnsi="Times New Roman" w:cs="Times New Roman"/>
          <w:color w:val="auto"/>
          <w:kern w:val="0"/>
          <w:sz w:val="24"/>
          <w:highlight w:val="none"/>
          <w:lang w:val="en-US" w:eastAsia="zh-CN"/>
        </w:rPr>
        <w:t>6</w:t>
      </w:r>
      <w:r>
        <w:rPr>
          <w:rFonts w:hint="default" w:ascii="Times New Roman" w:hAnsi="Times New Roman" w:cs="Times New Roman"/>
          <w:color w:val="auto"/>
          <w:kern w:val="0"/>
          <w:sz w:val="24"/>
          <w:highlight w:val="none"/>
        </w:rPr>
        <w:t>年</w:t>
      </w:r>
      <w:r>
        <w:rPr>
          <w:rFonts w:hint="eastAsia" w:ascii="Times New Roman" w:hAnsi="Times New Roman" w:cs="Times New Roman"/>
          <w:color w:val="auto"/>
          <w:kern w:val="0"/>
          <w:sz w:val="24"/>
          <w:highlight w:val="none"/>
          <w:lang w:val="en-US" w:eastAsia="zh-CN"/>
        </w:rPr>
        <w:t xml:space="preserve"> 10</w:t>
      </w:r>
      <w:r>
        <w:rPr>
          <w:rFonts w:hint="default" w:ascii="Times New Roman" w:hAnsi="Times New Roman" w:cs="Times New Roman"/>
          <w:color w:val="auto"/>
          <w:kern w:val="0"/>
          <w:sz w:val="24"/>
          <w:highlight w:val="none"/>
        </w:rPr>
        <w:t>月</w:t>
      </w:r>
      <w:r>
        <w:rPr>
          <w:rFonts w:hint="eastAsia" w:ascii="Times New Roman" w:hAnsi="Times New Roman" w:cs="Times New Roman"/>
          <w:color w:val="auto"/>
          <w:kern w:val="0"/>
          <w:sz w:val="24"/>
          <w:highlight w:val="none"/>
          <w:lang w:val="en-US" w:eastAsia="zh-CN"/>
        </w:rPr>
        <w:t>16</w:t>
      </w:r>
      <w:r>
        <w:rPr>
          <w:rFonts w:hint="default" w:ascii="Times New Roman" w:hAnsi="Times New Roman" w:cs="Times New Roman"/>
          <w:color w:val="auto"/>
          <w:kern w:val="0"/>
          <w:sz w:val="24"/>
          <w:highlight w:val="none"/>
        </w:rPr>
        <w:t>日</w:t>
      </w:r>
    </w:p>
    <w:p>
      <w:pPr>
        <w:widowControl/>
        <w:spacing w:line="440" w:lineRule="exact"/>
        <w:ind w:firstLine="480" w:firstLineChars="200"/>
        <w:rPr>
          <w:rFonts w:hint="default" w:ascii="Times New Roman" w:hAnsi="Times New Roman" w:eastAsia="宋体" w:cs="Times New Roman"/>
          <w:color w:val="auto"/>
          <w:kern w:val="0"/>
          <w:sz w:val="24"/>
          <w:highlight w:val="none"/>
          <w:lang w:eastAsia="zh-CN"/>
        </w:rPr>
      </w:pPr>
      <w:r>
        <w:rPr>
          <w:rFonts w:hint="default" w:ascii="Times New Roman" w:hAnsi="Times New Roman" w:cs="Times New Roman"/>
          <w:color w:val="auto"/>
          <w:kern w:val="0"/>
          <w:sz w:val="24"/>
          <w:highlight w:val="none"/>
        </w:rPr>
        <w:t>2、获取方式：网上自行下载（逾期下载通道自行关闭，已投标未下载采购文件的供应商自行承担责任）</w:t>
      </w:r>
      <w:r>
        <w:rPr>
          <w:rFonts w:hint="default" w:ascii="Times New Roman" w:hAnsi="Times New Roman" w:cs="Times New Roman"/>
          <w:color w:val="auto"/>
          <w:kern w:val="0"/>
          <w:sz w:val="24"/>
          <w:highlight w:val="none"/>
          <w:lang w:eastAsia="zh-CN"/>
        </w:rPr>
        <w:t>。</w:t>
      </w:r>
    </w:p>
    <w:p>
      <w:pPr>
        <w:widowControl/>
        <w:spacing w:line="460" w:lineRule="exact"/>
        <w:ind w:firstLine="480" w:firstLineChars="200"/>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3、供应商可登录全国公共资源交易平台（陕西省</w:t>
      </w:r>
      <w:r>
        <w:rPr>
          <w:rFonts w:hint="default" w:ascii="Times New Roman" w:hAnsi="Times New Roman" w:eastAsia="宋体" w:cs="Times New Roman"/>
          <w:color w:val="auto"/>
          <w:kern w:val="0"/>
          <w:sz w:val="24"/>
          <w:highlight w:val="none"/>
          <w:lang w:val="en-US" w:eastAsia="zh-CN"/>
        </w:rPr>
        <w:t>.咸阳市</w:t>
      </w:r>
      <w:r>
        <w:rPr>
          <w:rFonts w:hint="default" w:ascii="Times New Roman" w:hAnsi="Times New Roman" w:eastAsia="宋体" w:cs="Times New Roman"/>
          <w:color w:val="auto"/>
          <w:kern w:val="0"/>
          <w:sz w:val="24"/>
          <w:highlight w:val="none"/>
        </w:rPr>
        <w:t>）（http://ggzy.xianyang.gov.cn/），选择“电子交易平台—陕西公共资源交易系统—企业端”进行登录，登录后选择“交易中标供应商”身份进入供应商界面后，可以对处于报名期的项目进行网上报名。报名通过后即可在〖我的项目〗中点击“项目流程&gt;交易文件下载”免费下载电子招标文件（*.SXSZF）。</w:t>
      </w:r>
    </w:p>
    <w:p>
      <w:pPr>
        <w:widowControl/>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4、供应商初次使用交易平台，须先完成诚信入库登记、CA锁认证及企业信息绑定。相关操作流程详见全国公共资源交易平台（陕西省）网站〖首页·〉服务指南·〉下载专区〗中的《陕西省公共资源交易中心政府采购项目投标指南》。CA锁办理地址及咨询电话如下：西安市长安北路14号省体育公寓B座一楼 咨询电话：029-88661241 </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注意</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b/>
          <w:color w:val="auto"/>
          <w:sz w:val="24"/>
          <w:szCs w:val="24"/>
          <w:highlight w:val="none"/>
        </w:rPr>
        <w:t>供应商应随时留意可能发布的变更公告</w:t>
      </w:r>
      <w:r>
        <w:rPr>
          <w:rFonts w:hint="default" w:ascii="Times New Roman" w:hAnsi="Times New Roman" w:cs="Times New Roman"/>
          <w:b/>
          <w:color w:val="auto"/>
          <w:sz w:val="24"/>
          <w:szCs w:val="24"/>
          <w:highlight w:val="none"/>
          <w:lang w:eastAsia="zh-CN"/>
        </w:rPr>
        <w:t>，</w:t>
      </w:r>
      <w:r>
        <w:rPr>
          <w:rFonts w:hint="default" w:ascii="Times New Roman" w:hAnsi="Times New Roman" w:cs="Times New Roman"/>
          <w:b/>
          <w:color w:val="auto"/>
          <w:kern w:val="0"/>
          <w:sz w:val="24"/>
          <w:szCs w:val="24"/>
          <w:highlight w:val="none"/>
        </w:rPr>
        <w:t>因供应商未及时关注所造或的一切后果由供应商自行承担。</w:t>
      </w:r>
    </w:p>
    <w:p>
      <w:pPr>
        <w:keepNext w:val="0"/>
        <w:keepLines w:val="0"/>
        <w:pageBreakBefore w:val="0"/>
        <w:widowControl/>
        <w:kinsoku/>
        <w:wordWrap/>
        <w:overflowPunct/>
        <w:topLinePunct w:val="0"/>
        <w:autoSpaceDE/>
        <w:autoSpaceDN/>
        <w:bidi w:val="0"/>
        <w:adjustRightInd/>
        <w:snapToGrid/>
        <w:spacing w:line="440" w:lineRule="exact"/>
        <w:ind w:firstLine="482" w:firstLineChars="200"/>
        <w:jc w:val="both"/>
        <w:textAlignment w:val="auto"/>
        <w:rPr>
          <w:rFonts w:hint="default" w:ascii="Times New Roman" w:hAnsi="Times New Roman" w:cs="Times New Roman"/>
          <w:b/>
          <w:color w:val="auto"/>
          <w:kern w:val="0"/>
          <w:sz w:val="24"/>
          <w:szCs w:val="24"/>
          <w:highlight w:val="none"/>
        </w:rPr>
      </w:pPr>
      <w:r>
        <w:rPr>
          <w:rFonts w:hint="default" w:ascii="Times New Roman" w:hAnsi="Times New Roman" w:cs="Times New Roman"/>
          <w:b/>
          <w:color w:val="auto"/>
          <w:sz w:val="24"/>
          <w:szCs w:val="24"/>
          <w:highlight w:val="none"/>
        </w:rPr>
        <w:t>新点客服电话：4008503300</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b/>
          <w:bCs/>
          <w:color w:val="auto"/>
          <w:spacing w:val="0"/>
          <w:sz w:val="24"/>
          <w:szCs w:val="24"/>
          <w:highlight w:val="none"/>
        </w:rPr>
        <w:t>四、提交</w:t>
      </w:r>
      <w:r>
        <w:rPr>
          <w:rFonts w:hint="eastAsia" w:ascii="Times New Roman" w:hAnsi="Times New Roman" w:cs="Times New Roman"/>
          <w:b/>
          <w:bCs/>
          <w:color w:val="auto"/>
          <w:spacing w:val="0"/>
          <w:sz w:val="24"/>
          <w:szCs w:val="24"/>
          <w:highlight w:val="none"/>
          <w:lang w:val="en-US" w:eastAsia="zh-CN"/>
        </w:rPr>
        <w:t>响应</w:t>
      </w:r>
      <w:r>
        <w:rPr>
          <w:rFonts w:hint="eastAsia" w:ascii="Times New Roman" w:hAnsi="Times New Roman" w:cs="Times New Roman"/>
          <w:b/>
          <w:bCs/>
          <w:color w:val="auto"/>
          <w:spacing w:val="0"/>
          <w:sz w:val="24"/>
          <w:szCs w:val="24"/>
          <w:highlight w:val="none"/>
        </w:rPr>
        <w:t>文件截止时间、开标时间和地点</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1、开标及提交</w:t>
      </w:r>
      <w:r>
        <w:rPr>
          <w:rFonts w:hint="eastAsia" w:ascii="Times New Roman" w:hAnsi="Times New Roman" w:cs="Times New Roman"/>
          <w:color w:val="auto"/>
          <w:kern w:val="0"/>
          <w:sz w:val="24"/>
          <w:szCs w:val="24"/>
          <w:highlight w:val="none"/>
          <w:lang w:val="en-US" w:eastAsia="zh-CN"/>
        </w:rPr>
        <w:t>响应</w:t>
      </w:r>
      <w:r>
        <w:rPr>
          <w:rFonts w:hint="default" w:ascii="Times New Roman" w:hAnsi="Times New Roman" w:cs="Times New Roman"/>
          <w:color w:val="auto"/>
          <w:kern w:val="0"/>
          <w:sz w:val="24"/>
          <w:szCs w:val="24"/>
          <w:highlight w:val="none"/>
        </w:rPr>
        <w:t>文件截止时间：202</w:t>
      </w:r>
      <w:r>
        <w:rPr>
          <w:rFonts w:hint="eastAsia" w:ascii="Times New Roman" w:hAnsi="Times New Roman" w:cs="Times New Roman"/>
          <w:color w:val="auto"/>
          <w:kern w:val="0"/>
          <w:sz w:val="24"/>
          <w:szCs w:val="24"/>
          <w:highlight w:val="none"/>
          <w:lang w:val="en-US" w:eastAsia="zh-CN"/>
        </w:rPr>
        <w:t>6</w:t>
      </w:r>
      <w:r>
        <w:rPr>
          <w:rFonts w:hint="default" w:ascii="Times New Roman" w:hAnsi="Times New Roman" w:cs="Times New Roman"/>
          <w:color w:val="auto"/>
          <w:kern w:val="0"/>
          <w:sz w:val="24"/>
          <w:szCs w:val="24"/>
          <w:highlight w:val="none"/>
        </w:rPr>
        <w:t>年</w:t>
      </w:r>
      <w:r>
        <w:rPr>
          <w:rFonts w:hint="eastAsia" w:ascii="Times New Roman" w:hAnsi="Times New Roman" w:cs="Times New Roman"/>
          <w:color w:val="auto"/>
          <w:kern w:val="0"/>
          <w:sz w:val="24"/>
          <w:szCs w:val="24"/>
          <w:highlight w:val="none"/>
          <w:lang w:val="en-US" w:eastAsia="zh-CN"/>
        </w:rPr>
        <w:t>10</w:t>
      </w:r>
      <w:r>
        <w:rPr>
          <w:rFonts w:hint="default" w:ascii="Times New Roman" w:hAnsi="Times New Roman" w:cs="Times New Roman"/>
          <w:color w:val="auto"/>
          <w:kern w:val="0"/>
          <w:sz w:val="24"/>
          <w:szCs w:val="24"/>
          <w:highlight w:val="none"/>
        </w:rPr>
        <w:t>月</w:t>
      </w:r>
      <w:r>
        <w:rPr>
          <w:rFonts w:hint="eastAsia" w:ascii="Times New Roman" w:hAnsi="Times New Roman" w:cs="Times New Roman"/>
          <w:color w:val="auto"/>
          <w:kern w:val="0"/>
          <w:sz w:val="24"/>
          <w:szCs w:val="24"/>
          <w:highlight w:val="none"/>
          <w:lang w:val="en-US" w:eastAsia="zh-CN"/>
        </w:rPr>
        <w:t>23</w:t>
      </w:r>
      <w:r>
        <w:rPr>
          <w:rFonts w:hint="default" w:ascii="Times New Roman" w:hAnsi="Times New Roman" w:cs="Times New Roman"/>
          <w:color w:val="auto"/>
          <w:kern w:val="0"/>
          <w:sz w:val="24"/>
          <w:szCs w:val="24"/>
          <w:highlight w:val="none"/>
        </w:rPr>
        <w:t xml:space="preserve">日 </w:t>
      </w:r>
      <w:r>
        <w:rPr>
          <w:rFonts w:hint="eastAsia" w:ascii="Times New Roman" w:hAnsi="Times New Roman" w:cs="Times New Roman"/>
          <w:color w:val="auto"/>
          <w:kern w:val="0"/>
          <w:sz w:val="24"/>
          <w:szCs w:val="24"/>
          <w:highlight w:val="none"/>
          <w:lang w:val="en-US" w:eastAsia="zh-CN"/>
        </w:rPr>
        <w:t>上</w:t>
      </w:r>
      <w:r>
        <w:rPr>
          <w:rFonts w:hint="default" w:ascii="Times New Roman" w:hAnsi="Times New Roman" w:cs="Times New Roman"/>
          <w:color w:val="auto"/>
          <w:kern w:val="0"/>
          <w:sz w:val="24"/>
          <w:szCs w:val="24"/>
          <w:highlight w:val="none"/>
        </w:rPr>
        <w:t>午</w:t>
      </w:r>
      <w:r>
        <w:rPr>
          <w:rFonts w:hint="eastAsia" w:ascii="Times New Roman" w:hAnsi="Times New Roman" w:cs="Times New Roman"/>
          <w:color w:val="auto"/>
          <w:kern w:val="0"/>
          <w:sz w:val="24"/>
          <w:szCs w:val="24"/>
          <w:highlight w:val="none"/>
          <w:lang w:val="en-US" w:eastAsia="zh-CN"/>
        </w:rPr>
        <w:t>9</w:t>
      </w:r>
      <w:r>
        <w:rPr>
          <w:rFonts w:hint="eastAsia" w:ascii="Times New Roman" w:hAnsi="Times New Roman" w:cs="Times New Roman"/>
          <w:color w:val="auto"/>
          <w:kern w:val="0"/>
          <w:sz w:val="24"/>
          <w:szCs w:val="24"/>
          <w:highlight w:val="none"/>
          <w:lang w:eastAsia="zh-CN"/>
        </w:rPr>
        <w:t>：</w:t>
      </w:r>
      <w:r>
        <w:rPr>
          <w:rFonts w:hint="eastAsia" w:ascii="Times New Roman" w:hAnsi="Times New Roman" w:cs="Times New Roman"/>
          <w:color w:val="auto"/>
          <w:kern w:val="0"/>
          <w:sz w:val="24"/>
          <w:szCs w:val="24"/>
          <w:highlight w:val="none"/>
          <w:lang w:val="en-US" w:eastAsia="zh-CN"/>
        </w:rPr>
        <w:t>30</w:t>
      </w:r>
      <w:r>
        <w:rPr>
          <w:rFonts w:hint="default" w:ascii="Times New Roman" w:hAnsi="Times New Roman" w:cs="Times New Roman"/>
          <w:color w:val="auto"/>
          <w:kern w:val="0"/>
          <w:sz w:val="24"/>
          <w:szCs w:val="24"/>
          <w:highlight w:val="none"/>
        </w:rPr>
        <w:t xml:space="preserve"> 整</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2、递交</w:t>
      </w:r>
      <w:r>
        <w:rPr>
          <w:rFonts w:hint="eastAsia" w:ascii="Times New Roman" w:hAnsi="Times New Roman" w:cs="Times New Roman"/>
          <w:color w:val="auto"/>
          <w:kern w:val="0"/>
          <w:sz w:val="24"/>
          <w:szCs w:val="24"/>
          <w:highlight w:val="none"/>
          <w:lang w:val="en-US" w:eastAsia="zh-CN"/>
        </w:rPr>
        <w:t>响应</w:t>
      </w:r>
      <w:r>
        <w:rPr>
          <w:rFonts w:hint="default" w:ascii="Times New Roman" w:hAnsi="Times New Roman" w:cs="Times New Roman"/>
          <w:color w:val="auto"/>
          <w:kern w:val="0"/>
          <w:sz w:val="24"/>
          <w:szCs w:val="24"/>
          <w:highlight w:val="none"/>
        </w:rPr>
        <w:t>文件截止时间和方式：电子投标文件可于提交投标文件截止时间前任意时段进行提交，逾期系统将拒绝接收。</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lang w:val="en-US" w:eastAsia="zh-CN"/>
        </w:rPr>
        <w:t>3</w:t>
      </w:r>
      <w:r>
        <w:rPr>
          <w:rFonts w:hint="default" w:ascii="Times New Roman" w:hAnsi="Times New Roman" w:cs="Times New Roman"/>
          <w:color w:val="auto"/>
          <w:kern w:val="0"/>
          <w:sz w:val="24"/>
          <w:szCs w:val="24"/>
          <w:highlight w:val="none"/>
        </w:rPr>
        <w:t>、</w:t>
      </w:r>
      <w:r>
        <w:rPr>
          <w:rFonts w:hint="default" w:ascii="Times New Roman" w:hAnsi="Times New Roman" w:cs="Times New Roman"/>
          <w:color w:val="auto"/>
          <w:kern w:val="0"/>
          <w:sz w:val="24"/>
          <w:szCs w:val="24"/>
          <w:highlight w:val="none"/>
          <w:u w:val="none"/>
        </w:rPr>
        <w:t>根据咸阳市财政局《关于</w:t>
      </w:r>
      <w:r>
        <w:rPr>
          <w:rFonts w:hint="default" w:ascii="Times New Roman" w:hAnsi="Times New Roman" w:eastAsia="宋体" w:cs="Times New Roman"/>
          <w:color w:val="auto"/>
          <w:kern w:val="0"/>
          <w:sz w:val="24"/>
          <w:szCs w:val="24"/>
          <w:highlight w:val="none"/>
        </w:rPr>
        <w:t>促进政府采购公平竞争优化营商环境的通知》</w:t>
      </w:r>
      <w:r>
        <w:rPr>
          <w:rFonts w:hint="eastAsia" w:ascii="Times New Roman" w:hAnsi="Times New Roman" w:eastAsia="宋体" w:cs="Times New Roman"/>
          <w:color w:val="auto"/>
          <w:kern w:val="0"/>
          <w:sz w:val="24"/>
          <w:szCs w:val="24"/>
          <w:highlight w:val="none"/>
        </w:rPr>
        <w:t>（咸财采购</w:t>
      </w:r>
      <w:r>
        <w:rPr>
          <w:rFonts w:hint="eastAsia" w:ascii="Times New Roman" w:hAnsi="Times New Roman" w:eastAsia="宋体" w:cs="Times New Roman"/>
          <w:color w:val="auto"/>
          <w:kern w:val="0"/>
          <w:sz w:val="24"/>
          <w:szCs w:val="24"/>
          <w:highlight w:val="none"/>
          <w:lang w:val="en-US" w:eastAsia="zh-CN"/>
        </w:rPr>
        <w:t>〔2021〕</w:t>
      </w:r>
      <w:r>
        <w:rPr>
          <w:rFonts w:hint="eastAsia" w:ascii="Times New Roman" w:hAnsi="Times New Roman" w:eastAsia="宋体" w:cs="Times New Roman"/>
          <w:color w:val="auto"/>
          <w:kern w:val="0"/>
          <w:sz w:val="24"/>
          <w:szCs w:val="24"/>
          <w:highlight w:val="none"/>
        </w:rPr>
        <w:t>9号）文件规定，</w:t>
      </w:r>
      <w:r>
        <w:rPr>
          <w:rFonts w:hint="default" w:ascii="Times New Roman" w:hAnsi="Times New Roman" w:eastAsia="宋体" w:cs="Times New Roman"/>
          <w:color w:val="auto"/>
          <w:kern w:val="0"/>
          <w:sz w:val="24"/>
          <w:szCs w:val="24"/>
          <w:highlight w:val="none"/>
        </w:rPr>
        <w:t>供应商参与本项目招标活动时，免交投</w:t>
      </w:r>
      <w:r>
        <w:rPr>
          <w:rFonts w:hint="default" w:ascii="Times New Roman" w:hAnsi="Times New Roman" w:cs="Times New Roman"/>
          <w:color w:val="auto"/>
          <w:kern w:val="0"/>
          <w:sz w:val="24"/>
          <w:szCs w:val="24"/>
          <w:highlight w:val="none"/>
        </w:rPr>
        <w:t>标保证金。</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default" w:ascii="Times New Roman" w:hAnsi="Times New Roman" w:eastAsia="宋体" w:cs="Times New Roman"/>
          <w:color w:val="auto"/>
          <w:sz w:val="24"/>
          <w:szCs w:val="24"/>
          <w:highlight w:val="none"/>
          <w:shd w:val="clear" w:color="auto" w:fill="FFFFFF"/>
        </w:rPr>
      </w:pPr>
      <w:r>
        <w:rPr>
          <w:rFonts w:hint="default" w:ascii="Times New Roman" w:hAnsi="Times New Roman" w:cs="Times New Roman"/>
          <w:color w:val="auto"/>
          <w:kern w:val="0"/>
          <w:sz w:val="24"/>
          <w:szCs w:val="24"/>
          <w:highlight w:val="none"/>
          <w:lang w:val="en-US" w:eastAsia="zh-CN"/>
        </w:rPr>
        <w:t>4</w:t>
      </w:r>
      <w:r>
        <w:rPr>
          <w:rFonts w:hint="default" w:ascii="Times New Roman" w:hAnsi="Times New Roman" w:cs="Times New Roman"/>
          <w:color w:val="auto"/>
          <w:kern w:val="0"/>
          <w:sz w:val="24"/>
          <w:szCs w:val="24"/>
          <w:highlight w:val="none"/>
        </w:rPr>
        <w:t>、</w:t>
      </w:r>
      <w:r>
        <w:rPr>
          <w:rFonts w:hint="default" w:ascii="Times New Roman" w:hAnsi="Times New Roman" w:eastAsia="宋体" w:cs="Times New Roman"/>
          <w:color w:val="auto"/>
          <w:sz w:val="24"/>
          <w:szCs w:val="24"/>
          <w:highlight w:val="none"/>
          <w:shd w:val="clear" w:color="auto" w:fill="FFFFFF"/>
        </w:rPr>
        <w:t>本项目采用“不见面开标”形式，供应商可远程登录〖</w:t>
      </w:r>
      <w:r>
        <w:rPr>
          <w:rFonts w:hint="default" w:ascii="Times New Roman" w:hAnsi="Times New Roman" w:cs="Times New Roman"/>
          <w:color w:val="auto"/>
          <w:kern w:val="0"/>
          <w:sz w:val="24"/>
          <w:szCs w:val="24"/>
          <w:highlight w:val="none"/>
        </w:rPr>
        <w:t>全国公共资源交易平台（陕西省.咸阳市）</w:t>
      </w:r>
      <w:r>
        <w:rPr>
          <w:rFonts w:hint="default" w:ascii="Times New Roman" w:hAnsi="Times New Roman" w:eastAsia="宋体" w:cs="Times New Roman"/>
          <w:color w:val="auto"/>
          <w:sz w:val="24"/>
          <w:szCs w:val="24"/>
          <w:highlight w:val="none"/>
          <w:shd w:val="clear" w:color="auto" w:fill="FFFFFF"/>
        </w:rPr>
        <w:t>〉不见面开标〗在线参加开标过程。详见〖</w:t>
      </w:r>
      <w:r>
        <w:rPr>
          <w:rFonts w:hint="default" w:ascii="Times New Roman" w:hAnsi="Times New Roman" w:cs="Times New Roman"/>
          <w:color w:val="auto"/>
          <w:kern w:val="0"/>
          <w:sz w:val="24"/>
          <w:szCs w:val="24"/>
          <w:highlight w:val="none"/>
        </w:rPr>
        <w:t>全国公共资源交易平台（陕西省.咸阳市）</w:t>
      </w:r>
      <w:r>
        <w:rPr>
          <w:rFonts w:hint="default" w:ascii="Times New Roman" w:hAnsi="Times New Roman" w:eastAsia="宋体" w:cs="Times New Roman"/>
          <w:color w:val="auto"/>
          <w:sz w:val="24"/>
          <w:szCs w:val="24"/>
          <w:highlight w:val="none"/>
          <w:shd w:val="clear" w:color="auto" w:fill="FFFFFF"/>
        </w:rPr>
        <w:t>〉服务指南〉下载专区〗中的《</w:t>
      </w:r>
      <w:r>
        <w:rPr>
          <w:rFonts w:hint="default" w:ascii="Times New Roman" w:hAnsi="Times New Roman" w:eastAsia="宋体" w:cs="Times New Roman"/>
          <w:color w:val="auto"/>
          <w:sz w:val="24"/>
          <w:szCs w:val="24"/>
          <w:highlight w:val="none"/>
          <w:shd w:val="clear" w:color="auto" w:fill="FFFFFF"/>
          <w:lang w:eastAsia="zh-CN"/>
        </w:rPr>
        <w:t>咸阳市</w:t>
      </w:r>
      <w:r>
        <w:rPr>
          <w:rFonts w:hint="default" w:ascii="Times New Roman" w:hAnsi="Times New Roman" w:eastAsia="宋体" w:cs="Times New Roman"/>
          <w:color w:val="auto"/>
          <w:sz w:val="24"/>
          <w:szCs w:val="24"/>
          <w:highlight w:val="none"/>
          <w:shd w:val="clear" w:color="auto" w:fill="FFFFFF"/>
        </w:rPr>
        <w:t>公共资源交易不见面开标大厅</w:t>
      </w:r>
      <w:r>
        <w:rPr>
          <w:rFonts w:hint="default" w:ascii="Times New Roman" w:hAnsi="Times New Roman" w:eastAsia="宋体" w:cs="Times New Roman"/>
          <w:color w:val="auto"/>
          <w:sz w:val="24"/>
          <w:szCs w:val="24"/>
          <w:highlight w:val="none"/>
          <w:shd w:val="clear" w:color="auto" w:fill="FFFFFF"/>
          <w:lang w:eastAsia="zh-CN"/>
        </w:rPr>
        <w:t>投标人</w:t>
      </w:r>
      <w:r>
        <w:rPr>
          <w:rFonts w:hint="default" w:ascii="Times New Roman" w:hAnsi="Times New Roman" w:eastAsia="宋体" w:cs="Times New Roman"/>
          <w:color w:val="auto"/>
          <w:sz w:val="24"/>
          <w:szCs w:val="24"/>
          <w:highlight w:val="none"/>
          <w:shd w:val="clear" w:color="auto" w:fill="FFFFFF"/>
        </w:rPr>
        <w:t>操作手册》。</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rPr>
        <w:t>五、公告期限</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自本公告发布之日起</w:t>
      </w:r>
      <w:r>
        <w:rPr>
          <w:rFonts w:hint="eastAsia" w:ascii="Times New Roman" w:hAnsi="Times New Roman" w:cs="Times New Roman"/>
          <w:color w:val="auto"/>
          <w:spacing w:val="0"/>
          <w:sz w:val="24"/>
          <w:szCs w:val="24"/>
          <w:highlight w:val="none"/>
          <w:lang w:val="en-US" w:eastAsia="zh-CN"/>
        </w:rPr>
        <w:t>3</w:t>
      </w:r>
      <w:r>
        <w:rPr>
          <w:rFonts w:hint="eastAsia" w:ascii="Times New Roman" w:hAnsi="Times New Roman" w:cs="Times New Roman"/>
          <w:color w:val="auto"/>
          <w:spacing w:val="0"/>
          <w:sz w:val="24"/>
          <w:szCs w:val="24"/>
          <w:highlight w:val="none"/>
        </w:rPr>
        <w:t>个工作日。</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rPr>
        <w:t>六、其他补充事宜</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rPr>
        <w:t>七、对本次招标提出询问，请按以下方式联系。</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1.采购人信息</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名称：咸阳</w:t>
      </w:r>
      <w:r>
        <w:rPr>
          <w:rFonts w:hint="eastAsia" w:ascii="Times New Roman" w:hAnsi="Times New Roman" w:cs="Times New Roman"/>
          <w:color w:val="auto"/>
          <w:spacing w:val="0"/>
          <w:sz w:val="24"/>
          <w:szCs w:val="24"/>
          <w:highlight w:val="none"/>
          <w:lang w:val="en-US" w:eastAsia="zh-CN"/>
        </w:rPr>
        <w:t>市秦都区丝路花城小学</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地址：</w:t>
      </w:r>
      <w:r>
        <w:rPr>
          <w:rStyle w:val="13"/>
          <w:rFonts w:ascii="Arial" w:hAnsi="Arial" w:eastAsia="Arial" w:cs="Arial"/>
          <w:i w:val="0"/>
          <w:iCs w:val="0"/>
          <w:caps w:val="0"/>
          <w:color w:val="333333"/>
          <w:spacing w:val="0"/>
          <w:sz w:val="24"/>
          <w:szCs w:val="24"/>
        </w:rPr>
        <w:t>陕西省咸阳市秦都区世纪大道金泰丝路花城社区</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联系人：</w:t>
      </w:r>
      <w:r>
        <w:rPr>
          <w:rFonts w:hint="eastAsia" w:ascii="Times New Roman" w:hAnsi="Times New Roman" w:cs="Times New Roman"/>
          <w:color w:val="auto"/>
          <w:spacing w:val="0"/>
          <w:sz w:val="24"/>
          <w:szCs w:val="24"/>
          <w:highlight w:val="none"/>
          <w:lang w:val="en-US" w:eastAsia="zh-CN"/>
        </w:rPr>
        <w:t>刘馨宇</w:t>
      </w:r>
      <w:r>
        <w:rPr>
          <w:rFonts w:hint="eastAsia" w:ascii="Times New Roman" w:hAnsi="Times New Roman" w:cs="Times New Roman"/>
          <w:color w:val="auto"/>
          <w:spacing w:val="0"/>
          <w:sz w:val="24"/>
          <w:szCs w:val="24"/>
          <w:highlight w:val="none"/>
          <w:lang w:val="en-US" w:eastAsia="zh-CN"/>
        </w:rPr>
        <w:tab/>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电话：</w:t>
      </w:r>
      <w:r>
        <w:rPr>
          <w:rFonts w:hint="eastAsia" w:ascii="Times New Roman" w:hAnsi="Times New Roman" w:cs="Times New Roman"/>
          <w:color w:val="auto"/>
          <w:spacing w:val="0"/>
          <w:sz w:val="24"/>
          <w:szCs w:val="24"/>
          <w:highlight w:val="none"/>
          <w:lang w:val="en-US" w:eastAsia="zh-CN"/>
        </w:rPr>
        <w:t>15394109576</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2.采购代理机构信息</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名称：咸阳市秦都区政府采购中心</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地址：咸阳市秦都区渭阳中路1号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联系人：赵女士</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联系方式：029-33213950</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p>
    <w:p>
      <w:pPr>
        <w:keepNext w:val="0"/>
        <w:keepLines w:val="0"/>
        <w:pageBreakBefore w:val="0"/>
        <w:widowControl/>
        <w:kinsoku/>
        <w:wordWrap/>
        <w:overflowPunct/>
        <w:topLinePunct w:val="0"/>
        <w:autoSpaceDE/>
        <w:autoSpaceDN/>
        <w:bidi w:val="0"/>
        <w:adjustRightInd/>
        <w:snapToGrid/>
        <w:spacing w:line="460" w:lineRule="exact"/>
        <w:ind w:firstLine="5280" w:firstLineChars="2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咸阳市秦都区政府采购中心</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 xml:space="preserve">                                              202</w:t>
      </w:r>
      <w:r>
        <w:rPr>
          <w:rFonts w:hint="eastAsia" w:ascii="Times New Roman" w:hAnsi="Times New Roman" w:cs="Times New Roman"/>
          <w:color w:val="auto"/>
          <w:spacing w:val="0"/>
          <w:sz w:val="24"/>
          <w:szCs w:val="24"/>
          <w:highlight w:val="none"/>
          <w:lang w:val="en-US" w:eastAsia="zh-CN"/>
        </w:rPr>
        <w:t>6</w:t>
      </w:r>
      <w:r>
        <w:rPr>
          <w:rFonts w:hint="eastAsia" w:ascii="Times New Roman" w:hAnsi="Times New Roman" w:cs="Times New Roman"/>
          <w:color w:val="auto"/>
          <w:spacing w:val="0"/>
          <w:sz w:val="24"/>
          <w:szCs w:val="24"/>
          <w:highlight w:val="none"/>
        </w:rPr>
        <w:t>年</w:t>
      </w:r>
      <w:r>
        <w:rPr>
          <w:rFonts w:hint="eastAsia" w:ascii="Times New Roman" w:hAnsi="Times New Roman" w:cs="Times New Roman"/>
          <w:color w:val="auto"/>
          <w:spacing w:val="0"/>
          <w:sz w:val="24"/>
          <w:szCs w:val="24"/>
          <w:highlight w:val="none"/>
          <w:lang w:val="en-US" w:eastAsia="zh-CN"/>
        </w:rPr>
        <w:t xml:space="preserve"> 10</w:t>
      </w:r>
      <w:r>
        <w:rPr>
          <w:rFonts w:hint="eastAsia" w:ascii="Times New Roman" w:hAnsi="Times New Roman" w:cs="Times New Roman"/>
          <w:color w:val="auto"/>
          <w:spacing w:val="0"/>
          <w:sz w:val="24"/>
          <w:szCs w:val="24"/>
          <w:highlight w:val="none"/>
        </w:rPr>
        <w:t>月</w:t>
      </w:r>
      <w:r>
        <w:rPr>
          <w:rFonts w:hint="eastAsia" w:ascii="Times New Roman" w:hAnsi="Times New Roman" w:cs="Times New Roman"/>
          <w:color w:val="auto"/>
          <w:spacing w:val="0"/>
          <w:sz w:val="24"/>
          <w:szCs w:val="24"/>
          <w:highlight w:val="none"/>
          <w:lang w:val="en-US" w:eastAsia="zh-CN"/>
        </w:rPr>
        <w:t>13</w:t>
      </w:r>
      <w:r>
        <w:rPr>
          <w:rFonts w:hint="eastAsia" w:ascii="Times New Roman" w:hAnsi="Times New Roman" w:cs="Times New Roman"/>
          <w:color w:val="auto"/>
          <w:spacing w:val="0"/>
          <w:sz w:val="24"/>
          <w:szCs w:val="24"/>
          <w:highlight w:val="none"/>
        </w:rPr>
        <w:t>日</w:t>
      </w: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ind w:firstLine="2711" w:firstLineChars="900"/>
        <w:jc w:val="both"/>
        <w:textAlignment w:val="auto"/>
        <w:rPr>
          <w:rFonts w:hint="default" w:ascii="Times New Roman" w:hAnsi="Times New Roman" w:cs="Times New Roman"/>
          <w:b/>
          <w:bCs/>
          <w:kern w:val="2"/>
          <w:sz w:val="30"/>
          <w:szCs w:val="30"/>
          <w:highlight w:val="none"/>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ind w:firstLine="2711" w:firstLineChars="900"/>
        <w:jc w:val="both"/>
        <w:textAlignment w:val="auto"/>
        <w:rPr>
          <w:rFonts w:hint="default" w:ascii="Times New Roman" w:hAnsi="Times New Roman" w:cs="Times New Roman"/>
          <w:b/>
          <w:bCs/>
          <w:kern w:val="2"/>
          <w:sz w:val="30"/>
          <w:szCs w:val="30"/>
          <w:highlight w:val="none"/>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ind w:firstLine="2711" w:firstLineChars="900"/>
        <w:jc w:val="both"/>
        <w:textAlignment w:val="auto"/>
        <w:rPr>
          <w:rFonts w:hint="default" w:ascii="Times New Roman" w:hAnsi="Times New Roman" w:cs="Times New Roman"/>
          <w:b/>
          <w:bCs/>
          <w:kern w:val="2"/>
          <w:sz w:val="30"/>
          <w:szCs w:val="30"/>
          <w:highlight w:val="none"/>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ind w:firstLine="3012" w:firstLineChars="1000"/>
        <w:jc w:val="both"/>
        <w:textAlignment w:val="auto"/>
        <w:rPr>
          <w:rFonts w:hint="default" w:ascii="Times New Roman" w:hAnsi="Times New Roman" w:cs="Times New Roman"/>
          <w:b/>
          <w:bCs/>
          <w:kern w:val="2"/>
          <w:sz w:val="30"/>
          <w:szCs w:val="30"/>
          <w:highlight w:val="none"/>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ind w:firstLine="3012" w:firstLineChars="1000"/>
        <w:jc w:val="both"/>
        <w:textAlignment w:val="auto"/>
        <w:rPr>
          <w:rFonts w:hint="default" w:ascii="Times New Roman" w:hAnsi="Times New Roman" w:cs="Times New Roman"/>
          <w:b/>
          <w:bCs/>
          <w:kern w:val="2"/>
          <w:sz w:val="30"/>
          <w:szCs w:val="30"/>
          <w:highlight w:val="none"/>
          <w:lang w:val="en-US" w:eastAsia="zh-CN" w:bidi="ar-SA"/>
        </w:rPr>
      </w:pPr>
      <w:r>
        <w:rPr>
          <w:rFonts w:hint="default" w:ascii="Times New Roman" w:hAnsi="Times New Roman" w:cs="Times New Roman"/>
          <w:b/>
          <w:bCs/>
          <w:kern w:val="2"/>
          <w:sz w:val="30"/>
          <w:szCs w:val="30"/>
          <w:highlight w:val="none"/>
          <w:lang w:val="en-US" w:eastAsia="zh-CN" w:bidi="ar-SA"/>
        </w:rPr>
        <w:t>第</w:t>
      </w:r>
      <w:r>
        <w:rPr>
          <w:rFonts w:hint="eastAsia" w:ascii="Times New Roman" w:hAnsi="Times New Roman" w:cs="Times New Roman"/>
          <w:b/>
          <w:bCs/>
          <w:kern w:val="2"/>
          <w:sz w:val="30"/>
          <w:szCs w:val="30"/>
          <w:highlight w:val="none"/>
          <w:lang w:val="en-US" w:eastAsia="zh-CN" w:bidi="ar-SA"/>
        </w:rPr>
        <w:t>二</w:t>
      </w:r>
      <w:r>
        <w:rPr>
          <w:rFonts w:hint="default" w:ascii="Times New Roman" w:hAnsi="Times New Roman" w:cs="Times New Roman"/>
          <w:b/>
          <w:bCs/>
          <w:kern w:val="2"/>
          <w:sz w:val="30"/>
          <w:szCs w:val="30"/>
          <w:highlight w:val="none"/>
          <w:lang w:val="en-US" w:eastAsia="zh-CN" w:bidi="ar-SA"/>
        </w:rPr>
        <w:t xml:space="preserve">部分 </w:t>
      </w:r>
      <w:r>
        <w:rPr>
          <w:rFonts w:hint="eastAsia" w:ascii="Times New Roman" w:hAnsi="Times New Roman" w:cs="Times New Roman"/>
          <w:b/>
          <w:bCs/>
          <w:kern w:val="2"/>
          <w:sz w:val="30"/>
          <w:szCs w:val="30"/>
          <w:highlight w:val="none"/>
          <w:lang w:val="en-US" w:eastAsia="zh-CN" w:bidi="ar-SA"/>
        </w:rPr>
        <w:t xml:space="preserve"> </w:t>
      </w:r>
      <w:r>
        <w:rPr>
          <w:rFonts w:hint="default" w:ascii="Times New Roman" w:hAnsi="Times New Roman" w:cs="Times New Roman"/>
          <w:b/>
          <w:bCs/>
          <w:kern w:val="2"/>
          <w:sz w:val="30"/>
          <w:szCs w:val="30"/>
          <w:highlight w:val="none"/>
          <w:lang w:val="en-US" w:eastAsia="zh-CN" w:bidi="ar-SA"/>
        </w:rPr>
        <w:t xml:space="preserve"> 谈判</w:t>
      </w:r>
      <w:r>
        <w:rPr>
          <w:rFonts w:hint="eastAsia" w:ascii="Times New Roman" w:hAnsi="Times New Roman" w:cs="Times New Roman"/>
          <w:b/>
          <w:bCs/>
          <w:kern w:val="2"/>
          <w:sz w:val="30"/>
          <w:szCs w:val="30"/>
          <w:highlight w:val="none"/>
          <w:lang w:val="en-US" w:eastAsia="zh-CN" w:bidi="ar-SA"/>
        </w:rPr>
        <w:t>须知</w:t>
      </w:r>
    </w:p>
    <w:p>
      <w:pPr>
        <w:keepNext w:val="0"/>
        <w:keepLines w:val="0"/>
        <w:pageBreakBefore w:val="0"/>
        <w:kinsoku/>
        <w:wordWrap/>
        <w:overflowPunct/>
        <w:topLinePunct w:val="0"/>
        <w:autoSpaceDE/>
        <w:autoSpaceDN/>
        <w:bidi w:val="0"/>
        <w:snapToGrid/>
        <w:spacing w:line="460" w:lineRule="exact"/>
        <w:ind w:firstLine="482" w:firstLineChars="200"/>
        <w:textAlignment w:val="auto"/>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一、</w:t>
      </w:r>
      <w:r>
        <w:rPr>
          <w:rFonts w:hint="default" w:ascii="Times New Roman" w:hAnsi="Times New Roman" w:cs="Times New Roman"/>
          <w:b/>
          <w:color w:val="auto"/>
          <w:sz w:val="24"/>
          <w:highlight w:val="none"/>
          <w:lang w:eastAsia="zh-CN"/>
        </w:rPr>
        <w:t>谈判</w:t>
      </w:r>
      <w:r>
        <w:rPr>
          <w:rFonts w:hint="default" w:ascii="Times New Roman" w:hAnsi="Times New Roman" w:cs="Times New Roman"/>
          <w:b/>
          <w:color w:val="auto"/>
          <w:sz w:val="24"/>
          <w:highlight w:val="none"/>
        </w:rPr>
        <w:t>方式</w:t>
      </w:r>
    </w:p>
    <w:p>
      <w:pPr>
        <w:keepNext w:val="0"/>
        <w:keepLines w:val="0"/>
        <w:pageBreakBefore w:val="0"/>
        <w:kinsoku/>
        <w:wordWrap/>
        <w:overflowPunct/>
        <w:topLinePunct w:val="0"/>
        <w:autoSpaceDE/>
        <w:autoSpaceDN/>
        <w:bidi w:val="0"/>
        <w:snapToGrid/>
        <w:spacing w:line="460" w:lineRule="exact"/>
        <w:ind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此次采购项目采取背靠背的</w:t>
      </w:r>
      <w:r>
        <w:rPr>
          <w:rFonts w:hint="default" w:ascii="Times New Roman" w:hAnsi="Times New Roman" w:cs="Times New Roman"/>
          <w:color w:val="auto"/>
          <w:sz w:val="24"/>
          <w:highlight w:val="none"/>
          <w:lang w:eastAsia="zh-CN"/>
        </w:rPr>
        <w:t>谈判</w:t>
      </w:r>
      <w:r>
        <w:rPr>
          <w:rFonts w:hint="default" w:ascii="Times New Roman" w:hAnsi="Times New Roman" w:cs="Times New Roman"/>
          <w:color w:val="auto"/>
          <w:sz w:val="24"/>
          <w:highlight w:val="none"/>
        </w:rPr>
        <w:t>方式。即</w:t>
      </w:r>
      <w:r>
        <w:rPr>
          <w:rFonts w:hint="default" w:ascii="Times New Roman" w:hAnsi="Times New Roman" w:cs="Times New Roman"/>
          <w:color w:val="auto"/>
          <w:sz w:val="24"/>
          <w:highlight w:val="none"/>
          <w:lang w:eastAsia="zh-CN"/>
        </w:rPr>
        <w:t>谈判</w:t>
      </w:r>
      <w:r>
        <w:rPr>
          <w:rFonts w:hint="default" w:ascii="Times New Roman" w:hAnsi="Times New Roman" w:cs="Times New Roman"/>
          <w:color w:val="auto"/>
          <w:sz w:val="24"/>
          <w:highlight w:val="none"/>
        </w:rPr>
        <w:t>小组所有成员集中与各供应商分别进行一对一的</w:t>
      </w:r>
      <w:r>
        <w:rPr>
          <w:rFonts w:hint="default" w:ascii="Times New Roman" w:hAnsi="Times New Roman" w:cs="Times New Roman"/>
          <w:color w:val="auto"/>
          <w:sz w:val="24"/>
          <w:highlight w:val="none"/>
          <w:lang w:eastAsia="zh-CN"/>
        </w:rPr>
        <w:t>谈判</w:t>
      </w:r>
      <w:r>
        <w:rPr>
          <w:rFonts w:hint="default" w:ascii="Times New Roman" w:hAnsi="Times New Roman" w:cs="Times New Roman"/>
          <w:color w:val="auto"/>
          <w:sz w:val="24"/>
          <w:highlight w:val="none"/>
        </w:rPr>
        <w:t>。在</w:t>
      </w:r>
      <w:r>
        <w:rPr>
          <w:rFonts w:hint="default" w:ascii="Times New Roman" w:hAnsi="Times New Roman" w:cs="Times New Roman"/>
          <w:color w:val="auto"/>
          <w:sz w:val="24"/>
          <w:highlight w:val="none"/>
          <w:lang w:eastAsia="zh-CN"/>
        </w:rPr>
        <w:t>谈判</w:t>
      </w:r>
      <w:r>
        <w:rPr>
          <w:rFonts w:hint="default" w:ascii="Times New Roman" w:hAnsi="Times New Roman" w:cs="Times New Roman"/>
          <w:color w:val="auto"/>
          <w:sz w:val="24"/>
          <w:highlight w:val="none"/>
        </w:rPr>
        <w:t>中，参与</w:t>
      </w:r>
      <w:r>
        <w:rPr>
          <w:rFonts w:hint="default" w:ascii="Times New Roman" w:hAnsi="Times New Roman" w:cs="Times New Roman"/>
          <w:color w:val="auto"/>
          <w:sz w:val="24"/>
          <w:highlight w:val="none"/>
          <w:lang w:eastAsia="zh-CN"/>
        </w:rPr>
        <w:t>谈判</w:t>
      </w:r>
      <w:r>
        <w:rPr>
          <w:rFonts w:hint="default" w:ascii="Times New Roman" w:hAnsi="Times New Roman" w:cs="Times New Roman"/>
          <w:color w:val="auto"/>
          <w:sz w:val="24"/>
          <w:highlight w:val="none"/>
        </w:rPr>
        <w:t>的任何一方不得透露与</w:t>
      </w:r>
      <w:r>
        <w:rPr>
          <w:rFonts w:hint="default" w:ascii="Times New Roman" w:hAnsi="Times New Roman" w:cs="Times New Roman"/>
          <w:color w:val="auto"/>
          <w:sz w:val="24"/>
          <w:highlight w:val="none"/>
          <w:lang w:eastAsia="zh-CN"/>
        </w:rPr>
        <w:t>谈判</w:t>
      </w:r>
      <w:r>
        <w:rPr>
          <w:rFonts w:hint="default" w:ascii="Times New Roman" w:hAnsi="Times New Roman" w:cs="Times New Roman"/>
          <w:color w:val="auto"/>
          <w:sz w:val="24"/>
          <w:highlight w:val="none"/>
        </w:rPr>
        <w:t>有关的其他供应商的技术资料、报价和其他信息。</w:t>
      </w:r>
    </w:p>
    <w:p>
      <w:pPr>
        <w:keepNext w:val="0"/>
        <w:keepLines w:val="0"/>
        <w:pageBreakBefore w:val="0"/>
        <w:kinsoku/>
        <w:wordWrap/>
        <w:overflowPunct/>
        <w:topLinePunct w:val="0"/>
        <w:autoSpaceDE/>
        <w:autoSpaceDN/>
        <w:bidi w:val="0"/>
        <w:snapToGrid/>
        <w:spacing w:line="460" w:lineRule="exact"/>
        <w:ind w:firstLine="482" w:firstLineChars="200"/>
        <w:textAlignment w:val="auto"/>
        <w:rPr>
          <w:rFonts w:hint="default" w:ascii="Times New Roman" w:hAnsi="Times New Roman" w:cs="Times New Roman"/>
          <w:b/>
          <w:bCs w:val="0"/>
          <w:color w:val="auto"/>
          <w:sz w:val="24"/>
          <w:highlight w:val="none"/>
          <w:lang w:val="en-US"/>
        </w:rPr>
      </w:pPr>
      <w:r>
        <w:rPr>
          <w:rFonts w:hint="default" w:ascii="Times New Roman" w:hAnsi="Times New Roman" w:cs="Times New Roman"/>
          <w:b/>
          <w:bCs w:val="0"/>
          <w:color w:val="auto"/>
          <w:sz w:val="24"/>
          <w:highlight w:val="none"/>
        </w:rPr>
        <w:t>二、</w:t>
      </w:r>
      <w:r>
        <w:rPr>
          <w:rFonts w:hint="default" w:ascii="Times New Roman" w:hAnsi="Times New Roman" w:cs="Times New Roman"/>
          <w:b/>
          <w:bCs w:val="0"/>
          <w:color w:val="auto"/>
          <w:sz w:val="24"/>
          <w:highlight w:val="none"/>
          <w:lang w:eastAsia="zh-CN"/>
        </w:rPr>
        <w:t>谈判</w:t>
      </w:r>
      <w:r>
        <w:rPr>
          <w:rFonts w:hint="eastAsia" w:ascii="Times New Roman" w:hAnsi="Times New Roman" w:cs="Times New Roman"/>
          <w:b/>
          <w:bCs w:val="0"/>
          <w:color w:val="auto"/>
          <w:sz w:val="24"/>
          <w:highlight w:val="none"/>
          <w:lang w:val="en-US" w:eastAsia="zh-CN"/>
        </w:rPr>
        <w:t>说明</w:t>
      </w:r>
    </w:p>
    <w:p>
      <w:pPr>
        <w:keepNext w:val="0"/>
        <w:keepLines w:val="0"/>
        <w:pageBreakBefore w:val="0"/>
        <w:widowControl/>
        <w:kinsoku/>
        <w:wordWrap/>
        <w:overflowPunct/>
        <w:topLinePunct w:val="0"/>
        <w:autoSpaceDE/>
        <w:autoSpaceDN/>
        <w:bidi w:val="0"/>
        <w:snapToGrid/>
        <w:spacing w:line="460" w:lineRule="exact"/>
        <w:ind w:firstLine="480" w:firstLineChars="200"/>
        <w:textAlignment w:val="auto"/>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1、根据《政府采购法》规定，本次招标由集中采购机构咸阳市</w:t>
      </w:r>
      <w:r>
        <w:rPr>
          <w:rFonts w:hint="eastAsia" w:ascii="Times New Roman" w:hAnsi="Times New Roman" w:cs="Times New Roman"/>
          <w:color w:val="auto"/>
          <w:kern w:val="0"/>
          <w:sz w:val="24"/>
          <w:highlight w:val="none"/>
          <w:lang w:val="en-US" w:eastAsia="zh-CN"/>
        </w:rPr>
        <w:t>秦都区</w:t>
      </w:r>
      <w:r>
        <w:rPr>
          <w:rFonts w:hint="default" w:ascii="Times New Roman" w:hAnsi="Times New Roman" w:cs="Times New Roman"/>
          <w:color w:val="auto"/>
          <w:kern w:val="0"/>
          <w:sz w:val="24"/>
          <w:highlight w:val="none"/>
        </w:rPr>
        <w:t>政府采购中心组织招标、开标、评标工作，整个过程受政府采购监管机构的监督、管理。定标工作由采购单位组建的采购领导小组根据评审委员会提供的评标报告确定。</w:t>
      </w:r>
    </w:p>
    <w:p>
      <w:pPr>
        <w:keepNext w:val="0"/>
        <w:keepLines w:val="0"/>
        <w:pageBreakBefore w:val="0"/>
        <w:widowControl/>
        <w:kinsoku/>
        <w:wordWrap/>
        <w:overflowPunct/>
        <w:topLinePunct w:val="0"/>
        <w:autoSpaceDE/>
        <w:autoSpaceDN/>
        <w:bidi w:val="0"/>
        <w:snapToGrid/>
        <w:spacing w:line="460" w:lineRule="exact"/>
        <w:ind w:firstLine="480" w:firstLineChars="200"/>
        <w:textAlignment w:val="auto"/>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2、集中采购机构在规定的时间和地点组织</w:t>
      </w:r>
      <w:r>
        <w:rPr>
          <w:rFonts w:hint="default" w:ascii="Times New Roman" w:hAnsi="Times New Roman" w:cs="Times New Roman"/>
          <w:color w:val="auto"/>
          <w:kern w:val="0"/>
          <w:sz w:val="24"/>
          <w:highlight w:val="none"/>
          <w:lang w:val="en-US" w:eastAsia="zh-CN"/>
        </w:rPr>
        <w:t>谈判</w:t>
      </w:r>
      <w:r>
        <w:rPr>
          <w:rFonts w:hint="default" w:ascii="Times New Roman" w:hAnsi="Times New Roman" w:cs="Times New Roman"/>
          <w:color w:val="auto"/>
          <w:kern w:val="0"/>
          <w:sz w:val="24"/>
          <w:highlight w:val="none"/>
        </w:rPr>
        <w:t>，供应商可派法定代表人或被授权人在线参加</w:t>
      </w:r>
      <w:r>
        <w:rPr>
          <w:rFonts w:hint="default" w:ascii="Times New Roman" w:hAnsi="Times New Roman" w:cs="Times New Roman"/>
          <w:color w:val="auto"/>
          <w:kern w:val="0"/>
          <w:sz w:val="24"/>
          <w:highlight w:val="none"/>
          <w:lang w:val="en-US" w:eastAsia="zh-CN"/>
        </w:rPr>
        <w:t>谈判</w:t>
      </w:r>
      <w:r>
        <w:rPr>
          <w:rFonts w:hint="default" w:ascii="Times New Roman" w:hAnsi="Times New Roman" w:cs="Times New Roman"/>
          <w:color w:val="auto"/>
          <w:kern w:val="0"/>
          <w:sz w:val="24"/>
          <w:highlight w:val="none"/>
        </w:rPr>
        <w:t>活动，并</w:t>
      </w:r>
      <w:r>
        <w:rPr>
          <w:rFonts w:hint="default" w:ascii="Times New Roman" w:hAnsi="Times New Roman" w:cs="Times New Roman"/>
          <w:color w:val="auto"/>
          <w:kern w:val="0"/>
          <w:sz w:val="24"/>
          <w:highlight w:val="none"/>
          <w:lang w:val="en-US" w:eastAsia="zh-CN"/>
        </w:rPr>
        <w:t>在开标前完成</w:t>
      </w:r>
      <w:r>
        <w:rPr>
          <w:rFonts w:hint="default" w:ascii="Times New Roman" w:hAnsi="Times New Roman" w:cs="Times New Roman"/>
          <w:color w:val="auto"/>
          <w:kern w:val="0"/>
          <w:sz w:val="24"/>
          <w:highlight w:val="none"/>
        </w:rPr>
        <w:t>签到。</w:t>
      </w:r>
    </w:p>
    <w:p>
      <w:pPr>
        <w:keepNext w:val="0"/>
        <w:keepLines w:val="0"/>
        <w:pageBreakBefore w:val="0"/>
        <w:widowControl/>
        <w:kinsoku/>
        <w:wordWrap/>
        <w:overflowPunct/>
        <w:topLinePunct w:val="0"/>
        <w:autoSpaceDE/>
        <w:autoSpaceDN/>
        <w:bidi w:val="0"/>
        <w:snapToGrid/>
        <w:spacing w:line="460" w:lineRule="exact"/>
        <w:ind w:firstLine="480" w:firstLineChars="200"/>
        <w:textAlignment w:val="auto"/>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kern w:val="0"/>
          <w:sz w:val="24"/>
          <w:highlight w:val="none"/>
        </w:rPr>
        <w:t>3、主持人宣布</w:t>
      </w:r>
      <w:r>
        <w:rPr>
          <w:rFonts w:hint="default" w:ascii="Times New Roman" w:hAnsi="Times New Roman" w:cs="Times New Roman"/>
          <w:color w:val="auto"/>
          <w:kern w:val="0"/>
          <w:sz w:val="24"/>
          <w:highlight w:val="none"/>
          <w:lang w:eastAsia="zh-CN"/>
        </w:rPr>
        <w:t>开始解密</w:t>
      </w:r>
      <w:r>
        <w:rPr>
          <w:rFonts w:hint="default" w:ascii="Times New Roman" w:hAnsi="Times New Roman" w:cs="Times New Roman"/>
          <w:color w:val="auto"/>
          <w:kern w:val="0"/>
          <w:sz w:val="24"/>
          <w:highlight w:val="none"/>
        </w:rPr>
        <w:t>后，供应商应</w:t>
      </w:r>
      <w:r>
        <w:rPr>
          <w:rFonts w:hint="default" w:ascii="Times New Roman" w:hAnsi="Times New Roman" w:cs="Times New Roman"/>
          <w:color w:val="auto"/>
          <w:sz w:val="24"/>
          <w:highlight w:val="none"/>
          <w:lang w:eastAsia="zh-CN"/>
        </w:rPr>
        <w:t>在</w:t>
      </w:r>
      <w:r>
        <w:rPr>
          <w:rFonts w:hint="eastAsia" w:ascii="Times New Roman" w:hAnsi="Times New Roman" w:cs="Times New Roman"/>
          <w:color w:val="auto"/>
          <w:sz w:val="24"/>
          <w:highlight w:val="none"/>
          <w:lang w:val="en-US" w:eastAsia="zh-CN"/>
        </w:rPr>
        <w:t>60</w:t>
      </w:r>
      <w:r>
        <w:rPr>
          <w:rFonts w:hint="default" w:ascii="Times New Roman" w:hAnsi="Times New Roman" w:cs="Times New Roman"/>
          <w:color w:val="auto"/>
          <w:sz w:val="24"/>
          <w:highlight w:val="none"/>
          <w:lang w:val="en-US" w:eastAsia="zh-CN"/>
        </w:rPr>
        <w:t>分钟内</w:t>
      </w:r>
      <w:r>
        <w:rPr>
          <w:rFonts w:hint="default" w:ascii="Times New Roman" w:hAnsi="Times New Roman" w:cs="Times New Roman"/>
          <w:color w:val="auto"/>
          <w:sz w:val="24"/>
          <w:highlight w:val="none"/>
        </w:rPr>
        <w:t>使用CA对电子</w:t>
      </w:r>
      <w:r>
        <w:rPr>
          <w:rFonts w:hint="eastAsia" w:ascii="Times New Roman" w:hAnsi="Times New Roman" w:cs="Times New Roman"/>
          <w:color w:val="auto"/>
          <w:sz w:val="24"/>
          <w:highlight w:val="none"/>
          <w:lang w:val="en-US" w:eastAsia="zh-CN"/>
        </w:rPr>
        <w:t>谈判</w:t>
      </w:r>
      <w:r>
        <w:rPr>
          <w:rFonts w:hint="default" w:ascii="Times New Roman" w:hAnsi="Times New Roman" w:cs="Times New Roman"/>
          <w:color w:val="auto"/>
          <w:sz w:val="24"/>
          <w:highlight w:val="none"/>
        </w:rPr>
        <w:t>文件进行解密，</w:t>
      </w:r>
      <w:r>
        <w:rPr>
          <w:rFonts w:hint="default" w:ascii="Times New Roman" w:hAnsi="Times New Roman" w:cs="Times New Roman"/>
          <w:color w:val="auto"/>
          <w:sz w:val="24"/>
          <w:highlight w:val="none"/>
          <w:lang w:val="en-US" w:eastAsia="zh-CN"/>
        </w:rPr>
        <w:t>超时仍未解密视为无效投标文件。</w:t>
      </w:r>
    </w:p>
    <w:p>
      <w:pPr>
        <w:keepNext w:val="0"/>
        <w:keepLines w:val="0"/>
        <w:pageBreakBefore w:val="0"/>
        <w:kinsoku/>
        <w:wordWrap/>
        <w:overflowPunct/>
        <w:topLinePunct w:val="0"/>
        <w:autoSpaceDE/>
        <w:autoSpaceDN/>
        <w:bidi w:val="0"/>
        <w:adjustRightInd w:val="0"/>
        <w:snapToGrid/>
        <w:spacing w:line="460" w:lineRule="exact"/>
        <w:ind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eastAsiaTheme="minorEastAsia"/>
          <w:b w:val="0"/>
          <w:bCs w:val="0"/>
          <w:color w:val="auto"/>
          <w:sz w:val="24"/>
          <w:highlight w:val="none"/>
          <w:lang w:val="en-US" w:eastAsia="zh-CN"/>
        </w:rPr>
        <w:t>4、解密后，</w:t>
      </w:r>
      <w:r>
        <w:rPr>
          <w:rFonts w:hint="default" w:ascii="Times New Roman" w:hAnsi="Times New Roman" w:cs="Times New Roman"/>
          <w:color w:val="auto"/>
          <w:sz w:val="24"/>
          <w:highlight w:val="none"/>
        </w:rPr>
        <w:t>先以公开唱标的形式集中公布各供应商的第一次报价</w:t>
      </w:r>
      <w:r>
        <w:rPr>
          <w:rFonts w:hint="eastAsia" w:ascii="Times New Roman" w:hAnsi="Times New Roman" w:eastAsia="宋体" w:cs="Times New Roman"/>
          <w:b/>
          <w:bCs/>
          <w:color w:val="auto"/>
          <w:sz w:val="24"/>
          <w:highlight w:val="none"/>
          <w:lang w:val="en-US" w:eastAsia="zh-CN"/>
        </w:rPr>
        <w:t>（投标报价=投标报价=</w:t>
      </w:r>
      <w:r>
        <w:rPr>
          <w:rFonts w:hint="eastAsia" w:ascii="Times New Roman" w:hAnsi="Times New Roman" w:eastAsia="宋体" w:cs="Times New Roman"/>
          <w:b/>
          <w:bCs/>
          <w:color w:val="auto"/>
          <w:sz w:val="24"/>
          <w:highlight w:val="none"/>
          <w:lang w:val="zh-CN" w:eastAsia="zh-CN"/>
        </w:rPr>
        <w:t>成本</w:t>
      </w:r>
      <w:r>
        <w:rPr>
          <w:rFonts w:hint="eastAsia" w:ascii="Times New Roman" w:hAnsi="Times New Roman" w:eastAsia="宋体" w:cs="Times New Roman"/>
          <w:b/>
          <w:bCs/>
          <w:color w:val="auto"/>
          <w:sz w:val="24"/>
          <w:highlight w:val="none"/>
          <w:lang w:val="en-US" w:eastAsia="zh-CN"/>
        </w:rPr>
        <w:t>+</w:t>
      </w:r>
      <w:r>
        <w:rPr>
          <w:rFonts w:hint="eastAsia" w:ascii="Times New Roman" w:hAnsi="Times New Roman" w:eastAsia="宋体" w:cs="Times New Roman"/>
          <w:b/>
          <w:bCs/>
          <w:color w:val="auto"/>
          <w:sz w:val="24"/>
          <w:highlight w:val="none"/>
          <w:lang w:val="zh-CN" w:eastAsia="zh-CN"/>
        </w:rPr>
        <w:t>运费</w:t>
      </w:r>
      <w:r>
        <w:rPr>
          <w:rFonts w:hint="eastAsia" w:ascii="Times New Roman" w:hAnsi="Times New Roman" w:eastAsia="宋体" w:cs="Times New Roman"/>
          <w:b/>
          <w:bCs/>
          <w:color w:val="auto"/>
          <w:sz w:val="24"/>
          <w:highlight w:val="none"/>
          <w:lang w:val="en-US" w:eastAsia="zh-CN"/>
        </w:rPr>
        <w:t>+</w:t>
      </w:r>
      <w:r>
        <w:rPr>
          <w:rFonts w:hint="eastAsia" w:ascii="Times New Roman" w:hAnsi="Times New Roman" w:eastAsia="宋体" w:cs="Times New Roman"/>
          <w:b/>
          <w:bCs/>
          <w:color w:val="auto"/>
          <w:sz w:val="24"/>
          <w:highlight w:val="none"/>
          <w:lang w:val="zh-CN" w:eastAsia="zh-CN"/>
        </w:rPr>
        <w:t>保险费</w:t>
      </w:r>
      <w:r>
        <w:rPr>
          <w:rFonts w:hint="eastAsia" w:ascii="Times New Roman" w:hAnsi="Times New Roman" w:eastAsia="宋体" w:cs="Times New Roman"/>
          <w:b/>
          <w:bCs/>
          <w:color w:val="auto"/>
          <w:sz w:val="24"/>
          <w:highlight w:val="none"/>
          <w:lang w:val="en-US" w:eastAsia="zh-CN"/>
        </w:rPr>
        <w:t>+</w:t>
      </w:r>
      <w:r>
        <w:rPr>
          <w:rFonts w:hint="eastAsia" w:ascii="Times New Roman" w:hAnsi="Times New Roman" w:eastAsia="宋体" w:cs="Times New Roman"/>
          <w:b/>
          <w:bCs/>
          <w:color w:val="auto"/>
          <w:sz w:val="24"/>
          <w:highlight w:val="none"/>
          <w:lang w:val="zh-CN" w:eastAsia="zh-CN"/>
        </w:rPr>
        <w:t>搬运费</w:t>
      </w:r>
      <w:r>
        <w:rPr>
          <w:rFonts w:hint="eastAsia" w:ascii="Times New Roman" w:hAnsi="Times New Roman" w:eastAsia="宋体" w:cs="Times New Roman"/>
          <w:b/>
          <w:bCs/>
          <w:color w:val="auto"/>
          <w:sz w:val="24"/>
          <w:highlight w:val="none"/>
          <w:lang w:val="en-US" w:eastAsia="zh-CN"/>
        </w:rPr>
        <w:t>+</w:t>
      </w:r>
      <w:r>
        <w:rPr>
          <w:rFonts w:hint="eastAsia" w:ascii="Times New Roman" w:hAnsi="Times New Roman" w:eastAsia="宋体" w:cs="Times New Roman"/>
          <w:b/>
          <w:bCs/>
          <w:color w:val="auto"/>
          <w:sz w:val="24"/>
          <w:highlight w:val="none"/>
          <w:lang w:val="zh-CN" w:eastAsia="zh-CN"/>
        </w:rPr>
        <w:t>安装费</w:t>
      </w:r>
      <w:r>
        <w:rPr>
          <w:rFonts w:hint="eastAsia" w:ascii="Times New Roman" w:hAnsi="Times New Roman" w:eastAsia="宋体" w:cs="Times New Roman"/>
          <w:b/>
          <w:bCs/>
          <w:color w:val="auto"/>
          <w:sz w:val="24"/>
          <w:highlight w:val="none"/>
          <w:lang w:val="en-US" w:eastAsia="zh-CN"/>
        </w:rPr>
        <w:t>+</w:t>
      </w:r>
      <w:r>
        <w:rPr>
          <w:rFonts w:hint="eastAsia" w:ascii="Times New Roman" w:hAnsi="Times New Roman" w:eastAsia="宋体" w:cs="Times New Roman"/>
          <w:b/>
          <w:bCs/>
          <w:color w:val="auto"/>
          <w:sz w:val="24"/>
          <w:highlight w:val="none"/>
          <w:lang w:val="zh-CN" w:eastAsia="zh-CN"/>
        </w:rPr>
        <w:t>辅助材料</w:t>
      </w:r>
      <w:r>
        <w:rPr>
          <w:rFonts w:hint="eastAsia" w:ascii="Times New Roman" w:hAnsi="Times New Roman" w:eastAsia="宋体" w:cs="Times New Roman"/>
          <w:b/>
          <w:bCs/>
          <w:color w:val="auto"/>
          <w:sz w:val="24"/>
          <w:highlight w:val="none"/>
          <w:lang w:val="en-US" w:eastAsia="zh-CN"/>
        </w:rPr>
        <w:t>+</w:t>
      </w:r>
      <w:r>
        <w:rPr>
          <w:rFonts w:hint="eastAsia" w:ascii="Times New Roman" w:hAnsi="Times New Roman" w:eastAsia="宋体" w:cs="Times New Roman"/>
          <w:b/>
          <w:bCs/>
          <w:color w:val="auto"/>
          <w:sz w:val="24"/>
          <w:highlight w:val="none"/>
          <w:lang w:val="zh-CN" w:eastAsia="zh-CN"/>
        </w:rPr>
        <w:t>利润</w:t>
      </w:r>
      <w:r>
        <w:rPr>
          <w:rFonts w:hint="eastAsia" w:ascii="Times New Roman" w:hAnsi="Times New Roman" w:eastAsia="宋体" w:cs="Times New Roman"/>
          <w:b/>
          <w:bCs/>
          <w:color w:val="auto"/>
          <w:sz w:val="24"/>
          <w:highlight w:val="none"/>
          <w:lang w:val="en-US" w:eastAsia="zh-CN"/>
        </w:rPr>
        <w:t>+</w:t>
      </w:r>
      <w:r>
        <w:rPr>
          <w:rFonts w:hint="eastAsia" w:ascii="Times New Roman" w:hAnsi="Times New Roman" w:eastAsia="宋体" w:cs="Times New Roman"/>
          <w:b/>
          <w:bCs/>
          <w:color w:val="auto"/>
          <w:sz w:val="24"/>
          <w:highlight w:val="none"/>
          <w:lang w:val="zh-CN" w:eastAsia="zh-CN"/>
        </w:rPr>
        <w:t>税金</w:t>
      </w:r>
      <w:r>
        <w:rPr>
          <w:rFonts w:hint="eastAsia" w:ascii="Times New Roman" w:hAnsi="Times New Roman" w:eastAsia="宋体" w:cs="Times New Roman"/>
          <w:b/>
          <w:bCs/>
          <w:color w:val="auto"/>
          <w:sz w:val="24"/>
          <w:highlight w:val="none"/>
          <w:lang w:val="en-US" w:eastAsia="zh-CN"/>
        </w:rPr>
        <w:t>+</w:t>
      </w:r>
      <w:r>
        <w:rPr>
          <w:rFonts w:hint="eastAsia" w:ascii="Times New Roman" w:hAnsi="Times New Roman" w:cs="Times New Roman"/>
          <w:b/>
          <w:bCs/>
          <w:color w:val="auto"/>
          <w:sz w:val="24"/>
          <w:highlight w:val="none"/>
          <w:lang w:val="en-US" w:eastAsia="zh-CN"/>
        </w:rPr>
        <w:t>拆旧安新费+</w:t>
      </w:r>
      <w:r>
        <w:rPr>
          <w:rFonts w:hint="eastAsia" w:ascii="Times New Roman" w:hAnsi="Times New Roman" w:eastAsia="宋体" w:cs="Times New Roman"/>
          <w:b/>
          <w:bCs/>
          <w:color w:val="auto"/>
          <w:sz w:val="24"/>
          <w:highlight w:val="none"/>
          <w:lang w:val="zh-CN" w:eastAsia="zh-CN"/>
        </w:rPr>
        <w:t>一切直接和间接费</w:t>
      </w:r>
      <w:r>
        <w:rPr>
          <w:rFonts w:hint="eastAsia" w:ascii="Times New Roman" w:hAnsi="Times New Roman" w:eastAsia="宋体" w:cs="Times New Roman"/>
          <w:b/>
          <w:bCs/>
          <w:color w:val="auto"/>
          <w:sz w:val="24"/>
          <w:highlight w:val="none"/>
          <w:lang w:val="en-US" w:eastAsia="zh-CN"/>
        </w:rPr>
        <w:t>用）</w:t>
      </w:r>
      <w:r>
        <w:rPr>
          <w:rFonts w:hint="default" w:ascii="Times New Roman" w:hAnsi="Times New Roman" w:cs="Times New Roman"/>
          <w:color w:val="auto"/>
          <w:sz w:val="24"/>
          <w:highlight w:val="none"/>
        </w:rPr>
        <w:t>，</w:t>
      </w:r>
      <w:r>
        <w:rPr>
          <w:rFonts w:hint="default" w:ascii="Times New Roman" w:hAnsi="Times New Roman" w:cs="Times New Roman"/>
          <w:b/>
          <w:bCs/>
          <w:color w:val="auto"/>
          <w:sz w:val="24"/>
          <w:highlight w:val="none"/>
          <w:lang w:val="en-US" w:eastAsia="zh-CN"/>
        </w:rPr>
        <w:t>开标结束后，投标供应商应在</w:t>
      </w:r>
      <w:r>
        <w:rPr>
          <w:rFonts w:hint="eastAsia" w:ascii="Times New Roman" w:hAnsi="Times New Roman" w:cs="Times New Roman"/>
          <w:b/>
          <w:bCs/>
          <w:color w:val="auto"/>
          <w:sz w:val="24"/>
          <w:highlight w:val="none"/>
          <w:lang w:val="en-US" w:eastAsia="zh-CN"/>
        </w:rPr>
        <w:t>投标文件制作平台</w:t>
      </w:r>
      <w:r>
        <w:rPr>
          <w:rFonts w:hint="default" w:ascii="Times New Roman" w:hAnsi="Times New Roman" w:cs="Times New Roman"/>
          <w:b/>
          <w:bCs/>
          <w:color w:val="auto"/>
          <w:sz w:val="24"/>
          <w:highlight w:val="none"/>
          <w:lang w:val="en-US" w:eastAsia="zh-CN"/>
        </w:rPr>
        <w:t>在线等候，待符合性审查后开始进行第二轮报价，二轮报价时间为</w:t>
      </w:r>
      <w:r>
        <w:rPr>
          <w:rFonts w:hint="eastAsia" w:ascii="Times New Roman" w:hAnsi="Times New Roman" w:cs="Times New Roman"/>
          <w:b/>
          <w:bCs/>
          <w:color w:val="auto"/>
          <w:sz w:val="24"/>
          <w:highlight w:val="none"/>
          <w:lang w:val="en-US" w:eastAsia="zh-CN"/>
        </w:rPr>
        <w:t>三</w:t>
      </w:r>
      <w:r>
        <w:rPr>
          <w:rFonts w:hint="default" w:ascii="Times New Roman" w:hAnsi="Times New Roman" w:cs="Times New Roman"/>
          <w:b/>
          <w:bCs/>
          <w:color w:val="auto"/>
          <w:sz w:val="24"/>
          <w:highlight w:val="none"/>
          <w:lang w:val="en-US" w:eastAsia="zh-CN"/>
        </w:rPr>
        <w:t>十分钟，逾期未报的供应商视为放弃第二轮报价权利</w:t>
      </w:r>
      <w:r>
        <w:rPr>
          <w:rFonts w:hint="default" w:ascii="Times New Roman" w:hAnsi="Times New Roman" w:cs="Times New Roman"/>
          <w:b/>
          <w:bCs/>
          <w:color w:val="auto"/>
          <w:sz w:val="24"/>
          <w:highlight w:val="none"/>
        </w:rPr>
        <w:t>。</w:t>
      </w:r>
      <w:r>
        <w:rPr>
          <w:rFonts w:hint="eastAsia" w:ascii="Times New Roman" w:hAnsi="Times New Roman" w:cs="Times New Roman"/>
          <w:b/>
          <w:bCs/>
          <w:color w:val="auto"/>
          <w:sz w:val="24"/>
          <w:highlight w:val="none"/>
          <w:lang w:val="en-US" w:eastAsia="zh-CN"/>
        </w:rPr>
        <w:t>二轮报价为最终报价，如最低报价出现相同报价，则进行第三轮报价，每轮报价时间均为三十分钟，以此类推。</w:t>
      </w:r>
      <w:r>
        <w:rPr>
          <w:rFonts w:hint="default" w:ascii="Times New Roman" w:hAnsi="Times New Roman" w:cs="Times New Roman"/>
          <w:color w:val="auto"/>
          <w:sz w:val="24"/>
          <w:highlight w:val="none"/>
        </w:rPr>
        <w:t>第二轮</w:t>
      </w:r>
      <w:r>
        <w:rPr>
          <w:rFonts w:hint="eastAsia" w:ascii="Times New Roman" w:hAnsi="Times New Roman" w:cs="Times New Roman"/>
          <w:color w:val="auto"/>
          <w:sz w:val="24"/>
          <w:highlight w:val="none"/>
          <w:lang w:val="en-US" w:eastAsia="zh-CN"/>
        </w:rPr>
        <w:t>谈判</w:t>
      </w:r>
      <w:r>
        <w:rPr>
          <w:rFonts w:hint="default" w:ascii="Times New Roman" w:hAnsi="Times New Roman" w:cs="Times New Roman"/>
          <w:color w:val="auto"/>
          <w:sz w:val="24"/>
          <w:highlight w:val="none"/>
        </w:rPr>
        <w:t>时如有需要，应在规定的时间内，</w:t>
      </w:r>
      <w:r>
        <w:rPr>
          <w:rFonts w:hint="eastAsia" w:ascii="Times New Roman" w:hAnsi="Times New Roman" w:cs="Times New Roman"/>
          <w:color w:val="auto"/>
          <w:sz w:val="24"/>
          <w:highlight w:val="none"/>
          <w:lang w:val="en-US" w:eastAsia="zh-CN"/>
        </w:rPr>
        <w:t>由</w:t>
      </w:r>
      <w:r>
        <w:rPr>
          <w:rFonts w:hint="default" w:ascii="Times New Roman" w:hAnsi="Times New Roman" w:cs="Times New Roman"/>
          <w:color w:val="auto"/>
          <w:sz w:val="24"/>
          <w:highlight w:val="none"/>
        </w:rPr>
        <w:t>供应商填写《澄清、说明或补正、承诺表》。</w:t>
      </w:r>
    </w:p>
    <w:p>
      <w:pPr>
        <w:keepNext w:val="0"/>
        <w:keepLines w:val="0"/>
        <w:pageBreakBefore w:val="0"/>
        <w:widowControl w:val="0"/>
        <w:kinsoku/>
        <w:wordWrap/>
        <w:overflowPunct/>
        <w:topLinePunct w:val="0"/>
        <w:autoSpaceDE/>
        <w:autoSpaceDN/>
        <w:bidi w:val="0"/>
        <w:adjustRightInd w:val="0"/>
        <w:snapToGrid/>
        <w:spacing w:line="460" w:lineRule="exact"/>
        <w:ind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val="en-US" w:eastAsia="zh-CN"/>
        </w:rPr>
        <w:t>5</w:t>
      </w:r>
      <w:r>
        <w:rPr>
          <w:rFonts w:hint="default" w:ascii="Times New Roman" w:hAnsi="Times New Roman" w:cs="Times New Roman"/>
          <w:color w:val="auto"/>
          <w:sz w:val="24"/>
          <w:highlight w:val="none"/>
        </w:rPr>
        <w:t>、</w:t>
      </w:r>
      <w:r>
        <w:rPr>
          <w:rFonts w:hint="default" w:ascii="Times New Roman" w:hAnsi="Times New Roman" w:eastAsia="宋体" w:cs="Times New Roman"/>
          <w:color w:val="auto"/>
          <w:kern w:val="0"/>
          <w:sz w:val="24"/>
          <w:szCs w:val="24"/>
          <w:highlight w:val="none"/>
          <w:lang w:val="en-US" w:eastAsia="zh-CN"/>
        </w:rPr>
        <w:t>本次采购采用</w:t>
      </w:r>
      <w:r>
        <w:rPr>
          <w:rFonts w:hint="default" w:ascii="Times New Roman" w:hAnsi="Times New Roman" w:eastAsia="宋体" w:cs="Times New Roman"/>
          <w:color w:val="auto"/>
          <w:kern w:val="0"/>
          <w:sz w:val="24"/>
          <w:szCs w:val="24"/>
          <w:highlight w:val="none"/>
        </w:rPr>
        <w:t>最低评标价法</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是指投标文件满足</w:t>
      </w:r>
      <w:r>
        <w:rPr>
          <w:rFonts w:hint="eastAsia" w:ascii="Times New Roman" w:hAnsi="Times New Roman" w:cs="Times New Roman"/>
          <w:color w:val="auto"/>
          <w:kern w:val="0"/>
          <w:sz w:val="24"/>
          <w:szCs w:val="24"/>
          <w:highlight w:val="none"/>
          <w:lang w:val="en-US" w:eastAsia="zh-CN"/>
        </w:rPr>
        <w:t>竞争性谈判</w:t>
      </w:r>
      <w:r>
        <w:rPr>
          <w:rFonts w:hint="default" w:ascii="Times New Roman" w:hAnsi="Times New Roman" w:eastAsia="宋体" w:cs="Times New Roman"/>
          <w:color w:val="auto"/>
          <w:kern w:val="0"/>
          <w:sz w:val="24"/>
          <w:szCs w:val="24"/>
          <w:highlight w:val="none"/>
        </w:rPr>
        <w:t>文件全部实质性要求且投标报价最低的供应商为中标候选人的评标方法</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。谈判小组应当从质量和服务均能满足采购文件实质性响应要求的供应商中，按照最后报价由低到高的顺序提出3名以上成交候选人</w:t>
      </w:r>
      <w:r>
        <w:rPr>
          <w:rFonts w:hint="default" w:ascii="Times New Roman" w:hAnsi="Times New Roman" w:eastAsia="宋体" w:cs="Times New Roman"/>
          <w:color w:val="auto"/>
          <w:kern w:val="0"/>
          <w:sz w:val="24"/>
          <w:szCs w:val="24"/>
          <w:highlight w:val="none"/>
          <w:lang w:val="en-US" w:eastAsia="zh-CN"/>
        </w:rPr>
        <w:t>推荐给采购人</w:t>
      </w:r>
      <w:r>
        <w:rPr>
          <w:rFonts w:hint="default" w:ascii="Times New Roman" w:hAnsi="Times New Roman" w:cs="Times New Roman"/>
          <w:color w:val="auto"/>
          <w:sz w:val="24"/>
          <w:highlight w:val="none"/>
        </w:rPr>
        <w:t>。</w:t>
      </w:r>
    </w:p>
    <w:p>
      <w:pPr>
        <w:keepNext w:val="0"/>
        <w:keepLines w:val="0"/>
        <w:pageBreakBefore w:val="0"/>
        <w:widowControl w:val="0"/>
        <w:kinsoku/>
        <w:wordWrap/>
        <w:overflowPunct/>
        <w:topLinePunct w:val="0"/>
        <w:autoSpaceDE/>
        <w:autoSpaceDN/>
        <w:bidi w:val="0"/>
        <w:snapToGrid/>
        <w:spacing w:line="460" w:lineRule="exact"/>
        <w:ind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val="en-US" w:eastAsia="zh-CN"/>
        </w:rPr>
        <w:t>6</w:t>
      </w:r>
      <w:r>
        <w:rPr>
          <w:rFonts w:hint="default" w:ascii="Times New Roman" w:hAnsi="Times New Roman" w:cs="Times New Roman"/>
          <w:color w:val="auto"/>
          <w:sz w:val="24"/>
          <w:highlight w:val="none"/>
        </w:rPr>
        <w:t>、采购领导小组确定成交供应商。</w:t>
      </w:r>
    </w:p>
    <w:p>
      <w:pPr>
        <w:keepNext w:val="0"/>
        <w:keepLines w:val="0"/>
        <w:pageBreakBefore w:val="0"/>
        <w:widowControl w:val="0"/>
        <w:kinsoku/>
        <w:wordWrap/>
        <w:overflowPunct/>
        <w:topLinePunct w:val="0"/>
        <w:autoSpaceDE/>
        <w:autoSpaceDN/>
        <w:bidi w:val="0"/>
        <w:snapToGrid/>
        <w:spacing w:line="460" w:lineRule="exact"/>
        <w:ind w:firstLine="480" w:firstLineChars="200"/>
        <w:textAlignment w:val="auto"/>
        <w:rPr>
          <w:rFonts w:hint="default" w:ascii="Times New Roman" w:hAnsi="Times New Roman" w:cs="Times New Roman"/>
          <w:b/>
          <w:color w:val="auto"/>
          <w:sz w:val="24"/>
          <w:highlight w:val="none"/>
        </w:rPr>
      </w:pPr>
      <w:r>
        <w:rPr>
          <w:rFonts w:hint="default" w:ascii="Times New Roman" w:hAnsi="Times New Roman" w:cs="Times New Roman"/>
          <w:color w:val="auto"/>
          <w:sz w:val="24"/>
          <w:highlight w:val="none"/>
          <w:lang w:val="en-US" w:eastAsia="zh-CN"/>
        </w:rPr>
        <w:t>7</w:t>
      </w:r>
      <w:r>
        <w:rPr>
          <w:rFonts w:hint="default" w:ascii="Times New Roman" w:hAnsi="Times New Roman" w:cs="Times New Roman"/>
          <w:color w:val="auto"/>
          <w:sz w:val="24"/>
          <w:highlight w:val="none"/>
        </w:rPr>
        <w:t>、</w:t>
      </w:r>
      <w:r>
        <w:rPr>
          <w:rFonts w:hint="default" w:ascii="Times New Roman" w:hAnsi="Times New Roman" w:cs="Times New Roman"/>
          <w:color w:val="auto"/>
          <w:sz w:val="24"/>
          <w:highlight w:val="none"/>
          <w:lang w:val="en-US" w:eastAsia="zh-CN"/>
        </w:rPr>
        <w:t>成交结果会在陕西省政府采购网</w:t>
      </w:r>
      <w:r>
        <w:rPr>
          <w:rFonts w:hint="eastAsia" w:ascii="Times New Roman" w:hAnsi="Times New Roman" w:cs="Times New Roman"/>
          <w:color w:val="auto"/>
          <w:sz w:val="24"/>
          <w:highlight w:val="none"/>
          <w:lang w:val="en-US" w:eastAsia="zh-CN"/>
        </w:rPr>
        <w:t>、</w:t>
      </w:r>
      <w:r>
        <w:rPr>
          <w:rFonts w:hint="default" w:ascii="Times New Roman" w:hAnsi="Times New Roman" w:cs="Times New Roman"/>
          <w:color w:val="auto"/>
          <w:sz w:val="24"/>
          <w:highlight w:val="none"/>
          <w:lang w:val="en-US" w:eastAsia="zh-CN"/>
        </w:rPr>
        <w:t>全国公共资源交易网</w:t>
      </w:r>
      <w:r>
        <w:rPr>
          <w:rFonts w:hint="default" w:ascii="Times New Roman" w:hAnsi="Times New Roman" w:cs="Times New Roman"/>
          <w:color w:val="auto"/>
          <w:sz w:val="24"/>
          <w:highlight w:val="none"/>
        </w:rPr>
        <w:t>公布</w:t>
      </w:r>
      <w:r>
        <w:rPr>
          <w:rFonts w:hint="eastAsia" w:ascii="Times New Roman" w:hAnsi="Times New Roman" w:cs="Times New Roman"/>
          <w:color w:val="auto"/>
          <w:sz w:val="24"/>
          <w:highlight w:val="none"/>
          <w:lang w:val="en-US" w:eastAsia="zh-CN"/>
        </w:rPr>
        <w:t>及秦都区政府网站</w:t>
      </w:r>
      <w:r>
        <w:rPr>
          <w:rFonts w:hint="default" w:ascii="Times New Roman" w:hAnsi="Times New Roman" w:cs="Times New Roman"/>
          <w:color w:val="auto"/>
          <w:sz w:val="24"/>
          <w:highlight w:val="none"/>
        </w:rPr>
        <w:t>。</w:t>
      </w:r>
    </w:p>
    <w:p>
      <w:pPr>
        <w:keepNext w:val="0"/>
        <w:keepLines w:val="0"/>
        <w:pageBreakBefore w:val="0"/>
        <w:kinsoku/>
        <w:wordWrap/>
        <w:overflowPunct/>
        <w:topLinePunct w:val="0"/>
        <w:autoSpaceDE/>
        <w:autoSpaceDN/>
        <w:bidi w:val="0"/>
        <w:snapToGrid/>
        <w:spacing w:line="460" w:lineRule="exact"/>
        <w:ind w:firstLine="480" w:firstLineChars="200"/>
        <w:textAlignment w:val="auto"/>
        <w:rPr>
          <w:rFonts w:hint="default" w:ascii="Times New Roman" w:hAnsi="Times New Roman" w:cs="Times New Roman"/>
          <w:color w:val="FF0000"/>
          <w:sz w:val="24"/>
          <w:highlight w:val="none"/>
        </w:rPr>
      </w:pPr>
      <w:r>
        <w:rPr>
          <w:rFonts w:hint="eastAsia" w:ascii="Times New Roman" w:hAnsi="Times New Roman" w:cs="Times New Roman"/>
          <w:color w:val="auto"/>
          <w:sz w:val="24"/>
          <w:highlight w:val="none"/>
          <w:lang w:val="en-US" w:eastAsia="zh-CN"/>
        </w:rPr>
        <w:t>8、单位负责人为同一人或者存在直接控股、管理关系的不同供应商，不得参加同一合同项下的政府采购活动</w:t>
      </w:r>
      <w:r>
        <w:rPr>
          <w:rFonts w:hint="default" w:ascii="Times New Roman" w:hAnsi="Times New Roman" w:cs="Times New Roman"/>
          <w:color w:val="auto"/>
          <w:sz w:val="24"/>
          <w:highlight w:val="none"/>
          <w:lang w:val="en-US" w:eastAsia="zh-CN"/>
        </w:rPr>
        <w:t>。</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lang w:val="en-US" w:eastAsia="zh-CN"/>
        </w:rPr>
        <w:t>三</w:t>
      </w:r>
      <w:r>
        <w:rPr>
          <w:rFonts w:hint="default" w:ascii="Times New Roman" w:hAnsi="Times New Roman" w:cs="Times New Roman"/>
          <w:b/>
          <w:bCs/>
          <w:color w:val="auto"/>
          <w:spacing w:val="0"/>
          <w:sz w:val="24"/>
          <w:szCs w:val="24"/>
          <w:highlight w:val="none"/>
        </w:rPr>
        <w:t>、谈判文件的澄清或修改</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1</w:t>
      </w:r>
      <w:r>
        <w:rPr>
          <w:rFonts w:hint="eastAsia" w:ascii="Times New Roman" w:hAnsi="Times New Roman" w:cs="Times New Roman"/>
          <w:color w:val="auto"/>
          <w:spacing w:val="0"/>
          <w:sz w:val="24"/>
          <w:szCs w:val="24"/>
          <w:highlight w:val="none"/>
          <w:lang w:eastAsia="zh-CN"/>
        </w:rPr>
        <w:t>、</w:t>
      </w:r>
      <w:r>
        <w:rPr>
          <w:rFonts w:hint="eastAsia" w:ascii="Times New Roman" w:hAnsi="Times New Roman" w:cs="Times New Roman"/>
          <w:color w:val="auto"/>
          <w:spacing w:val="0"/>
          <w:sz w:val="24"/>
          <w:szCs w:val="24"/>
          <w:highlight w:val="none"/>
          <w:lang w:val="en-US" w:eastAsia="zh-CN"/>
        </w:rPr>
        <w:t xml:space="preserve"> </w:t>
      </w:r>
      <w:r>
        <w:rPr>
          <w:rFonts w:hint="default" w:ascii="Times New Roman" w:hAnsi="Times New Roman" w:cs="Times New Roman"/>
          <w:color w:val="auto"/>
          <w:spacing w:val="0"/>
          <w:sz w:val="24"/>
          <w:szCs w:val="24"/>
          <w:highlight w:val="none"/>
        </w:rPr>
        <w:t>在谈判前的任何时间，无论由于何种原因，集中采购机构有权对谈判文件内容进行澄清或修改。请各供应商在提交投标文件截止时间之前</w:t>
      </w:r>
      <w:r>
        <w:rPr>
          <w:rFonts w:hint="default" w:ascii="Times New Roman" w:hAnsi="Times New Roman" w:cs="Times New Roman"/>
          <w:color w:val="auto"/>
          <w:spacing w:val="0"/>
          <w:sz w:val="24"/>
          <w:szCs w:val="24"/>
          <w:highlight w:val="none"/>
          <w:lang w:eastAsia="zh-CN"/>
        </w:rPr>
        <w:t>，</w:t>
      </w:r>
      <w:r>
        <w:rPr>
          <w:rFonts w:hint="default" w:ascii="Times New Roman" w:hAnsi="Times New Roman" w:cs="Times New Roman"/>
          <w:color w:val="auto"/>
          <w:spacing w:val="0"/>
          <w:sz w:val="24"/>
          <w:szCs w:val="24"/>
          <w:highlight w:val="none"/>
        </w:rPr>
        <w:t>务必自行关注陕西省政府采购网</w:t>
      </w:r>
      <w:r>
        <w:rPr>
          <w:rFonts w:hint="eastAsia" w:ascii="Times New Roman" w:hAnsi="Times New Roman" w:cs="Times New Roman"/>
          <w:color w:val="auto"/>
          <w:spacing w:val="0"/>
          <w:sz w:val="24"/>
          <w:szCs w:val="24"/>
          <w:highlight w:val="none"/>
          <w:lang w:eastAsia="zh-CN"/>
        </w:rPr>
        <w:t>、</w:t>
      </w:r>
      <w:r>
        <w:rPr>
          <w:rFonts w:hint="default" w:ascii="Times New Roman" w:hAnsi="Times New Roman" w:cs="Times New Roman"/>
          <w:color w:val="auto"/>
          <w:spacing w:val="0"/>
          <w:sz w:val="24"/>
          <w:szCs w:val="24"/>
          <w:highlight w:val="none"/>
        </w:rPr>
        <w:t>全国公共资源交易网</w:t>
      </w:r>
      <w:r>
        <w:rPr>
          <w:rFonts w:hint="eastAsia" w:ascii="Times New Roman" w:hAnsi="Times New Roman" w:cs="Times New Roman"/>
          <w:color w:val="auto"/>
          <w:spacing w:val="0"/>
          <w:sz w:val="24"/>
          <w:szCs w:val="24"/>
          <w:highlight w:val="none"/>
          <w:lang w:val="en-US" w:eastAsia="zh-CN"/>
        </w:rPr>
        <w:t>及秦都区政府网站</w:t>
      </w:r>
      <w:r>
        <w:rPr>
          <w:rFonts w:hint="default" w:ascii="Times New Roman" w:hAnsi="Times New Roman" w:cs="Times New Roman"/>
          <w:color w:val="auto"/>
          <w:spacing w:val="0"/>
          <w:sz w:val="24"/>
          <w:szCs w:val="24"/>
          <w:highlight w:val="none"/>
        </w:rPr>
        <w:t>发布的变更公告</w:t>
      </w:r>
      <w:r>
        <w:rPr>
          <w:rFonts w:hint="default" w:ascii="Times New Roman" w:hAnsi="Times New Roman" w:cs="Times New Roman"/>
          <w:color w:val="auto"/>
          <w:spacing w:val="0"/>
          <w:sz w:val="24"/>
          <w:szCs w:val="24"/>
          <w:highlight w:val="none"/>
          <w:lang w:eastAsia="zh-CN"/>
        </w:rPr>
        <w:t>，</w:t>
      </w:r>
      <w:r>
        <w:rPr>
          <w:rFonts w:hint="default" w:ascii="Times New Roman" w:hAnsi="Times New Roman" w:cs="Times New Roman"/>
          <w:color w:val="auto"/>
          <w:spacing w:val="0"/>
          <w:sz w:val="24"/>
          <w:szCs w:val="24"/>
          <w:highlight w:val="none"/>
        </w:rPr>
        <w:t>集中采购机构不再另行通知</w:t>
      </w:r>
      <w:r>
        <w:rPr>
          <w:rFonts w:hint="default" w:ascii="Times New Roman" w:hAnsi="Times New Roman" w:cs="Times New Roman"/>
          <w:color w:val="auto"/>
          <w:spacing w:val="0"/>
          <w:sz w:val="24"/>
          <w:szCs w:val="24"/>
          <w:highlight w:val="none"/>
          <w:lang w:eastAsia="zh-CN"/>
        </w:rPr>
        <w:t>，</w:t>
      </w:r>
      <w:r>
        <w:rPr>
          <w:rFonts w:hint="default" w:ascii="Times New Roman" w:hAnsi="Times New Roman" w:cs="Times New Roman"/>
          <w:color w:val="auto"/>
          <w:spacing w:val="0"/>
          <w:sz w:val="24"/>
          <w:szCs w:val="24"/>
          <w:highlight w:val="none"/>
        </w:rPr>
        <w:t>因供应商未及时关注所造或的一切后果由供应商自行承担。</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lang w:val="en-US" w:eastAsia="zh-CN"/>
        </w:rPr>
        <w:t xml:space="preserve">2、 </w:t>
      </w:r>
      <w:r>
        <w:rPr>
          <w:rFonts w:hint="default" w:ascii="Times New Roman" w:hAnsi="Times New Roman" w:cs="Times New Roman"/>
          <w:color w:val="auto"/>
          <w:spacing w:val="0"/>
          <w:sz w:val="24"/>
          <w:szCs w:val="24"/>
          <w:highlight w:val="none"/>
        </w:rPr>
        <w:t>在谈判文件的澄清或修改内容作为谈判文件的组成部分，澄清或修改的内容可能影响响应文件编制的，应在提交响应文件截止时间至少5日前发出公告；不足5日的，采购机构将顺延谈判时间。</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3</w:t>
      </w:r>
      <w:r>
        <w:rPr>
          <w:rFonts w:hint="eastAsia" w:ascii="Times New Roman" w:hAnsi="Times New Roman" w:cs="Times New Roman"/>
          <w:color w:val="auto"/>
          <w:spacing w:val="0"/>
          <w:sz w:val="24"/>
          <w:szCs w:val="24"/>
          <w:highlight w:val="none"/>
          <w:lang w:eastAsia="zh-CN"/>
        </w:rPr>
        <w:t>、</w:t>
      </w:r>
      <w:r>
        <w:rPr>
          <w:rFonts w:hint="default" w:ascii="Times New Roman" w:hAnsi="Times New Roman" w:cs="Times New Roman"/>
          <w:color w:val="auto"/>
          <w:spacing w:val="0"/>
          <w:sz w:val="24"/>
          <w:szCs w:val="24"/>
          <w:highlight w:val="none"/>
        </w:rPr>
        <w:t>在谈判过程中，谈判文件有实质性变动修改的，谈判小组将报请采购领导小组和政府采购管理科批准后，以书面形式当场通知所有参与谈判的供应商，供应商根据变动修改后的内容重新进行说明、补充。其说明、补充内容将做为评审的依据。</w:t>
      </w:r>
    </w:p>
    <w:p>
      <w:pPr>
        <w:keepNext w:val="0"/>
        <w:keepLines w:val="0"/>
        <w:pageBreakBefore w:val="0"/>
        <w:widowControl/>
        <w:kinsoku/>
        <w:wordWrap/>
        <w:overflowPunct/>
        <w:topLinePunct w:val="0"/>
        <w:autoSpaceDE/>
        <w:autoSpaceDN/>
        <w:bidi w:val="0"/>
        <w:snapToGrid/>
        <w:spacing w:line="480" w:lineRule="exact"/>
        <w:ind w:firstLine="482" w:firstLineChars="200"/>
        <w:textAlignment w:val="auto"/>
        <w:rPr>
          <w:rFonts w:hint="default"/>
          <w:highlight w:val="none"/>
        </w:rPr>
      </w:pPr>
      <w:r>
        <w:rPr>
          <w:rFonts w:hint="eastAsia" w:ascii="Times New Roman" w:hAnsi="Times New Roman" w:cs="Times New Roman"/>
          <w:b/>
          <w:color w:val="auto"/>
          <w:sz w:val="24"/>
          <w:highlight w:val="none"/>
          <w:lang w:val="en-US" w:eastAsia="zh-CN"/>
        </w:rPr>
        <w:t>谈判</w:t>
      </w:r>
      <w:r>
        <w:rPr>
          <w:rFonts w:hint="default" w:ascii="Times New Roman" w:hAnsi="Times New Roman" w:cs="Times New Roman"/>
          <w:b/>
          <w:color w:val="auto"/>
          <w:sz w:val="24"/>
          <w:highlight w:val="none"/>
        </w:rPr>
        <w:t>文件的最终解释权归集中采购机构所有。</w:t>
      </w:r>
    </w:p>
    <w:p>
      <w:pPr>
        <w:keepNext w:val="0"/>
        <w:keepLines w:val="0"/>
        <w:pageBreakBefore w:val="0"/>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lang w:val="en-US" w:eastAsia="zh-CN"/>
        </w:rPr>
        <w:t>四</w:t>
      </w:r>
      <w:r>
        <w:rPr>
          <w:rFonts w:hint="default" w:ascii="Times New Roman" w:hAnsi="Times New Roman" w:cs="Times New Roman"/>
          <w:b/>
          <w:bCs/>
          <w:color w:val="auto"/>
          <w:spacing w:val="0"/>
          <w:sz w:val="24"/>
          <w:szCs w:val="24"/>
          <w:highlight w:val="none"/>
        </w:rPr>
        <w:t>、质疑和投诉</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1、供应商认为</w:t>
      </w:r>
      <w:r>
        <w:rPr>
          <w:rFonts w:hint="eastAsia" w:ascii="Times New Roman" w:hAnsi="Times New Roman" w:cs="Times New Roman"/>
          <w:color w:val="auto"/>
          <w:spacing w:val="0"/>
          <w:sz w:val="24"/>
          <w:szCs w:val="24"/>
          <w:highlight w:val="none"/>
          <w:lang w:val="en-US" w:eastAsia="zh-CN"/>
        </w:rPr>
        <w:t>谈判</w:t>
      </w:r>
      <w:r>
        <w:rPr>
          <w:rFonts w:hint="default" w:ascii="Times New Roman" w:hAnsi="Times New Roman" w:cs="Times New Roman"/>
          <w:color w:val="auto"/>
          <w:spacing w:val="0"/>
          <w:sz w:val="24"/>
          <w:szCs w:val="24"/>
          <w:highlight w:val="none"/>
        </w:rPr>
        <w:t>文件、采购过程、开评标程序、中标或成交结果使自己的权益受到损害的，可以在知道或应知其权益受到损害之日起7个工作日内以书面形式向采购人或集中采购机构提出。</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2、在法定质疑期内，针对同一采购程序环节的质疑应当一次性提出。采购人或集中采购机构将在收到书面质疑后7个工作日内作出答复，并以书面形式通知质疑人。</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3、提出质疑时应提交质疑函和必要的证明材料，并按照财政部《质疑函范本》给定的格式进行填写，范本下载详见[财政部国库司（gks.mof.gov.cn）]网站[首页→政府采购管理]栏目中《政府采购供应商质疑函范本》。</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4、质疑供应商对采购人、集中采购机构的答复不满意</w:t>
      </w:r>
      <w:r>
        <w:rPr>
          <w:rFonts w:hint="default" w:ascii="Times New Roman" w:hAnsi="Times New Roman" w:cs="Times New Roman"/>
          <w:color w:val="auto"/>
          <w:spacing w:val="0"/>
          <w:sz w:val="24"/>
          <w:szCs w:val="24"/>
          <w:highlight w:val="none"/>
          <w:lang w:eastAsia="zh-CN"/>
        </w:rPr>
        <w:t>，</w:t>
      </w:r>
      <w:r>
        <w:rPr>
          <w:rFonts w:hint="default" w:ascii="Times New Roman" w:hAnsi="Times New Roman" w:cs="Times New Roman"/>
          <w:color w:val="auto"/>
          <w:spacing w:val="0"/>
          <w:sz w:val="24"/>
          <w:szCs w:val="24"/>
          <w:highlight w:val="none"/>
        </w:rPr>
        <w:t>或者采购人集中采购机构未在规定的时间内做出答复的</w:t>
      </w:r>
      <w:r>
        <w:rPr>
          <w:rFonts w:hint="default" w:ascii="Times New Roman" w:hAnsi="Times New Roman" w:cs="Times New Roman"/>
          <w:color w:val="auto"/>
          <w:spacing w:val="0"/>
          <w:sz w:val="24"/>
          <w:szCs w:val="24"/>
          <w:highlight w:val="none"/>
          <w:lang w:eastAsia="zh-CN"/>
        </w:rPr>
        <w:t>，</w:t>
      </w:r>
      <w:r>
        <w:rPr>
          <w:rFonts w:hint="default" w:ascii="Times New Roman" w:hAnsi="Times New Roman" w:cs="Times New Roman"/>
          <w:color w:val="auto"/>
          <w:spacing w:val="0"/>
          <w:sz w:val="24"/>
          <w:szCs w:val="24"/>
          <w:highlight w:val="none"/>
        </w:rPr>
        <w:t>可以在答复期满后15个工作日内按照《政府采购质疑和投诉办法》 (财政部94号令)相关规定向咸阳市</w:t>
      </w:r>
      <w:r>
        <w:rPr>
          <w:rFonts w:hint="eastAsia" w:ascii="Times New Roman" w:hAnsi="Times New Roman" w:cs="Times New Roman"/>
          <w:color w:val="auto"/>
          <w:spacing w:val="0"/>
          <w:sz w:val="24"/>
          <w:szCs w:val="24"/>
          <w:highlight w:val="none"/>
          <w:lang w:val="en-US" w:eastAsia="zh-CN"/>
        </w:rPr>
        <w:t>秦都区</w:t>
      </w:r>
      <w:r>
        <w:rPr>
          <w:rFonts w:hint="default" w:ascii="Times New Roman" w:hAnsi="Times New Roman" w:cs="Times New Roman"/>
          <w:color w:val="auto"/>
          <w:spacing w:val="0"/>
          <w:sz w:val="24"/>
          <w:szCs w:val="24"/>
          <w:highlight w:val="none"/>
        </w:rPr>
        <w:t>财政局政府采购管理科提出投诉。供应商投诉的事项不得超出已质疑事项的范围。</w:t>
      </w:r>
    </w:p>
    <w:p>
      <w:pPr>
        <w:pStyle w:val="28"/>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b w:val="0"/>
          <w:color w:val="auto"/>
          <w:spacing w:val="0"/>
          <w:sz w:val="24"/>
          <w:szCs w:val="24"/>
          <w:highlight w:val="none"/>
        </w:rPr>
      </w:pPr>
      <w:r>
        <w:rPr>
          <w:rFonts w:hint="default" w:ascii="Times New Roman" w:hAnsi="Times New Roman" w:cs="Times New Roman"/>
          <w:b w:val="0"/>
          <w:color w:val="auto"/>
          <w:spacing w:val="0"/>
          <w:sz w:val="24"/>
          <w:szCs w:val="24"/>
          <w:highlight w:val="none"/>
        </w:rPr>
        <w:t>5、依据《政府采购质疑和投诉办法》 (财政部94号令)有关规定</w:t>
      </w:r>
      <w:r>
        <w:rPr>
          <w:rFonts w:hint="default" w:ascii="Times New Roman" w:hAnsi="Times New Roman" w:cs="Times New Roman"/>
          <w:b w:val="0"/>
          <w:color w:val="auto"/>
          <w:spacing w:val="0"/>
          <w:sz w:val="24"/>
          <w:szCs w:val="24"/>
          <w:highlight w:val="none"/>
          <w:lang w:eastAsia="zh-CN"/>
        </w:rPr>
        <w:t>，</w:t>
      </w:r>
      <w:r>
        <w:rPr>
          <w:rFonts w:hint="default" w:ascii="Times New Roman" w:hAnsi="Times New Roman" w:cs="Times New Roman"/>
          <w:b w:val="0"/>
          <w:color w:val="auto"/>
          <w:spacing w:val="0"/>
          <w:sz w:val="24"/>
          <w:szCs w:val="24"/>
          <w:highlight w:val="none"/>
        </w:rPr>
        <w:t>投诉人在全国范围内十二个月内三次以上投诉查无实据的</w:t>
      </w:r>
      <w:r>
        <w:rPr>
          <w:rFonts w:hint="default" w:ascii="Times New Roman" w:hAnsi="Times New Roman" w:cs="Times New Roman"/>
          <w:b w:val="0"/>
          <w:color w:val="auto"/>
          <w:spacing w:val="0"/>
          <w:sz w:val="24"/>
          <w:szCs w:val="24"/>
          <w:highlight w:val="none"/>
          <w:lang w:eastAsia="zh-CN"/>
        </w:rPr>
        <w:t>，</w:t>
      </w:r>
      <w:r>
        <w:rPr>
          <w:rFonts w:hint="default" w:ascii="Times New Roman" w:hAnsi="Times New Roman" w:cs="Times New Roman"/>
          <w:b w:val="0"/>
          <w:color w:val="auto"/>
          <w:spacing w:val="0"/>
          <w:sz w:val="24"/>
          <w:szCs w:val="24"/>
          <w:highlight w:val="none"/>
        </w:rPr>
        <w:t>由财政部门列入不良行行为记录名单。对于捏造事实或提供虚假材料、或以非法手段取得证明材料(证据来源的合法性存在明显疑问</w:t>
      </w:r>
      <w:r>
        <w:rPr>
          <w:rFonts w:hint="default" w:ascii="Times New Roman" w:hAnsi="Times New Roman" w:cs="Times New Roman"/>
          <w:b w:val="0"/>
          <w:color w:val="auto"/>
          <w:spacing w:val="0"/>
          <w:sz w:val="24"/>
          <w:szCs w:val="24"/>
          <w:highlight w:val="none"/>
          <w:lang w:eastAsia="zh-CN"/>
        </w:rPr>
        <w:t>，</w:t>
      </w:r>
      <w:r>
        <w:rPr>
          <w:rFonts w:hint="default" w:ascii="Times New Roman" w:hAnsi="Times New Roman" w:cs="Times New Roman"/>
          <w:b w:val="0"/>
          <w:color w:val="auto"/>
          <w:spacing w:val="0"/>
          <w:sz w:val="24"/>
          <w:szCs w:val="24"/>
          <w:highlight w:val="none"/>
        </w:rPr>
        <w:t>投诉人无法证明其取得方式合法的</w:t>
      </w:r>
      <w:r>
        <w:rPr>
          <w:rFonts w:hint="default" w:ascii="Times New Roman" w:hAnsi="Times New Roman" w:cs="Times New Roman"/>
          <w:b w:val="0"/>
          <w:color w:val="auto"/>
          <w:spacing w:val="0"/>
          <w:sz w:val="24"/>
          <w:szCs w:val="24"/>
          <w:highlight w:val="none"/>
          <w:lang w:eastAsia="zh-CN"/>
        </w:rPr>
        <w:t>，</w:t>
      </w:r>
      <w:r>
        <w:rPr>
          <w:rFonts w:hint="default" w:ascii="Times New Roman" w:hAnsi="Times New Roman" w:cs="Times New Roman"/>
          <w:b w:val="0"/>
          <w:color w:val="auto"/>
          <w:spacing w:val="0"/>
          <w:sz w:val="24"/>
          <w:szCs w:val="24"/>
          <w:highlight w:val="none"/>
        </w:rPr>
        <w:t>视为以非法手段取得证明材料)进行投诉的</w:t>
      </w:r>
      <w:r>
        <w:rPr>
          <w:rFonts w:hint="default" w:ascii="Times New Roman" w:hAnsi="Times New Roman" w:cs="Times New Roman"/>
          <w:b w:val="0"/>
          <w:color w:val="auto"/>
          <w:spacing w:val="0"/>
          <w:sz w:val="24"/>
          <w:szCs w:val="24"/>
          <w:highlight w:val="none"/>
          <w:lang w:eastAsia="zh-CN"/>
        </w:rPr>
        <w:t>，</w:t>
      </w:r>
      <w:r>
        <w:rPr>
          <w:rFonts w:hint="default" w:ascii="Times New Roman" w:hAnsi="Times New Roman" w:cs="Times New Roman"/>
          <w:b w:val="0"/>
          <w:color w:val="auto"/>
          <w:spacing w:val="0"/>
          <w:sz w:val="24"/>
          <w:szCs w:val="24"/>
          <w:highlight w:val="none"/>
        </w:rPr>
        <w:t>属于虚假、恶意投诉</w:t>
      </w:r>
      <w:r>
        <w:rPr>
          <w:rFonts w:hint="default" w:ascii="Times New Roman" w:hAnsi="Times New Roman" w:cs="Times New Roman"/>
          <w:b w:val="0"/>
          <w:color w:val="auto"/>
          <w:spacing w:val="0"/>
          <w:sz w:val="24"/>
          <w:szCs w:val="24"/>
          <w:highlight w:val="none"/>
          <w:lang w:eastAsia="zh-CN"/>
        </w:rPr>
        <w:t>，</w:t>
      </w:r>
      <w:r>
        <w:rPr>
          <w:rFonts w:hint="default" w:ascii="Times New Roman" w:hAnsi="Times New Roman" w:cs="Times New Roman"/>
          <w:b w:val="0"/>
          <w:color w:val="auto"/>
          <w:spacing w:val="0"/>
          <w:sz w:val="24"/>
          <w:szCs w:val="24"/>
          <w:highlight w:val="none"/>
        </w:rPr>
        <w:t>由财政部门列入不良行为记录名单</w:t>
      </w:r>
      <w:r>
        <w:rPr>
          <w:rFonts w:hint="default" w:ascii="Times New Roman" w:hAnsi="Times New Roman" w:cs="Times New Roman"/>
          <w:b w:val="0"/>
          <w:color w:val="auto"/>
          <w:spacing w:val="0"/>
          <w:sz w:val="24"/>
          <w:szCs w:val="24"/>
          <w:highlight w:val="none"/>
          <w:lang w:eastAsia="zh-CN"/>
        </w:rPr>
        <w:t>，</w:t>
      </w:r>
      <w:r>
        <w:rPr>
          <w:rFonts w:hint="default" w:ascii="Times New Roman" w:hAnsi="Times New Roman" w:cs="Times New Roman"/>
          <w:b w:val="0"/>
          <w:color w:val="auto"/>
          <w:spacing w:val="0"/>
          <w:sz w:val="24"/>
          <w:szCs w:val="24"/>
          <w:highlight w:val="none"/>
        </w:rPr>
        <w:t>并禁止其一至三年内参加政府采购活动。</w:t>
      </w:r>
    </w:p>
    <w:p>
      <w:pPr>
        <w:pStyle w:val="28"/>
        <w:keepNext w:val="0"/>
        <w:keepLines w:val="0"/>
        <w:pageBreakBefore w:val="0"/>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val="0"/>
          <w:color w:val="auto"/>
          <w:spacing w:val="0"/>
          <w:sz w:val="24"/>
          <w:szCs w:val="24"/>
          <w:highlight w:val="none"/>
        </w:rPr>
      </w:pPr>
      <w:r>
        <w:rPr>
          <w:rFonts w:hint="eastAsia" w:ascii="Times New Roman" w:hAnsi="Times New Roman" w:cs="Times New Roman"/>
          <w:color w:val="auto"/>
          <w:spacing w:val="0"/>
          <w:sz w:val="24"/>
          <w:szCs w:val="24"/>
          <w:highlight w:val="none"/>
          <w:lang w:val="en-US" w:eastAsia="zh-CN"/>
        </w:rPr>
        <w:t>五</w:t>
      </w:r>
      <w:r>
        <w:rPr>
          <w:rFonts w:hint="default" w:ascii="Times New Roman" w:hAnsi="Times New Roman" w:cs="Times New Roman"/>
          <w:color w:val="auto"/>
          <w:spacing w:val="0"/>
          <w:sz w:val="24"/>
          <w:szCs w:val="24"/>
          <w:highlight w:val="none"/>
        </w:rPr>
        <w:t>、采购项目需要落实的政府采购政策</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依据《中华人民共和国政府采购法》和《中华人民共和国政府采购法实施条例》等相关法律法规</w:t>
      </w:r>
      <w:r>
        <w:rPr>
          <w:rFonts w:hint="default" w:ascii="Times New Roman" w:hAnsi="Times New Roman" w:cs="Times New Roman"/>
          <w:color w:val="auto"/>
          <w:spacing w:val="0"/>
          <w:sz w:val="24"/>
          <w:szCs w:val="24"/>
          <w:highlight w:val="none"/>
          <w:lang w:eastAsia="zh-CN"/>
        </w:rPr>
        <w:t>，</w:t>
      </w:r>
      <w:r>
        <w:rPr>
          <w:rFonts w:hint="default" w:ascii="Times New Roman" w:hAnsi="Times New Roman" w:cs="Times New Roman"/>
          <w:color w:val="auto"/>
          <w:spacing w:val="0"/>
          <w:sz w:val="24"/>
          <w:szCs w:val="24"/>
          <w:highlight w:val="none"/>
        </w:rPr>
        <w:t>落实政府采购政策。</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1、根据《关于在政府采购活动中查询及使用信用记录有关问题的通知》（财库[2016]125号）。对列入失信被执行人、重大税收违法案件当事人名单、政府采购严重违法失信行为记录名单及其他不符合《中华人民共和国政府采购法》第二十二条规定条件的供应商，将拒绝其参与政府采购活动。</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lang w:val="zh-CN" w:eastAsia="zh-CN"/>
        </w:rPr>
      </w:pPr>
      <w:r>
        <w:rPr>
          <w:rFonts w:hint="eastAsia" w:ascii="Times New Roman" w:hAnsi="Times New Roman" w:eastAsia="宋体" w:cs="Times New Roman"/>
          <w:color w:val="auto"/>
          <w:spacing w:val="0"/>
          <w:sz w:val="24"/>
          <w:szCs w:val="24"/>
          <w:highlight w:val="none"/>
        </w:rPr>
        <w:t>2、</w:t>
      </w:r>
      <w:r>
        <w:rPr>
          <w:rFonts w:hint="eastAsia" w:ascii="Times New Roman" w:hAnsi="Times New Roman" w:eastAsia="宋体" w:cs="Times New Roman"/>
          <w:color w:val="auto"/>
          <w:spacing w:val="0"/>
          <w:sz w:val="24"/>
          <w:szCs w:val="24"/>
          <w:highlight w:val="none"/>
          <w:lang w:val="en-US" w:eastAsia="zh-CN"/>
        </w:rPr>
        <w:t>根据</w:t>
      </w:r>
      <w:r>
        <w:rPr>
          <w:rFonts w:hint="default" w:ascii="Times New Roman" w:hAnsi="Times New Roman" w:eastAsia="宋体" w:cs="Times New Roman"/>
          <w:color w:val="auto"/>
          <w:spacing w:val="0"/>
          <w:sz w:val="24"/>
          <w:szCs w:val="24"/>
          <w:highlight w:val="none"/>
          <w:lang w:val="zh-CN" w:eastAsia="zh-CN"/>
        </w:rPr>
        <w:t>《政府采购促进中小企业发展管理办法》（财库[2020]46号）、《财政部关于进一步加大政府采购支持中小企业力度的通知》（财库〔2022〕19号）</w:t>
      </w:r>
      <w:r>
        <w:rPr>
          <w:rFonts w:hint="eastAsia" w:ascii="Times New Roman" w:hAnsi="Times New Roman" w:eastAsia="宋体" w:cs="Times New Roman"/>
          <w:color w:val="auto"/>
          <w:spacing w:val="0"/>
          <w:sz w:val="24"/>
          <w:szCs w:val="24"/>
          <w:highlight w:val="none"/>
          <w:lang w:val="en-US" w:eastAsia="zh-CN"/>
        </w:rPr>
        <w:t>等</w:t>
      </w:r>
      <w:r>
        <w:rPr>
          <w:rFonts w:hint="default" w:ascii="Times New Roman" w:hAnsi="Times New Roman" w:eastAsia="宋体" w:cs="Times New Roman"/>
          <w:color w:val="auto"/>
          <w:spacing w:val="0"/>
          <w:sz w:val="24"/>
          <w:szCs w:val="24"/>
          <w:highlight w:val="none"/>
          <w:lang w:val="zh-CN" w:eastAsia="zh-CN"/>
        </w:rPr>
        <w:t>有关规定，投标供应商为</w:t>
      </w:r>
      <w:r>
        <w:rPr>
          <w:rFonts w:hint="eastAsia" w:ascii="Times New Roman" w:hAnsi="Times New Roman" w:eastAsia="宋体" w:cs="Times New Roman"/>
          <w:color w:val="auto"/>
          <w:spacing w:val="0"/>
          <w:sz w:val="24"/>
          <w:szCs w:val="24"/>
          <w:highlight w:val="none"/>
          <w:lang w:val="en-US" w:eastAsia="zh-CN"/>
        </w:rPr>
        <w:t>小</w:t>
      </w:r>
      <w:r>
        <w:rPr>
          <w:rFonts w:hint="default" w:ascii="Times New Roman" w:hAnsi="Times New Roman" w:eastAsia="宋体" w:cs="Times New Roman"/>
          <w:color w:val="auto"/>
          <w:spacing w:val="0"/>
          <w:sz w:val="24"/>
          <w:szCs w:val="24"/>
          <w:highlight w:val="none"/>
          <w:lang w:val="zh-CN" w:eastAsia="zh-CN"/>
        </w:rPr>
        <w:t>微企业的，提供《中小企业声明函》将给予价</w:t>
      </w:r>
      <w:r>
        <w:rPr>
          <w:rFonts w:hint="default" w:ascii="Times New Roman" w:hAnsi="Times New Roman" w:eastAsia="宋体" w:cs="Times New Roman"/>
          <w:color w:val="auto"/>
          <w:spacing w:val="0"/>
          <w:sz w:val="24"/>
          <w:szCs w:val="24"/>
          <w:highlight w:val="none"/>
          <w:lang w:val="en-US" w:eastAsia="zh-CN"/>
        </w:rPr>
        <w:t>1</w:t>
      </w:r>
      <w:r>
        <w:rPr>
          <w:rFonts w:hint="eastAsia" w:ascii="Times New Roman" w:hAnsi="Times New Roman" w:eastAsia="宋体" w:cs="Times New Roman"/>
          <w:color w:val="auto"/>
          <w:spacing w:val="0"/>
          <w:sz w:val="24"/>
          <w:szCs w:val="24"/>
          <w:highlight w:val="none"/>
          <w:lang w:val="en-US" w:eastAsia="zh-CN"/>
        </w:rPr>
        <w:t>0</w:t>
      </w:r>
      <w:r>
        <w:rPr>
          <w:rFonts w:hint="default" w:ascii="Times New Roman" w:hAnsi="Times New Roman" w:eastAsia="宋体" w:cs="Times New Roman"/>
          <w:color w:val="auto"/>
          <w:spacing w:val="0"/>
          <w:sz w:val="24"/>
          <w:szCs w:val="24"/>
          <w:highlight w:val="none"/>
          <w:lang w:val="zh-CN" w:eastAsia="zh-CN"/>
        </w:rPr>
        <w:t>%的价格扣除，用扣除后的价格参与评标。在货物采购项目中，供应商提供的货物既有中小微企业制造货物，也有大型企业制造货物的，不享受本办法规定的中小企业扶持政策。</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3、根据《关于促进残疾人就业政府采购政策的通知》（财库[2017]141号）文件规定，残疾人福利性单位提供《残疾人福利性单位声明函》，视同小微企业。</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lang w:val="en-US" w:eastAsia="zh-CN"/>
        </w:rPr>
      </w:pPr>
      <w:r>
        <w:rPr>
          <w:rFonts w:hint="default" w:ascii="Times New Roman" w:hAnsi="Times New Roman" w:cs="Times New Roman"/>
          <w:color w:val="auto"/>
          <w:spacing w:val="0"/>
          <w:sz w:val="24"/>
          <w:szCs w:val="24"/>
          <w:highlight w:val="none"/>
        </w:rPr>
        <w:t>4、根据《关于政府采购支持监狱企业发展有关问题的通知》（财库[2014]68号）文件规定，监狱企业提供由省级以上监狱管理局、戒毒管理局（含新疆生产建设兵团）出具的属于监狱企业的证明文件，视同小微企业</w:t>
      </w:r>
      <w:r>
        <w:rPr>
          <w:rFonts w:hint="default" w:ascii="Times New Roman" w:hAnsi="Times New Roman" w:cs="Times New Roman"/>
          <w:color w:val="auto"/>
          <w:spacing w:val="0"/>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5、根据财政部、国家发展改革委《关于印发</w:t>
      </w:r>
      <w:r>
        <w:rPr>
          <w:rFonts w:hint="default" w:ascii="Times New Roman" w:hAnsi="Times New Roman" w:eastAsia="宋体" w:cs="Times New Roman"/>
          <w:color w:val="auto"/>
          <w:spacing w:val="0"/>
          <w:sz w:val="24"/>
          <w:szCs w:val="24"/>
          <w:highlight w:val="none"/>
        </w:rPr>
        <w:t>&lt;</w:t>
      </w:r>
      <w:r>
        <w:rPr>
          <w:rFonts w:hint="default" w:ascii="Times New Roman" w:hAnsi="Times New Roman" w:cs="Times New Roman"/>
          <w:color w:val="auto"/>
          <w:spacing w:val="0"/>
          <w:sz w:val="24"/>
          <w:szCs w:val="24"/>
          <w:highlight w:val="none"/>
        </w:rPr>
        <w:t>节能产品政府采购实施意见</w:t>
      </w:r>
      <w:r>
        <w:rPr>
          <w:rFonts w:hint="default" w:ascii="Times New Roman" w:hAnsi="Times New Roman" w:eastAsia="宋体" w:cs="Times New Roman"/>
          <w:color w:val="auto"/>
          <w:spacing w:val="0"/>
          <w:sz w:val="24"/>
          <w:szCs w:val="24"/>
          <w:highlight w:val="none"/>
        </w:rPr>
        <w:t>&gt;</w:t>
      </w:r>
      <w:r>
        <w:rPr>
          <w:rFonts w:hint="default" w:ascii="Times New Roman" w:hAnsi="Times New Roman" w:cs="Times New Roman"/>
          <w:color w:val="auto"/>
          <w:spacing w:val="0"/>
          <w:sz w:val="24"/>
          <w:szCs w:val="24"/>
          <w:highlight w:val="none"/>
        </w:rPr>
        <w:t>的通知》(财库[2004]185号)、财政部、国家环保总局联合印发《关于环境标志产品政府采购实施的意见》(财库[2006]90)号、国务院办公厅《关于建立政府强制采购节能产品制度的通知》(国发办[2007]51号）等规定优先采购节能、自主创新、环保产品。</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注：1、供应商为中小企业或残疾人福利性单位的，应按附件中规定格式填写声明函。未按规定格式提供声明函的，评审时不予认可，不能享受招标文件规定的价格优惠政策，但不影响文件的有效性。</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供应商为监狱企业的，应提供省级以上监狱管理局、戒毒管理局（含新疆生产建设兵团）出具的属于监狱企业的证明函（格式不限定）。未提供证明函的，评审时不予认可，不能享受招标文件规定的价格优惠政策，但不影响文件的有效性。</w:t>
      </w:r>
    </w:p>
    <w:p>
      <w:pPr>
        <w:keepNext w:val="0"/>
        <w:keepLines w:val="0"/>
        <w:pageBreakBefore w:val="0"/>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color w:val="auto"/>
          <w:spacing w:val="0"/>
          <w:sz w:val="24"/>
          <w:szCs w:val="24"/>
          <w:highlight w:val="none"/>
        </w:rPr>
      </w:pPr>
      <w:r>
        <w:rPr>
          <w:rFonts w:hint="eastAsia" w:ascii="Times New Roman" w:hAnsi="Times New Roman" w:eastAsia="宋体" w:cs="Times New Roman"/>
          <w:b/>
          <w:bCs/>
          <w:color w:val="auto"/>
          <w:spacing w:val="0"/>
          <w:sz w:val="24"/>
          <w:szCs w:val="24"/>
          <w:highlight w:val="none"/>
        </w:rPr>
        <w:t>同时满足2、3、4条件的供应商仅享受一次优惠政策。</w:t>
      </w:r>
    </w:p>
    <w:p>
      <w:pPr>
        <w:keepNext w:val="0"/>
        <w:keepLines w:val="0"/>
        <w:pageBreakBefore w:val="0"/>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color w:val="auto"/>
          <w:spacing w:val="0"/>
          <w:sz w:val="24"/>
          <w:szCs w:val="24"/>
          <w:highlight w:val="none"/>
        </w:rPr>
      </w:pPr>
      <w:r>
        <w:rPr>
          <w:rFonts w:hint="default" w:ascii="Times New Roman" w:hAnsi="Times New Roman" w:eastAsia="宋体" w:cs="Times New Roman"/>
          <w:b/>
          <w:bCs/>
          <w:color w:val="auto"/>
          <w:spacing w:val="0"/>
          <w:sz w:val="24"/>
          <w:szCs w:val="24"/>
          <w:highlight w:val="none"/>
        </w:rPr>
        <w:t>供应商性质将随成交公告一同公布，接受社会监督。</w:t>
      </w:r>
    </w:p>
    <w:p>
      <w:pPr>
        <w:keepNext w:val="0"/>
        <w:keepLines w:val="0"/>
        <w:pageBreakBefore w:val="0"/>
        <w:widowControl/>
        <w:kinsoku/>
        <w:wordWrap/>
        <w:overflowPunct/>
        <w:topLinePunct w:val="0"/>
        <w:autoSpaceDE/>
        <w:autoSpaceDN/>
        <w:bidi w:val="0"/>
        <w:adjustRightInd/>
        <w:snapToGrid/>
        <w:spacing w:line="460" w:lineRule="exact"/>
        <w:ind w:firstLine="482" w:firstLineChars="200"/>
        <w:jc w:val="both"/>
        <w:textAlignment w:val="auto"/>
        <w:rPr>
          <w:rFonts w:hint="eastAsia" w:ascii="Times New Roman" w:hAnsi="Times New Roman" w:cs="Times New Roman"/>
          <w:b/>
          <w:bCs/>
          <w:color w:val="auto"/>
          <w:spacing w:val="0"/>
          <w:sz w:val="24"/>
          <w:szCs w:val="24"/>
          <w:highlight w:val="none"/>
          <w:lang w:val="en-US" w:eastAsia="zh-CN"/>
        </w:rPr>
      </w:pPr>
    </w:p>
    <w:p>
      <w:pPr>
        <w:keepNext w:val="0"/>
        <w:keepLines w:val="0"/>
        <w:pageBreakBefore w:val="0"/>
        <w:widowControl/>
        <w:kinsoku/>
        <w:wordWrap/>
        <w:overflowPunct/>
        <w:topLinePunct w:val="0"/>
        <w:autoSpaceDE/>
        <w:autoSpaceDN/>
        <w:bidi w:val="0"/>
        <w:adjustRightInd/>
        <w:snapToGrid/>
        <w:spacing w:line="460" w:lineRule="exact"/>
        <w:ind w:firstLine="482" w:firstLineChars="200"/>
        <w:jc w:val="both"/>
        <w:textAlignment w:val="auto"/>
        <w:rPr>
          <w:rFonts w:hint="default" w:ascii="Times New Roman" w:hAnsi="Times New Roman" w:eastAsia="宋体" w:cs="Times New Roman"/>
          <w:b/>
          <w:bCs w:val="0"/>
          <w:kern w:val="0"/>
          <w:sz w:val="24"/>
          <w:szCs w:val="24"/>
          <w:highlight w:val="none"/>
        </w:rPr>
      </w:pPr>
      <w:r>
        <w:rPr>
          <w:rFonts w:hint="eastAsia" w:ascii="Times New Roman" w:hAnsi="Times New Roman" w:cs="Times New Roman"/>
          <w:b/>
          <w:bCs/>
          <w:color w:val="auto"/>
          <w:spacing w:val="0"/>
          <w:sz w:val="24"/>
          <w:szCs w:val="24"/>
          <w:highlight w:val="none"/>
          <w:lang w:val="en-US" w:eastAsia="zh-CN"/>
        </w:rPr>
        <w:t>六、</w:t>
      </w:r>
      <w:r>
        <w:rPr>
          <w:rFonts w:hint="default" w:ascii="Times New Roman" w:hAnsi="Times New Roman" w:eastAsia="宋体" w:cs="Times New Roman"/>
          <w:b/>
          <w:bCs w:val="0"/>
          <w:kern w:val="0"/>
          <w:sz w:val="24"/>
          <w:szCs w:val="24"/>
          <w:highlight w:val="none"/>
        </w:rPr>
        <w:t>不见面开标</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为方便供应商并降低投标成本，该项目将采取“不见面”开标的形式，供应商无须到达开标现场，即可在网上直接参与开标活动。相关注意事项如下：</w:t>
      </w:r>
    </w:p>
    <w:p>
      <w:pPr>
        <w:keepNext w:val="0"/>
        <w:keepLines w:val="0"/>
        <w:pageBreakBefore w:val="0"/>
        <w:numPr>
          <w:ilvl w:val="0"/>
          <w:numId w:val="1"/>
        </w:numPr>
        <w:kinsoku/>
        <w:wordWrap/>
        <w:overflowPunct/>
        <w:topLinePunct w:val="0"/>
        <w:autoSpaceDE/>
        <w:autoSpaceDN/>
        <w:bidi w:val="0"/>
        <w:adjustRightInd/>
        <w:snapToGrid/>
        <w:spacing w:line="460" w:lineRule="exact"/>
        <w:ind w:firstLine="480" w:firstLineChars="200"/>
        <w:jc w:val="both"/>
        <w:textAlignment w:val="auto"/>
        <w:rPr>
          <w:rStyle w:val="15"/>
          <w:rFonts w:hint="eastAsia" w:ascii="Times New Roman" w:hAnsi="Times New Roman" w:cs="Times New Roman"/>
          <w:color w:val="auto"/>
          <w:sz w:val="24"/>
          <w:szCs w:val="24"/>
          <w:highlight w:val="none"/>
          <w:u w:val="none"/>
          <w:lang w:eastAsia="zh-CN"/>
        </w:rPr>
      </w:pPr>
      <w:r>
        <w:rPr>
          <w:rFonts w:hint="default" w:ascii="Times New Roman" w:hAnsi="Times New Roman" w:cs="Times New Roman"/>
          <w:color w:val="auto"/>
          <w:sz w:val="24"/>
          <w:szCs w:val="24"/>
          <w:highlight w:val="none"/>
        </w:rPr>
        <w:t>开标当日，请各供应商至少提前一小时登录“不见面”开标</w:t>
      </w:r>
      <w:r>
        <w:rPr>
          <w:rFonts w:hint="eastAsia" w:ascii="Times New Roman" w:hAnsi="Times New Roman" w:cs="Times New Roman"/>
          <w:color w:val="auto"/>
          <w:sz w:val="24"/>
          <w:szCs w:val="24"/>
          <w:highlight w:val="none"/>
          <w:lang w:val="en-US" w:eastAsia="zh-CN"/>
        </w:rPr>
        <w:t>大厅</w:t>
      </w:r>
      <w:r>
        <w:rPr>
          <w:rFonts w:hint="default" w:ascii="Times New Roman" w:hAnsi="Times New Roman" w:cs="Times New Roman"/>
          <w:color w:val="auto"/>
          <w:sz w:val="24"/>
          <w:szCs w:val="24"/>
          <w:highlight w:val="none"/>
        </w:rPr>
        <w:t xml:space="preserve">（地址 </w:t>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HYPERLINK "http://219.145.120.168:8082/BidOpeningHall/bidhall/default/login），并按要求ZAI" </w:instrText>
      </w:r>
      <w:r>
        <w:rPr>
          <w:rFonts w:hint="default" w:ascii="Times New Roman" w:hAnsi="Times New Roman" w:cs="Times New Roman"/>
          <w:color w:val="auto"/>
          <w:sz w:val="24"/>
          <w:szCs w:val="24"/>
          <w:highlight w:val="none"/>
        </w:rPr>
        <w:fldChar w:fldCharType="separate"/>
      </w:r>
      <w:r>
        <w:rPr>
          <w:rStyle w:val="15"/>
          <w:rFonts w:hint="default" w:ascii="Times New Roman" w:hAnsi="Times New Roman" w:cs="Times New Roman"/>
          <w:color w:val="auto"/>
          <w:sz w:val="24"/>
          <w:szCs w:val="24"/>
          <w:highlight w:val="none"/>
        </w:rPr>
        <w:t>http</w:t>
      </w:r>
      <w:r>
        <w:rPr>
          <w:rStyle w:val="15"/>
          <w:rFonts w:hint="default" w:ascii="Times New Roman" w:hAnsi="Times New Roman" w:cs="Times New Roman"/>
          <w:color w:val="auto"/>
          <w:sz w:val="24"/>
          <w:szCs w:val="24"/>
          <w:highlight w:val="none"/>
          <w:lang w:eastAsia="zh-CN"/>
        </w:rPr>
        <w:t>：</w:t>
      </w:r>
      <w:r>
        <w:rPr>
          <w:rStyle w:val="15"/>
          <w:rFonts w:hint="default" w:ascii="Times New Roman" w:hAnsi="Times New Roman" w:cs="Times New Roman"/>
          <w:color w:val="auto"/>
          <w:sz w:val="24"/>
          <w:szCs w:val="24"/>
          <w:highlight w:val="none"/>
        </w:rPr>
        <w:t>//219.145.120.168</w:t>
      </w:r>
      <w:r>
        <w:rPr>
          <w:rStyle w:val="15"/>
          <w:rFonts w:hint="default" w:ascii="Times New Roman" w:hAnsi="Times New Roman" w:cs="Times New Roman"/>
          <w:color w:val="auto"/>
          <w:sz w:val="24"/>
          <w:szCs w:val="24"/>
          <w:highlight w:val="none"/>
          <w:lang w:eastAsia="zh-CN"/>
        </w:rPr>
        <w:t>：</w:t>
      </w:r>
      <w:r>
        <w:rPr>
          <w:rStyle w:val="15"/>
          <w:rFonts w:hint="default" w:ascii="Times New Roman" w:hAnsi="Times New Roman" w:cs="Times New Roman"/>
          <w:color w:val="auto"/>
          <w:sz w:val="24"/>
          <w:szCs w:val="24"/>
          <w:highlight w:val="none"/>
        </w:rPr>
        <w:t>8082/BidOpeningHall/bidhall/default/login）</w:t>
      </w:r>
      <w:r>
        <w:rPr>
          <w:rStyle w:val="15"/>
          <w:rFonts w:hint="default" w:ascii="Times New Roman" w:hAnsi="Times New Roman" w:cs="Times New Roman"/>
          <w:sz w:val="24"/>
          <w:szCs w:val="24"/>
          <w:highlight w:val="none"/>
        </w:rPr>
        <w:t>，</w:t>
      </w:r>
      <w:r>
        <w:rPr>
          <w:rFonts w:hint="default" w:ascii="Times New Roman" w:hAnsi="Times New Roman" w:cs="Times New Roman"/>
          <w:color w:val="auto"/>
          <w:sz w:val="24"/>
          <w:szCs w:val="24"/>
          <w:highlight w:val="none"/>
        </w:rPr>
        <w:fldChar w:fldCharType="end"/>
      </w:r>
      <w:r>
        <w:rPr>
          <w:rStyle w:val="15"/>
          <w:rFonts w:hint="default" w:ascii="Times New Roman" w:hAnsi="Times New Roman" w:cs="Times New Roman"/>
          <w:color w:val="auto"/>
          <w:sz w:val="24"/>
          <w:szCs w:val="24"/>
          <w:highlight w:val="none"/>
          <w:u w:val="none"/>
        </w:rPr>
        <w:t>并按要求</w:t>
      </w:r>
      <w:r>
        <w:rPr>
          <w:rStyle w:val="15"/>
          <w:rFonts w:hint="default" w:ascii="Times New Roman" w:hAnsi="Times New Roman" w:cs="Times New Roman"/>
          <w:color w:val="auto"/>
          <w:sz w:val="24"/>
          <w:szCs w:val="24"/>
          <w:highlight w:val="none"/>
          <w:u w:val="none"/>
          <w:lang w:val="en-US" w:eastAsia="zh-CN"/>
        </w:rPr>
        <w:t>在开标前</w:t>
      </w:r>
      <w:r>
        <w:rPr>
          <w:rStyle w:val="15"/>
          <w:rFonts w:hint="default" w:ascii="Times New Roman" w:hAnsi="Times New Roman" w:cs="Times New Roman"/>
          <w:color w:val="auto"/>
          <w:sz w:val="24"/>
          <w:szCs w:val="24"/>
          <w:highlight w:val="none"/>
          <w:u w:val="none"/>
        </w:rPr>
        <w:t>签到，并保持在线</w:t>
      </w:r>
      <w:r>
        <w:rPr>
          <w:rStyle w:val="15"/>
          <w:rFonts w:hint="default" w:ascii="Times New Roman" w:hAnsi="Times New Roman" w:cs="Times New Roman"/>
          <w:color w:val="auto"/>
          <w:sz w:val="24"/>
          <w:szCs w:val="24"/>
          <w:highlight w:val="none"/>
          <w:u w:val="none"/>
          <w:lang w:val="en-US" w:eastAsia="zh-CN"/>
        </w:rPr>
        <w:t>按照主持人指令进行投标文件解密，</w:t>
      </w:r>
      <w:r>
        <w:rPr>
          <w:rStyle w:val="15"/>
          <w:rFonts w:hint="default" w:ascii="Times New Roman" w:hAnsi="Times New Roman" w:cs="Times New Roman"/>
          <w:color w:val="auto"/>
          <w:sz w:val="24"/>
          <w:szCs w:val="24"/>
          <w:highlight w:val="none"/>
          <w:u w:val="none"/>
        </w:rPr>
        <w:t>直到</w:t>
      </w:r>
      <w:r>
        <w:rPr>
          <w:rStyle w:val="15"/>
          <w:rFonts w:hint="eastAsia" w:ascii="Times New Roman" w:hAnsi="Times New Roman" w:cs="Times New Roman"/>
          <w:color w:val="auto"/>
          <w:sz w:val="24"/>
          <w:szCs w:val="24"/>
          <w:highlight w:val="none"/>
          <w:u w:val="none"/>
          <w:lang w:val="en-US" w:eastAsia="zh-CN"/>
        </w:rPr>
        <w:t>主持人宣布</w:t>
      </w:r>
      <w:r>
        <w:rPr>
          <w:rStyle w:val="15"/>
          <w:rFonts w:hint="default" w:ascii="Times New Roman" w:hAnsi="Times New Roman" w:cs="Times New Roman"/>
          <w:color w:val="auto"/>
          <w:sz w:val="24"/>
          <w:szCs w:val="24"/>
          <w:highlight w:val="none"/>
          <w:u w:val="none"/>
          <w:lang w:val="en-US" w:eastAsia="zh-CN"/>
        </w:rPr>
        <w:t>开标</w:t>
      </w:r>
      <w:r>
        <w:rPr>
          <w:rStyle w:val="15"/>
          <w:rFonts w:hint="default" w:ascii="Times New Roman" w:hAnsi="Times New Roman" w:cs="Times New Roman"/>
          <w:color w:val="auto"/>
          <w:sz w:val="24"/>
          <w:szCs w:val="24"/>
          <w:highlight w:val="none"/>
          <w:u w:val="none"/>
        </w:rPr>
        <w:t>结束</w:t>
      </w:r>
      <w:r>
        <w:rPr>
          <w:rStyle w:val="15"/>
          <w:rFonts w:hint="eastAsia" w:ascii="Times New Roman" w:hAnsi="Times New Roman" w:cs="Times New Roman"/>
          <w:color w:val="auto"/>
          <w:sz w:val="24"/>
          <w:szCs w:val="24"/>
          <w:highlight w:val="none"/>
          <w:u w:val="none"/>
          <w:lang w:val="en-US" w:eastAsia="zh-CN"/>
        </w:rPr>
        <w:t>后方可退出开标大厅</w:t>
      </w:r>
      <w:r>
        <w:rPr>
          <w:rStyle w:val="15"/>
          <w:rFonts w:hint="eastAsia" w:ascii="Times New Roman" w:hAnsi="Times New Roman" w:cs="Times New Roman"/>
          <w:color w:val="auto"/>
          <w:sz w:val="24"/>
          <w:szCs w:val="24"/>
          <w:highlight w:val="none"/>
          <w:u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ascii="Times New Roman" w:hAnsi="Times New Roman" w:eastAsia="宋体" w:cs="Times New Roman"/>
          <w:color w:val="auto"/>
          <w:sz w:val="24"/>
          <w:szCs w:val="24"/>
          <w:highlight w:val="none"/>
          <w:lang w:eastAsia="zh-CN"/>
        </w:rPr>
      </w:pPr>
      <w:r>
        <w:rPr>
          <w:rStyle w:val="15"/>
          <w:rFonts w:hint="eastAsia" w:ascii="Times New Roman" w:hAnsi="Times New Roman" w:cs="Times New Roman"/>
          <w:color w:val="auto"/>
          <w:sz w:val="24"/>
          <w:szCs w:val="24"/>
          <w:highlight w:val="none"/>
          <w:u w:val="none"/>
          <w:lang w:val="en-US" w:eastAsia="zh-CN"/>
        </w:rPr>
        <w:t>注：不见面开标大厅仅用于开标流程，二轮报价及在线澄清等环节请登录投标文件制作平台。</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color w:val="auto"/>
          <w:highlight w:val="none"/>
        </w:rPr>
      </w:pPr>
      <w:r>
        <w:rPr>
          <w:rFonts w:hint="default" w:ascii="Times New Roman" w:hAnsi="Times New Roman" w:cs="Times New Roman"/>
          <w:color w:val="auto"/>
          <w:sz w:val="24"/>
          <w:szCs w:val="24"/>
          <w:highlight w:val="none"/>
        </w:rPr>
        <w:t>2、投标供应商无需提交纸质投标文件，</w:t>
      </w:r>
      <w:r>
        <w:rPr>
          <w:rFonts w:hint="eastAsia" w:ascii="Times New Roman" w:hAnsi="Times New Roman" w:cs="Times New Roman"/>
          <w:color w:val="auto"/>
          <w:sz w:val="24"/>
          <w:szCs w:val="24"/>
          <w:highlight w:val="none"/>
          <w:lang w:val="en-US" w:eastAsia="zh-CN"/>
        </w:rPr>
        <w:t>待项目成交</w:t>
      </w:r>
      <w:r>
        <w:rPr>
          <w:rFonts w:hint="default" w:ascii="Times New Roman" w:hAnsi="Times New Roman" w:cs="Times New Roman"/>
          <w:color w:val="auto"/>
          <w:sz w:val="24"/>
          <w:szCs w:val="24"/>
          <w:highlight w:val="none"/>
        </w:rPr>
        <w:t>采购结果公</w:t>
      </w:r>
      <w:r>
        <w:rPr>
          <w:rFonts w:hint="eastAsia" w:ascii="Times New Roman" w:hAnsi="Times New Roman" w:cs="Times New Roman"/>
          <w:color w:val="auto"/>
          <w:sz w:val="24"/>
          <w:szCs w:val="24"/>
          <w:highlight w:val="none"/>
          <w:lang w:val="en-US" w:eastAsia="zh-CN"/>
        </w:rPr>
        <w:t>布</w:t>
      </w:r>
      <w:r>
        <w:rPr>
          <w:rFonts w:hint="default" w:ascii="Times New Roman" w:hAnsi="Times New Roman" w:cs="Times New Roman"/>
          <w:color w:val="auto"/>
          <w:sz w:val="24"/>
          <w:szCs w:val="24"/>
          <w:highlight w:val="none"/>
        </w:rPr>
        <w:t>后，</w:t>
      </w:r>
      <w:r>
        <w:rPr>
          <w:rFonts w:hint="default" w:ascii="Times New Roman" w:hAnsi="Times New Roman" w:eastAsia="宋体" w:cs="Times New Roman"/>
          <w:color w:val="auto"/>
          <w:sz w:val="24"/>
          <w:szCs w:val="24"/>
          <w:highlight w:val="none"/>
        </w:rPr>
        <w:t>由中标供应商补交一正两副纸质投标文件</w:t>
      </w:r>
      <w:r>
        <w:rPr>
          <w:rFonts w:hint="eastAsia" w:ascii="Times New Roman" w:hAnsi="Times New Roman" w:eastAsia="宋体" w:cs="Times New Roman"/>
          <w:color w:val="auto"/>
          <w:sz w:val="24"/>
          <w:szCs w:val="24"/>
          <w:highlight w:val="none"/>
          <w:lang w:val="en-US" w:eastAsia="zh-CN"/>
        </w:rPr>
        <w:t>用于备案</w:t>
      </w:r>
      <w:r>
        <w:rPr>
          <w:rFonts w:hint="default" w:ascii="Times New Roman" w:hAnsi="Times New Roman" w:eastAsia="宋体" w:cs="Times New Roman"/>
          <w:b/>
          <w:bCs/>
          <w:color w:val="auto"/>
          <w:sz w:val="24"/>
          <w:szCs w:val="24"/>
          <w:highlight w:val="none"/>
        </w:rPr>
        <w:t>（</w:t>
      </w:r>
      <w:r>
        <w:rPr>
          <w:rFonts w:hint="eastAsia" w:ascii="Times New Roman" w:hAnsi="Times New Roman" w:eastAsia="宋体" w:cs="Times New Roman"/>
          <w:b/>
          <w:bCs/>
          <w:color w:val="auto"/>
          <w:sz w:val="24"/>
          <w:szCs w:val="24"/>
          <w:highlight w:val="none"/>
          <w:lang w:val="en-US" w:eastAsia="zh-CN"/>
        </w:rPr>
        <w:t>正本留</w:t>
      </w:r>
      <w:r>
        <w:rPr>
          <w:rFonts w:hint="eastAsia" w:ascii="Times New Roman" w:hAnsi="Times New Roman" w:cs="Times New Roman"/>
          <w:b/>
          <w:bCs/>
          <w:color w:val="auto"/>
          <w:sz w:val="24"/>
          <w:szCs w:val="24"/>
          <w:highlight w:val="none"/>
          <w:lang w:val="en-US" w:eastAsia="zh-CN"/>
        </w:rPr>
        <w:t>秦都区政府采购</w:t>
      </w:r>
      <w:r>
        <w:rPr>
          <w:rFonts w:hint="eastAsia" w:ascii="Times New Roman" w:hAnsi="Times New Roman" w:eastAsia="宋体" w:cs="Times New Roman"/>
          <w:b/>
          <w:bCs/>
          <w:color w:val="auto"/>
          <w:sz w:val="24"/>
          <w:szCs w:val="24"/>
          <w:highlight w:val="none"/>
          <w:lang w:val="en-US" w:eastAsia="zh-CN"/>
        </w:rPr>
        <w:t>中心，副本留采购单位</w:t>
      </w:r>
      <w:r>
        <w:rPr>
          <w:rFonts w:hint="default" w:ascii="Times New Roman" w:hAnsi="Times New Roman" w:eastAsia="宋体" w:cs="Times New Roman"/>
          <w:b/>
          <w:bCs/>
          <w:color w:val="auto"/>
          <w:sz w:val="24"/>
          <w:szCs w:val="24"/>
          <w:highlight w:val="none"/>
        </w:rPr>
        <w:t>）。</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w:t>
      </w:r>
      <w:r>
        <w:rPr>
          <w:rFonts w:hint="default" w:ascii="Times New Roman" w:hAnsi="Times New Roman" w:cs="Times New Roman"/>
          <w:color w:val="auto"/>
          <w:sz w:val="24"/>
          <w:szCs w:val="24"/>
          <w:highlight w:val="none"/>
          <w:lang w:eastAsia="zh-CN"/>
        </w:rPr>
        <w:t>开</w:t>
      </w:r>
      <w:r>
        <w:rPr>
          <w:rFonts w:hint="default" w:ascii="Times New Roman" w:hAnsi="Times New Roman" w:cs="Times New Roman"/>
          <w:color w:val="auto"/>
          <w:sz w:val="24"/>
          <w:szCs w:val="24"/>
          <w:highlight w:val="none"/>
        </w:rPr>
        <w:t>标过程中，供应商在收到工作人员“开始解密”指令后，</w:t>
      </w:r>
      <w:r>
        <w:rPr>
          <w:rFonts w:hint="default" w:ascii="Times New Roman" w:hAnsi="Times New Roman" w:cs="Times New Roman"/>
          <w:color w:val="auto"/>
          <w:sz w:val="24"/>
          <w:szCs w:val="24"/>
          <w:highlight w:val="none"/>
          <w:lang w:eastAsia="zh-CN"/>
        </w:rPr>
        <w:t>应在</w:t>
      </w:r>
      <w:r>
        <w:rPr>
          <w:rFonts w:hint="eastAsia" w:ascii="Times New Roman" w:hAnsi="Times New Roman" w:cs="Times New Roman"/>
          <w:color w:val="auto"/>
          <w:sz w:val="24"/>
          <w:szCs w:val="24"/>
          <w:highlight w:val="none"/>
          <w:lang w:val="en-US" w:eastAsia="zh-CN"/>
        </w:rPr>
        <w:t>60</w:t>
      </w:r>
      <w:r>
        <w:rPr>
          <w:rFonts w:hint="default" w:ascii="Times New Roman" w:hAnsi="Times New Roman" w:cs="Times New Roman"/>
          <w:color w:val="auto"/>
          <w:sz w:val="24"/>
          <w:szCs w:val="24"/>
          <w:highlight w:val="none"/>
          <w:lang w:val="en-US" w:eastAsia="zh-CN"/>
        </w:rPr>
        <w:t>分钟内</w:t>
      </w:r>
      <w:r>
        <w:rPr>
          <w:rFonts w:hint="default" w:ascii="Times New Roman" w:hAnsi="Times New Roman" w:cs="Times New Roman"/>
          <w:color w:val="auto"/>
          <w:sz w:val="24"/>
          <w:szCs w:val="24"/>
          <w:highlight w:val="none"/>
        </w:rPr>
        <w:t>使用CA对电子投标文件进行解密，</w:t>
      </w:r>
      <w:r>
        <w:rPr>
          <w:rFonts w:hint="default" w:ascii="Times New Roman" w:hAnsi="Times New Roman" w:cs="Times New Roman"/>
          <w:color w:val="auto"/>
          <w:sz w:val="24"/>
          <w:szCs w:val="24"/>
          <w:highlight w:val="none"/>
          <w:lang w:val="en-US" w:eastAsia="zh-CN"/>
        </w:rPr>
        <w:t>超时仍未解密视为无效投标文件，</w:t>
      </w:r>
      <w:r>
        <w:rPr>
          <w:rFonts w:hint="default" w:ascii="Times New Roman" w:hAnsi="Times New Roman" w:cs="Times New Roman"/>
          <w:color w:val="auto"/>
          <w:sz w:val="24"/>
          <w:szCs w:val="24"/>
          <w:highlight w:val="none"/>
        </w:rPr>
        <w:t>解密时所用CA应与加密投标文件时所用CA相同；评审过程中，评标委员会可能会就某些问题要求供应商进行在线澄清。</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4、相关技术问题，请咨询软件开发商：</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技术支持热线：400-998-0000/400-928-0095</w:t>
      </w:r>
    </w:p>
    <w:p>
      <w:pPr>
        <w:keepNext w:val="0"/>
        <w:keepLines w:val="0"/>
        <w:pageBreakBefore w:val="0"/>
        <w:numPr>
          <w:ilvl w:val="0"/>
          <w:numId w:val="2"/>
        </w:numPr>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kern w:val="0"/>
          <w:sz w:val="24"/>
          <w:szCs w:val="24"/>
          <w:highlight w:val="none"/>
        </w:rPr>
        <w:t>投标供应商自行下载不见面开标投标供应商操作手册</w:t>
      </w:r>
      <w:r>
        <w:rPr>
          <w:rFonts w:hint="eastAsia" w:ascii="Times New Roman" w:hAnsi="Times New Roman" w:cs="Times New Roman"/>
          <w:color w:val="auto"/>
          <w:kern w:val="0"/>
          <w:sz w:val="24"/>
          <w:szCs w:val="24"/>
          <w:highlight w:val="none"/>
          <w:lang w:eastAsia="zh-CN"/>
        </w:rPr>
        <w:t>，</w:t>
      </w:r>
      <w:r>
        <w:rPr>
          <w:rFonts w:hint="eastAsia" w:ascii="Times New Roman" w:hAnsi="Times New Roman" w:cs="Times New Roman"/>
          <w:color w:val="auto"/>
          <w:kern w:val="0"/>
          <w:sz w:val="24"/>
          <w:szCs w:val="24"/>
          <w:highlight w:val="none"/>
          <w:lang w:val="en-US" w:eastAsia="zh-CN"/>
        </w:rPr>
        <w:t>并严格按照手册要求进行系统配置。若未按要求配置造成无法签到、无法解密等情况导致投标失败的投标供应商自行承担后果。</w:t>
      </w:r>
      <w:r>
        <w:rPr>
          <w:rFonts w:hint="default" w:ascii="Times New Roman" w:hAnsi="Times New Roman" w:cs="Times New Roman"/>
          <w:color w:val="000000"/>
          <w:kern w:val="0"/>
          <w:sz w:val="24"/>
          <w:szCs w:val="24"/>
          <w:highlight w:val="none"/>
        </w:rPr>
        <w:t>（下载路径：全国公共资源交易平台（陕西省.咸阳市）-服务指南-下载专区-咸阳市公共资源交易中心不见面开标大厅投标人操作手册）</w:t>
      </w:r>
    </w:p>
    <w:p>
      <w:pPr>
        <w:keepNext w:val="0"/>
        <w:keepLines w:val="0"/>
        <w:pageBreakBefore w:val="0"/>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lang w:val="en-US" w:eastAsia="zh-CN"/>
        </w:rPr>
        <w:t>七</w:t>
      </w:r>
      <w:r>
        <w:rPr>
          <w:rFonts w:hint="default" w:ascii="Times New Roman" w:hAnsi="Times New Roman" w:cs="Times New Roman"/>
          <w:b/>
          <w:bCs/>
          <w:color w:val="auto"/>
          <w:spacing w:val="0"/>
          <w:sz w:val="24"/>
          <w:szCs w:val="24"/>
          <w:highlight w:val="none"/>
        </w:rPr>
        <w:t>、</w:t>
      </w:r>
      <w:r>
        <w:rPr>
          <w:rFonts w:hint="eastAsia" w:ascii="Times New Roman" w:hAnsi="Times New Roman" w:cs="Times New Roman"/>
          <w:b/>
          <w:bCs/>
          <w:color w:val="auto"/>
          <w:spacing w:val="0"/>
          <w:sz w:val="24"/>
          <w:szCs w:val="24"/>
          <w:highlight w:val="none"/>
          <w:lang w:val="en-US" w:eastAsia="zh-CN"/>
        </w:rPr>
        <w:t>响应</w:t>
      </w:r>
      <w:r>
        <w:rPr>
          <w:rFonts w:hint="default" w:ascii="Times New Roman" w:hAnsi="Times New Roman" w:cs="Times New Roman"/>
          <w:b/>
          <w:bCs/>
          <w:color w:val="auto"/>
          <w:spacing w:val="0"/>
          <w:sz w:val="24"/>
          <w:szCs w:val="24"/>
          <w:highlight w:val="none"/>
        </w:rPr>
        <w:t>文件的编制及递交</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default" w:ascii="Times New Roman" w:hAnsi="Times New Roman" w:cs="Times New Roman"/>
          <w:b/>
          <w:bCs/>
          <w:color w:val="auto"/>
          <w:spacing w:val="0"/>
          <w:kern w:val="0"/>
          <w:sz w:val="24"/>
          <w:szCs w:val="24"/>
          <w:highlight w:val="none"/>
          <w:lang w:eastAsia="zh-CN"/>
        </w:rPr>
        <w:t>（一）</w:t>
      </w:r>
      <w:r>
        <w:rPr>
          <w:rFonts w:hint="default" w:ascii="Times New Roman" w:hAnsi="Times New Roman" w:cs="Times New Roman"/>
          <w:b/>
          <w:bCs/>
          <w:color w:val="auto"/>
          <w:spacing w:val="0"/>
          <w:kern w:val="0"/>
          <w:sz w:val="24"/>
          <w:szCs w:val="24"/>
          <w:highlight w:val="none"/>
        </w:rPr>
        <w:t>电子投标文件</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1、制作电子投标文件。供应商须在“全国公共资源交易中心平台（陕西省）（http://www.sxggzyjy.cn/）”的“服务指南”栏目“下载专区”中，免费下载“陕西省公共资源交易平台政府采购电子标书制作工具”，并升级至最新版本，使用该客户端制作电子投标文件，制作扩展名为“.SXSTF”的电子投标文件。”</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2、递交电子投标文件。登录全国公共资源交易中心平台（陕西省）（http://www.sxggzyjy.cn/），选择“电子交易平台—陕西公共资源交易系统—企业端”进行登录，登录后选择“交易中标供应商”身份进入，进入菜单“采购业务—我的项目——项目流程——上传响应文件”，上传加密的电子投标文件。上传成功后，电子化平台将予以记录。</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3、电子投标文件中需要法定代表人签字或盖章的地方，请使用“法人CA”进行签章；需要加盖服务商公章的地方，请使用“企业CA”进行盖章。加密和解密应当使用同一CA，否则将会导致解密失败。如因供应商自身原因（加密和解密使用的CA锁不一致、沿用旧版招标文件编制投标文件、供应商拒绝解密、逾期提交电子投标文件等）造成无法解密投标文件的；电子投标文件无法打开的均按无效投标对待。</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4、递交电子投标文件。登录全国公共资源交易中心平台（陕西省）（http://www.sxggzyjy.cn/），选择“电子交易平台—陕西公共资源交易系统—企业端”进行登录，登录后选择“交易中标供应商”身份进入，进入菜单“采购业务—我的项目——项目流程——上传响应文件”，上传加密的电子投标文件。上传成功后，电子化平台将予以记录。</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5、投标文件的撤回、补充和修改</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供应商在递交投标文件后，且在提交投标文件截止时间前，可以对所提交的投标文件进行撤回、补充或修改。对电子投标文件进行补充、修改的，应先从电子交易平台上撤回旧版，再重新提交新版。</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kern w:val="0"/>
          <w:sz w:val="24"/>
          <w:szCs w:val="24"/>
          <w:highlight w:val="none"/>
        </w:rPr>
      </w:pPr>
      <w:r>
        <w:rPr>
          <w:rFonts w:hint="default" w:ascii="Times New Roman" w:hAnsi="Times New Roman" w:cs="Times New Roman"/>
          <w:b/>
          <w:bCs/>
          <w:color w:val="auto"/>
          <w:spacing w:val="0"/>
          <w:kern w:val="0"/>
          <w:sz w:val="24"/>
          <w:szCs w:val="24"/>
          <w:highlight w:val="none"/>
          <w:lang w:eastAsia="zh-CN"/>
        </w:rPr>
        <w:t>（</w:t>
      </w:r>
      <w:r>
        <w:rPr>
          <w:rFonts w:hint="default" w:ascii="Times New Roman" w:hAnsi="Times New Roman" w:cs="Times New Roman"/>
          <w:b/>
          <w:bCs/>
          <w:color w:val="auto"/>
          <w:spacing w:val="0"/>
          <w:kern w:val="0"/>
          <w:sz w:val="24"/>
          <w:szCs w:val="24"/>
          <w:highlight w:val="none"/>
          <w:lang w:val="en-US" w:eastAsia="zh-CN"/>
        </w:rPr>
        <w:t>二）</w:t>
      </w:r>
      <w:r>
        <w:rPr>
          <w:rFonts w:hint="default" w:ascii="Times New Roman" w:hAnsi="Times New Roman" w:cs="Times New Roman"/>
          <w:b/>
          <w:bCs/>
          <w:color w:val="auto"/>
          <w:spacing w:val="0"/>
          <w:kern w:val="0"/>
          <w:sz w:val="24"/>
          <w:szCs w:val="24"/>
          <w:highlight w:val="none"/>
        </w:rPr>
        <w:t>纸质投标文件</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b/>
          <w:bCs/>
          <w:color w:val="auto"/>
          <w:spacing w:val="0"/>
          <w:sz w:val="24"/>
          <w:szCs w:val="24"/>
          <w:highlight w:val="none"/>
          <w:lang w:val="en-US" w:eastAsia="zh-CN"/>
        </w:rPr>
      </w:pPr>
      <w:r>
        <w:rPr>
          <w:rFonts w:hint="eastAsia" w:ascii="Times New Roman" w:hAnsi="Times New Roman" w:cs="Times New Roman"/>
          <w:color w:val="auto"/>
          <w:sz w:val="24"/>
          <w:szCs w:val="24"/>
          <w:highlight w:val="none"/>
          <w:lang w:val="en-US" w:eastAsia="zh-CN"/>
        </w:rPr>
        <w:t>1</w:t>
      </w:r>
      <w:r>
        <w:rPr>
          <w:rFonts w:hint="default" w:ascii="Times New Roman" w:hAnsi="Times New Roman" w:cs="Times New Roman"/>
          <w:color w:val="auto"/>
          <w:sz w:val="24"/>
          <w:szCs w:val="24"/>
          <w:highlight w:val="none"/>
        </w:rPr>
        <w:t>、投标供应商无需提交纸质投标文件，</w:t>
      </w:r>
      <w:r>
        <w:rPr>
          <w:rFonts w:hint="eastAsia" w:ascii="Times New Roman" w:hAnsi="Times New Roman" w:cs="Times New Roman"/>
          <w:color w:val="auto"/>
          <w:sz w:val="24"/>
          <w:szCs w:val="24"/>
          <w:highlight w:val="none"/>
          <w:lang w:val="en-US" w:eastAsia="zh-CN"/>
        </w:rPr>
        <w:t>待项目成交</w:t>
      </w:r>
      <w:r>
        <w:rPr>
          <w:rFonts w:hint="default" w:ascii="Times New Roman" w:hAnsi="Times New Roman" w:cs="Times New Roman"/>
          <w:color w:val="auto"/>
          <w:sz w:val="24"/>
          <w:szCs w:val="24"/>
          <w:highlight w:val="none"/>
        </w:rPr>
        <w:t>采购结果公</w:t>
      </w:r>
      <w:r>
        <w:rPr>
          <w:rFonts w:hint="eastAsia" w:ascii="Times New Roman" w:hAnsi="Times New Roman" w:cs="Times New Roman"/>
          <w:color w:val="auto"/>
          <w:sz w:val="24"/>
          <w:szCs w:val="24"/>
          <w:highlight w:val="none"/>
          <w:lang w:val="en-US" w:eastAsia="zh-CN"/>
        </w:rPr>
        <w:t>布</w:t>
      </w:r>
      <w:r>
        <w:rPr>
          <w:rFonts w:hint="default" w:ascii="Times New Roman" w:hAnsi="Times New Roman" w:cs="Times New Roman"/>
          <w:color w:val="auto"/>
          <w:sz w:val="24"/>
          <w:szCs w:val="24"/>
          <w:highlight w:val="none"/>
        </w:rPr>
        <w:t>后，</w:t>
      </w:r>
      <w:r>
        <w:rPr>
          <w:rFonts w:hint="default" w:ascii="Times New Roman" w:hAnsi="Times New Roman" w:cs="Times New Roman" w:eastAsiaTheme="majorEastAsia"/>
          <w:color w:val="auto"/>
          <w:sz w:val="24"/>
          <w:szCs w:val="24"/>
          <w:highlight w:val="none"/>
        </w:rPr>
        <w:t>由中标供应商补交一正两副纸质投标文件</w:t>
      </w:r>
      <w:r>
        <w:rPr>
          <w:rFonts w:hint="eastAsia" w:ascii="Times New Roman" w:hAnsi="Times New Roman" w:cs="Times New Roman" w:eastAsiaTheme="majorEastAsia"/>
          <w:color w:val="auto"/>
          <w:sz w:val="24"/>
          <w:szCs w:val="24"/>
          <w:highlight w:val="none"/>
          <w:lang w:val="en-US" w:eastAsia="zh-CN"/>
        </w:rPr>
        <w:t>用于备案</w:t>
      </w:r>
      <w:r>
        <w:rPr>
          <w:rFonts w:hint="default" w:ascii="Times New Roman" w:hAnsi="Times New Roman" w:cs="Times New Roman" w:eastAsiaTheme="majorEastAsia"/>
          <w:b/>
          <w:bCs/>
          <w:color w:val="auto"/>
          <w:sz w:val="24"/>
          <w:szCs w:val="24"/>
          <w:highlight w:val="none"/>
        </w:rPr>
        <w:t>（</w:t>
      </w:r>
      <w:r>
        <w:rPr>
          <w:rFonts w:hint="eastAsia" w:ascii="Times New Roman" w:hAnsi="Times New Roman" w:cs="Times New Roman" w:eastAsiaTheme="majorEastAsia"/>
          <w:b/>
          <w:bCs/>
          <w:color w:val="auto"/>
          <w:sz w:val="24"/>
          <w:szCs w:val="24"/>
          <w:highlight w:val="none"/>
          <w:lang w:val="en-US" w:eastAsia="zh-CN"/>
        </w:rPr>
        <w:t>正本留秦都区政府采购中心，副本留采购单位</w:t>
      </w:r>
      <w:r>
        <w:rPr>
          <w:rFonts w:hint="default" w:ascii="Times New Roman" w:hAnsi="Times New Roman" w:cs="Times New Roman" w:eastAsiaTheme="majorEastAsia"/>
          <w:b/>
          <w:bCs/>
          <w:color w:val="auto"/>
          <w:sz w:val="24"/>
          <w:szCs w:val="24"/>
          <w:highlight w:val="none"/>
        </w:rPr>
        <w:t>）。</w:t>
      </w:r>
    </w:p>
    <w:p>
      <w:pPr>
        <w:keepNext w:val="0"/>
        <w:keepLines w:val="0"/>
        <w:pageBreakBefore w:val="0"/>
        <w:widowControl/>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kern w:val="0"/>
          <w:sz w:val="24"/>
          <w:szCs w:val="24"/>
          <w:highlight w:val="none"/>
        </w:rPr>
      </w:pPr>
      <w:r>
        <w:rPr>
          <w:rFonts w:hint="default" w:ascii="Times New Roman" w:hAnsi="Times New Roman" w:cs="Times New Roman"/>
          <w:color w:val="auto"/>
          <w:spacing w:val="0"/>
          <w:kern w:val="0"/>
          <w:sz w:val="24"/>
          <w:szCs w:val="24"/>
          <w:highlight w:val="none"/>
          <w:lang w:val="en-US" w:eastAsia="zh-CN"/>
        </w:rPr>
        <w:t>2</w:t>
      </w:r>
      <w:r>
        <w:rPr>
          <w:rFonts w:hint="default" w:ascii="Times New Roman" w:hAnsi="Times New Roman" w:cs="Times New Roman"/>
          <w:color w:val="auto"/>
          <w:spacing w:val="0"/>
          <w:kern w:val="0"/>
          <w:sz w:val="24"/>
          <w:szCs w:val="24"/>
          <w:highlight w:val="none"/>
        </w:rPr>
        <w:t>、纸质投标文件的式样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kern w:val="0"/>
          <w:sz w:val="24"/>
          <w:szCs w:val="24"/>
          <w:highlight w:val="none"/>
          <w:lang w:val="en-US" w:eastAsia="zh-CN"/>
        </w:rPr>
        <w:t>2</w:t>
      </w:r>
      <w:r>
        <w:rPr>
          <w:rFonts w:hint="default" w:ascii="Times New Roman" w:hAnsi="Times New Roman" w:cs="Times New Roman"/>
          <w:color w:val="auto"/>
          <w:spacing w:val="0"/>
          <w:kern w:val="0"/>
          <w:sz w:val="24"/>
          <w:szCs w:val="24"/>
          <w:highlight w:val="none"/>
        </w:rPr>
        <w:t>.1</w:t>
      </w:r>
      <w:r>
        <w:rPr>
          <w:rFonts w:hint="default" w:ascii="Times New Roman" w:hAnsi="Times New Roman" w:cs="Times New Roman"/>
          <w:color w:val="auto"/>
          <w:spacing w:val="0"/>
          <w:sz w:val="24"/>
          <w:szCs w:val="24"/>
          <w:highlight w:val="none"/>
        </w:rPr>
        <w:t>采用电子化投标的采购项目，其纸质投标文件应从政府采购项目投标文件制作软件中导出后进行印刷（导出文件中字迹、图片等模糊不清的部分，供应商需自行替换为清晰的文件），项目分标段的，应按所投标段分别准备投标文件。</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lang w:val="en-US" w:eastAsia="zh-CN"/>
        </w:rPr>
        <w:t>2</w:t>
      </w:r>
      <w:r>
        <w:rPr>
          <w:rFonts w:hint="default" w:ascii="Times New Roman" w:hAnsi="Times New Roman" w:cs="Times New Roman"/>
          <w:color w:val="auto"/>
          <w:spacing w:val="0"/>
          <w:sz w:val="24"/>
          <w:szCs w:val="24"/>
          <w:highlight w:val="none"/>
        </w:rPr>
        <w:t>.2供应商应按照规范要求，</w:t>
      </w:r>
      <w:r>
        <w:rPr>
          <w:rFonts w:hint="default" w:ascii="Times New Roman" w:hAnsi="Times New Roman" w:cs="Times New Roman"/>
          <w:b/>
          <w:color w:val="auto"/>
          <w:spacing w:val="0"/>
          <w:sz w:val="24"/>
          <w:szCs w:val="24"/>
          <w:highlight w:val="none"/>
        </w:rPr>
        <w:t>准备纸质版投标文件（正本一份、副本两份）。</w:t>
      </w:r>
      <w:r>
        <w:rPr>
          <w:rFonts w:hint="default" w:ascii="Times New Roman" w:hAnsi="Times New Roman" w:cs="Times New Roman"/>
          <w:color w:val="auto"/>
          <w:spacing w:val="0"/>
          <w:sz w:val="24"/>
          <w:szCs w:val="24"/>
          <w:highlight w:val="none"/>
        </w:rPr>
        <w:t>每套投标文件须清楚地标明</w:t>
      </w:r>
      <w:r>
        <w:rPr>
          <w:rFonts w:hint="default" w:ascii="Times New Roman" w:hAnsi="Times New Roman" w:cs="Times New Roman"/>
          <w:b/>
          <w:color w:val="auto"/>
          <w:spacing w:val="0"/>
          <w:sz w:val="24"/>
          <w:szCs w:val="24"/>
          <w:highlight w:val="none"/>
        </w:rPr>
        <w:t>“正本”“副本”</w:t>
      </w:r>
      <w:r>
        <w:rPr>
          <w:rFonts w:hint="default" w:ascii="Times New Roman" w:hAnsi="Times New Roman" w:cs="Times New Roman"/>
          <w:color w:val="auto"/>
          <w:spacing w:val="0"/>
          <w:sz w:val="24"/>
          <w:szCs w:val="24"/>
          <w:highlight w:val="none"/>
        </w:rPr>
        <w:t>的字样，以示区别。一旦正本和副本不符，以正本为准。</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kern w:val="0"/>
          <w:sz w:val="24"/>
          <w:szCs w:val="24"/>
          <w:highlight w:val="none"/>
        </w:rPr>
      </w:pPr>
      <w:r>
        <w:rPr>
          <w:rFonts w:hint="default" w:ascii="Times New Roman" w:hAnsi="Times New Roman" w:cs="Times New Roman"/>
          <w:color w:val="auto"/>
          <w:spacing w:val="0"/>
          <w:sz w:val="24"/>
          <w:szCs w:val="24"/>
          <w:highlight w:val="none"/>
          <w:lang w:val="en-US" w:eastAsia="zh-CN"/>
        </w:rPr>
        <w:t>2</w:t>
      </w:r>
      <w:r>
        <w:rPr>
          <w:rFonts w:hint="default" w:ascii="Times New Roman" w:hAnsi="Times New Roman" w:cs="Times New Roman"/>
          <w:color w:val="auto"/>
          <w:spacing w:val="0"/>
          <w:sz w:val="24"/>
          <w:szCs w:val="24"/>
          <w:highlight w:val="none"/>
        </w:rPr>
        <w:t>.3投标文件一律采用采用纸质封面（不得使用亮片、封面压膜、塑料胶面）。胶装方式左侧装订，响应文件正本和副本必须统一使用A4幅面纸打印（其中资质、证明、授权为A4幅面纸张，图纸不受纸张幅面大小限制但必须折叠成A4幅面，资质、证明、授权、图纸不受双面打印或复印要求，可以采用插页），纸质文件应编制从第一页进行数字“1”开始的连续页码（插页可以不编页码）及文件目录（并编制对应页码）。</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lang w:val="en-US" w:eastAsia="zh-CN"/>
        </w:rPr>
        <w:t>2</w:t>
      </w:r>
      <w:r>
        <w:rPr>
          <w:rFonts w:hint="default" w:ascii="Times New Roman" w:hAnsi="Times New Roman" w:cs="Times New Roman"/>
          <w:color w:val="auto"/>
          <w:spacing w:val="0"/>
          <w:sz w:val="24"/>
          <w:szCs w:val="24"/>
          <w:highlight w:val="none"/>
        </w:rPr>
        <w:t>.4纸质投标文件的正本和所有的副本均需打印或用不退色墨水书写。</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lang w:val="en-US" w:eastAsia="zh-CN"/>
        </w:rPr>
        <w:t>3</w:t>
      </w:r>
      <w:r>
        <w:rPr>
          <w:rFonts w:hint="default" w:ascii="Times New Roman" w:hAnsi="Times New Roman" w:cs="Times New Roman"/>
          <w:color w:val="auto"/>
          <w:spacing w:val="0"/>
          <w:sz w:val="24"/>
          <w:szCs w:val="24"/>
          <w:highlight w:val="none"/>
        </w:rPr>
        <w:t>、纸质投标文件的签署</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lang w:val="en-US" w:eastAsia="zh-CN"/>
        </w:rPr>
        <w:t>3</w:t>
      </w:r>
      <w:r>
        <w:rPr>
          <w:rFonts w:hint="default" w:ascii="Times New Roman" w:hAnsi="Times New Roman" w:cs="Times New Roman"/>
          <w:color w:val="auto"/>
          <w:spacing w:val="0"/>
          <w:sz w:val="24"/>
          <w:szCs w:val="24"/>
          <w:highlight w:val="none"/>
        </w:rPr>
        <w:t>.1纸质投标文件应由供应商的法定代表人或被授权人按文件要求签字并加盖红色鲜章。被授权人须将以书面形式出具的“法人授权书”附在投标文件中。</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lang w:val="en-US" w:eastAsia="zh-CN"/>
        </w:rPr>
        <w:t>3</w:t>
      </w:r>
      <w:r>
        <w:rPr>
          <w:rFonts w:hint="default" w:ascii="Times New Roman" w:hAnsi="Times New Roman" w:cs="Times New Roman"/>
          <w:color w:val="auto"/>
          <w:spacing w:val="0"/>
          <w:sz w:val="24"/>
          <w:szCs w:val="24"/>
          <w:highlight w:val="none"/>
        </w:rPr>
        <w:t>.2除供应商对错、漏处作必要修改外，全套文件应无涂改或行间插字和增删。所作修改之处，必须有法定代表人或被授权人签字才有效。</w:t>
      </w:r>
    </w:p>
    <w:p>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lang w:val="en-US" w:eastAsia="zh-CN"/>
        </w:rPr>
        <w:t>八</w:t>
      </w:r>
      <w:r>
        <w:rPr>
          <w:rFonts w:hint="default" w:ascii="Times New Roman" w:hAnsi="Times New Roman" w:cs="Times New Roman"/>
          <w:b/>
          <w:bCs/>
          <w:color w:val="auto"/>
          <w:spacing w:val="0"/>
          <w:sz w:val="24"/>
          <w:szCs w:val="24"/>
          <w:highlight w:val="none"/>
        </w:rPr>
        <w:t>、谈判小组构成及职责</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1、谈判小组：为了确保此次采购项目的顺利进行，依法成立谈判小组。谈判小组人员组成为单数，其中采购单位代表1人，同时按照政府采购相关规定，在陕西省财政厅政府采购专家库中随机抽取相应技术专家、经济专家共同组成。整个谈判过程由咸阳市</w:t>
      </w:r>
      <w:r>
        <w:rPr>
          <w:rFonts w:hint="eastAsia" w:ascii="Times New Roman" w:hAnsi="Times New Roman" w:cs="Times New Roman"/>
          <w:color w:val="auto"/>
          <w:spacing w:val="0"/>
          <w:sz w:val="24"/>
          <w:szCs w:val="24"/>
          <w:highlight w:val="none"/>
          <w:lang w:val="en-US" w:eastAsia="zh-CN"/>
        </w:rPr>
        <w:t>秦都区</w:t>
      </w:r>
      <w:r>
        <w:rPr>
          <w:rFonts w:hint="default" w:ascii="Times New Roman" w:hAnsi="Times New Roman" w:cs="Times New Roman"/>
          <w:color w:val="auto"/>
          <w:spacing w:val="0"/>
          <w:sz w:val="24"/>
          <w:szCs w:val="24"/>
          <w:highlight w:val="none"/>
        </w:rPr>
        <w:t>政府采购中心组织，谈判小组独立开展谈判工作。</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2、谈判小组职责</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2.1对投标供应商的响应文件进行符合性审查，符合要求的供应商将通过初步审查，进入下一评标环节。</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kern w:val="0"/>
          <w:sz w:val="24"/>
          <w:szCs w:val="24"/>
          <w:highlight w:val="none"/>
        </w:rPr>
      </w:pPr>
      <w:r>
        <w:rPr>
          <w:rFonts w:hint="default" w:ascii="Times New Roman" w:hAnsi="Times New Roman" w:cs="Times New Roman"/>
          <w:color w:val="auto"/>
          <w:spacing w:val="0"/>
          <w:sz w:val="24"/>
          <w:szCs w:val="24"/>
          <w:highlight w:val="none"/>
        </w:rPr>
        <w:t>符合性审查：</w:t>
      </w:r>
      <w:r>
        <w:rPr>
          <w:rFonts w:hint="eastAsia" w:ascii="Times New Roman" w:hAnsi="Times New Roman" w:cs="Times New Roman"/>
          <w:color w:val="auto"/>
          <w:spacing w:val="0"/>
          <w:sz w:val="24"/>
          <w:szCs w:val="24"/>
          <w:highlight w:val="none"/>
          <w:lang w:val="en-US" w:eastAsia="zh-CN"/>
        </w:rPr>
        <w:t>谈判小组</w:t>
      </w:r>
      <w:r>
        <w:rPr>
          <w:rFonts w:hint="default" w:ascii="Times New Roman" w:hAnsi="Times New Roman" w:cs="Times New Roman"/>
          <w:color w:val="auto"/>
          <w:spacing w:val="0"/>
          <w:sz w:val="24"/>
          <w:szCs w:val="24"/>
          <w:highlight w:val="none"/>
        </w:rPr>
        <w:t>会对投标供应商的响应文件进行符合性审查，符合要求的供应商将进入综合评</w:t>
      </w:r>
      <w:r>
        <w:rPr>
          <w:rFonts w:hint="default" w:ascii="Times New Roman" w:hAnsi="Times New Roman" w:cs="Times New Roman"/>
          <w:color w:val="auto"/>
          <w:spacing w:val="0"/>
          <w:kern w:val="0"/>
          <w:sz w:val="24"/>
          <w:szCs w:val="24"/>
          <w:highlight w:val="none"/>
        </w:rPr>
        <w:t>审环节。</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lang w:val="en-US" w:eastAsia="zh-CN"/>
        </w:rPr>
      </w:pPr>
      <w:r>
        <w:rPr>
          <w:rFonts w:hint="default" w:ascii="Times New Roman" w:hAnsi="Times New Roman" w:cs="Times New Roman"/>
          <w:color w:val="auto"/>
          <w:spacing w:val="0"/>
          <w:sz w:val="24"/>
          <w:szCs w:val="24"/>
          <w:highlight w:val="none"/>
        </w:rPr>
        <w:t>（1）投标文件均按招标文件要求编制、签署、盖章</w:t>
      </w:r>
      <w:r>
        <w:rPr>
          <w:rFonts w:hint="default" w:ascii="Times New Roman" w:hAnsi="Times New Roman" w:cs="Times New Roman"/>
          <w:color w:val="auto"/>
          <w:spacing w:val="0"/>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lang w:eastAsia="zh-CN"/>
        </w:rPr>
      </w:pPr>
      <w:r>
        <w:rPr>
          <w:rFonts w:hint="default" w:ascii="Times New Roman" w:hAnsi="Times New Roman" w:cs="Times New Roman"/>
          <w:color w:val="auto"/>
          <w:spacing w:val="0"/>
          <w:sz w:val="24"/>
          <w:szCs w:val="24"/>
          <w:highlight w:val="none"/>
        </w:rPr>
        <w:t>（2）投标报价未超过招标文件中规定的预算金额或最高限价的</w:t>
      </w:r>
      <w:r>
        <w:rPr>
          <w:rFonts w:hint="default" w:ascii="Times New Roman" w:hAnsi="Times New Roman" w:cs="Times New Roman"/>
          <w:color w:val="auto"/>
          <w:spacing w:val="0"/>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（3）投标文件应包含以下内容：</w:t>
      </w:r>
      <w:r>
        <w:rPr>
          <w:rFonts w:hint="default" w:ascii="Calibri" w:hAnsi="Calibri" w:cs="Calibri"/>
          <w:color w:val="auto"/>
          <w:spacing w:val="0"/>
          <w:sz w:val="24"/>
          <w:szCs w:val="24"/>
          <w:highlight w:val="none"/>
        </w:rPr>
        <w:t>①</w:t>
      </w:r>
      <w:r>
        <w:rPr>
          <w:rFonts w:hint="default" w:ascii="Times New Roman" w:hAnsi="Times New Roman" w:cs="Times New Roman"/>
          <w:color w:val="auto"/>
          <w:spacing w:val="0"/>
          <w:sz w:val="24"/>
          <w:szCs w:val="24"/>
          <w:highlight w:val="none"/>
        </w:rPr>
        <w:t>资格证明文件；</w:t>
      </w:r>
      <w:r>
        <w:rPr>
          <w:rFonts w:hint="default" w:ascii="Calibri" w:hAnsi="Calibri" w:cs="Calibri"/>
          <w:color w:val="auto"/>
          <w:spacing w:val="0"/>
          <w:sz w:val="24"/>
          <w:szCs w:val="24"/>
          <w:highlight w:val="none"/>
        </w:rPr>
        <w:t>②</w:t>
      </w:r>
      <w:r>
        <w:rPr>
          <w:rFonts w:hint="default" w:ascii="Times New Roman" w:hAnsi="Times New Roman" w:cs="Times New Roman"/>
          <w:color w:val="auto"/>
          <w:spacing w:val="0"/>
          <w:sz w:val="24"/>
          <w:szCs w:val="24"/>
          <w:highlight w:val="none"/>
        </w:rPr>
        <w:t>符合性证明文件</w:t>
      </w:r>
      <w:r>
        <w:rPr>
          <w:rFonts w:hint="default" w:ascii="Times New Roman" w:hAnsi="Times New Roman" w:cs="Times New Roman"/>
          <w:color w:val="auto"/>
          <w:spacing w:val="0"/>
          <w:sz w:val="24"/>
          <w:szCs w:val="24"/>
          <w:highlight w:val="none"/>
          <w:lang w:eastAsia="zh-CN"/>
        </w:rPr>
        <w:t>；③</w:t>
      </w:r>
      <w:r>
        <w:rPr>
          <w:rFonts w:hint="default" w:ascii="Times New Roman" w:hAnsi="Times New Roman" w:cs="Times New Roman"/>
          <w:color w:val="auto"/>
          <w:spacing w:val="0"/>
          <w:sz w:val="24"/>
          <w:szCs w:val="24"/>
          <w:highlight w:val="none"/>
        </w:rPr>
        <w:t>投标方案。</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pacing w:val="0"/>
          <w:sz w:val="24"/>
          <w:szCs w:val="24"/>
          <w:highlight w:val="none"/>
          <w:lang w:eastAsia="zh-CN"/>
        </w:rPr>
      </w:pPr>
      <w:r>
        <w:rPr>
          <w:rFonts w:hint="default" w:ascii="Times New Roman" w:hAnsi="Times New Roman" w:cs="Times New Roman"/>
          <w:color w:val="auto"/>
          <w:spacing w:val="0"/>
          <w:sz w:val="24"/>
          <w:szCs w:val="24"/>
          <w:highlight w:val="none"/>
        </w:rPr>
        <w:t>（4）投标文件有法人或负责人代表授权书(法人或负责人直接投标除外)并且授权书的合法性和有效性符合招标文件要求</w:t>
      </w:r>
      <w:r>
        <w:rPr>
          <w:rFonts w:hint="default" w:ascii="Times New Roman" w:hAnsi="Times New Roman" w:cs="Times New Roman"/>
          <w:color w:val="auto"/>
          <w:spacing w:val="0"/>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（5）完全理解并接受对合格供应商、合格的货物、工程或服务要求，技术/服务没有负偏离和保留。并能提供货品来源渠道的证明材料。</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pacing w:val="0"/>
          <w:sz w:val="24"/>
          <w:szCs w:val="24"/>
          <w:highlight w:val="none"/>
          <w:lang w:eastAsia="zh-CN"/>
        </w:rPr>
      </w:pPr>
      <w:r>
        <w:rPr>
          <w:rFonts w:hint="default" w:ascii="Times New Roman" w:hAnsi="Times New Roman" w:cs="Times New Roman"/>
          <w:color w:val="auto"/>
          <w:spacing w:val="0"/>
          <w:sz w:val="24"/>
          <w:szCs w:val="24"/>
          <w:highlight w:val="none"/>
        </w:rPr>
        <w:t>（6）投标文件商务响应说明应与招标文件要求一致(服务地点、服务期限、付款、质保期限、售后服务等项)，无附加招标人难以接受的条件</w:t>
      </w:r>
      <w:r>
        <w:rPr>
          <w:rFonts w:hint="default" w:ascii="Times New Roman" w:hAnsi="Times New Roman" w:cs="Times New Roman"/>
          <w:color w:val="auto"/>
          <w:spacing w:val="0"/>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472" w:firstLineChars="200"/>
        <w:textAlignment w:val="auto"/>
        <w:rPr>
          <w:rFonts w:hint="default" w:ascii="Times New Roman" w:hAnsi="Times New Roman" w:cs="Times New Roman"/>
          <w:color w:val="auto"/>
          <w:spacing w:val="-2"/>
          <w:kern w:val="0"/>
          <w:sz w:val="24"/>
          <w:szCs w:val="24"/>
          <w:highlight w:val="none"/>
        </w:rPr>
      </w:pPr>
      <w:r>
        <w:rPr>
          <w:rFonts w:hint="default" w:ascii="Times New Roman" w:hAnsi="Times New Roman" w:cs="Times New Roman"/>
          <w:color w:val="auto"/>
          <w:spacing w:val="-2"/>
          <w:kern w:val="0"/>
          <w:sz w:val="24"/>
          <w:szCs w:val="24"/>
          <w:highlight w:val="none"/>
        </w:rPr>
        <w:t>2.2废标条款</w:t>
      </w:r>
    </w:p>
    <w:p>
      <w:pPr>
        <w:keepNext w:val="0"/>
        <w:keepLines w:val="0"/>
        <w:pageBreakBefore w:val="0"/>
        <w:kinsoku/>
        <w:wordWrap/>
        <w:overflowPunct/>
        <w:topLinePunct w:val="0"/>
        <w:autoSpaceDE/>
        <w:autoSpaceDN/>
        <w:bidi w:val="0"/>
        <w:adjustRightInd/>
        <w:snapToGrid/>
        <w:spacing w:line="440" w:lineRule="exact"/>
        <w:ind w:firstLine="472" w:firstLineChars="200"/>
        <w:textAlignment w:val="auto"/>
        <w:rPr>
          <w:rFonts w:hint="default" w:ascii="Times New Roman" w:hAnsi="Times New Roman" w:eastAsia="宋体" w:cs="Times New Roman"/>
          <w:color w:val="auto"/>
          <w:spacing w:val="-2"/>
          <w:kern w:val="0"/>
          <w:sz w:val="24"/>
          <w:szCs w:val="24"/>
          <w:highlight w:val="none"/>
          <w:lang w:eastAsia="zh-CN"/>
        </w:rPr>
      </w:pPr>
      <w:r>
        <w:rPr>
          <w:rFonts w:hint="default" w:ascii="Times New Roman" w:hAnsi="Times New Roman" w:cs="Times New Roman"/>
          <w:color w:val="auto"/>
          <w:spacing w:val="-2"/>
          <w:kern w:val="0"/>
          <w:sz w:val="24"/>
          <w:szCs w:val="24"/>
          <w:highlight w:val="none"/>
        </w:rPr>
        <w:t>（1）未通过资质审查的</w:t>
      </w:r>
      <w:r>
        <w:rPr>
          <w:rFonts w:hint="default" w:ascii="Times New Roman" w:hAnsi="Times New Roman" w:cs="Times New Roman"/>
          <w:color w:val="auto"/>
          <w:spacing w:val="-2"/>
          <w:kern w:val="0"/>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472" w:firstLineChars="200"/>
        <w:textAlignment w:val="auto"/>
        <w:rPr>
          <w:rFonts w:hint="default" w:ascii="Times New Roman" w:hAnsi="Times New Roman" w:eastAsia="宋体" w:cs="Times New Roman"/>
          <w:color w:val="auto"/>
          <w:spacing w:val="-2"/>
          <w:kern w:val="0"/>
          <w:sz w:val="24"/>
          <w:szCs w:val="24"/>
          <w:highlight w:val="none"/>
          <w:lang w:eastAsia="zh-CN"/>
        </w:rPr>
      </w:pPr>
      <w:r>
        <w:rPr>
          <w:rFonts w:hint="default" w:ascii="Times New Roman" w:hAnsi="Times New Roman" w:cs="Times New Roman"/>
          <w:color w:val="auto"/>
          <w:spacing w:val="-2"/>
          <w:kern w:val="0"/>
          <w:sz w:val="24"/>
          <w:szCs w:val="24"/>
          <w:highlight w:val="none"/>
        </w:rPr>
        <w:t>（2）未通过符合性审查的</w:t>
      </w:r>
      <w:r>
        <w:rPr>
          <w:rFonts w:hint="default" w:ascii="Times New Roman" w:hAnsi="Times New Roman" w:cs="Times New Roman"/>
          <w:color w:val="auto"/>
          <w:spacing w:val="-2"/>
          <w:kern w:val="0"/>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472" w:firstLineChars="200"/>
        <w:textAlignment w:val="auto"/>
        <w:rPr>
          <w:rFonts w:hint="default" w:ascii="Times New Roman" w:hAnsi="Times New Roman" w:eastAsia="宋体" w:cs="Times New Roman"/>
          <w:color w:val="auto"/>
          <w:spacing w:val="-2"/>
          <w:kern w:val="0"/>
          <w:sz w:val="24"/>
          <w:szCs w:val="24"/>
          <w:highlight w:val="none"/>
          <w:lang w:eastAsia="zh-CN"/>
        </w:rPr>
      </w:pPr>
      <w:r>
        <w:rPr>
          <w:rFonts w:hint="default" w:ascii="Times New Roman" w:hAnsi="Times New Roman" w:cs="Times New Roman"/>
          <w:color w:val="auto"/>
          <w:spacing w:val="-2"/>
          <w:kern w:val="0"/>
          <w:sz w:val="24"/>
          <w:szCs w:val="24"/>
          <w:highlight w:val="none"/>
        </w:rPr>
        <w:t>（3）违反招标现场纪律的</w:t>
      </w:r>
      <w:r>
        <w:rPr>
          <w:rFonts w:hint="default" w:ascii="Times New Roman" w:hAnsi="Times New Roman" w:cs="Times New Roman"/>
          <w:color w:val="auto"/>
          <w:spacing w:val="-2"/>
          <w:kern w:val="0"/>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472" w:firstLineChars="200"/>
        <w:textAlignment w:val="auto"/>
        <w:rPr>
          <w:rFonts w:hint="default" w:ascii="Times New Roman" w:hAnsi="Times New Roman" w:cs="Times New Roman"/>
          <w:color w:val="auto"/>
          <w:spacing w:val="-2"/>
          <w:kern w:val="0"/>
          <w:sz w:val="24"/>
          <w:szCs w:val="24"/>
          <w:highlight w:val="none"/>
        </w:rPr>
      </w:pPr>
      <w:r>
        <w:rPr>
          <w:rFonts w:hint="default" w:ascii="Times New Roman" w:hAnsi="Times New Roman" w:cs="Times New Roman"/>
          <w:color w:val="auto"/>
          <w:spacing w:val="-2"/>
          <w:kern w:val="0"/>
          <w:sz w:val="24"/>
          <w:szCs w:val="24"/>
          <w:highlight w:val="none"/>
        </w:rPr>
        <w:t>（4）政府采购相关法律法规规定的其他废标情况。</w:t>
      </w:r>
    </w:p>
    <w:p>
      <w:pPr>
        <w:keepNext w:val="0"/>
        <w:keepLines w:val="0"/>
        <w:pageBreakBefore w:val="0"/>
        <w:kinsoku/>
        <w:wordWrap/>
        <w:overflowPunct/>
        <w:topLinePunct w:val="0"/>
        <w:autoSpaceDE/>
        <w:autoSpaceDN/>
        <w:bidi w:val="0"/>
        <w:adjustRightInd/>
        <w:snapToGrid/>
        <w:spacing w:line="440" w:lineRule="exact"/>
        <w:ind w:firstLine="472" w:firstLineChars="200"/>
        <w:textAlignment w:val="auto"/>
        <w:rPr>
          <w:rFonts w:hint="default" w:ascii="Times New Roman" w:hAnsi="Times New Roman" w:cs="Times New Roman"/>
          <w:color w:val="auto"/>
          <w:spacing w:val="-2"/>
          <w:kern w:val="0"/>
          <w:sz w:val="24"/>
          <w:szCs w:val="24"/>
          <w:highlight w:val="none"/>
        </w:rPr>
      </w:pPr>
      <w:r>
        <w:rPr>
          <w:rFonts w:hint="default" w:ascii="Times New Roman" w:hAnsi="Times New Roman" w:cs="Times New Roman"/>
          <w:color w:val="auto"/>
          <w:spacing w:val="-2"/>
          <w:kern w:val="0"/>
          <w:sz w:val="24"/>
          <w:szCs w:val="24"/>
          <w:highlight w:val="none"/>
        </w:rPr>
        <w:t>2.3公平谈判。与各供应商就谈判文件（含澄清、说明、补充的内容）采购的设备技术、商务等进行公平谈判。</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2.4 依据谈判文件在和各供应商谈判的基础上，作出客观、公正、全面的评审结论。并按照最后报价高低排序，推荐3名成交候选供应商。</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2.5协调、处理谈判中出现的其他相关问题，负责在谈判结束后编制评标报告。</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九</w:t>
      </w:r>
      <w:r>
        <w:rPr>
          <w:rFonts w:hint="default" w:ascii="Times New Roman" w:hAnsi="Times New Roman" w:cs="Times New Roman"/>
          <w:b/>
          <w:bCs/>
          <w:color w:val="auto"/>
          <w:sz w:val="24"/>
          <w:szCs w:val="24"/>
          <w:highlight w:val="none"/>
        </w:rPr>
        <w:t>、采购领导小组构成及职责</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1、采购领导小组：采购领导小组由采购单位组建，成员组成为单数。</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2、采购领导小组职责：依据谈判小组所提交的评标报告、投标价格及推荐成交候选供应商名单确定成交供应商。</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b/>
          <w:bCs/>
          <w:color w:val="auto"/>
          <w:sz w:val="24"/>
          <w:szCs w:val="24"/>
          <w:highlight w:val="none"/>
          <w:lang w:val="en-US" w:eastAsia="zh-CN"/>
        </w:rPr>
        <w:t>十</w:t>
      </w:r>
      <w:r>
        <w:rPr>
          <w:rFonts w:hint="default" w:ascii="Times New Roman" w:hAnsi="Times New Roman" w:cs="Times New Roman"/>
          <w:b/>
          <w:bCs/>
          <w:color w:val="auto"/>
          <w:sz w:val="24"/>
          <w:szCs w:val="24"/>
          <w:highlight w:val="none"/>
        </w:rPr>
        <w:t>、成交供应商的确定</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1、在谈判小组与各供应商的谈判全部结束后，在供应商所提供的响应文件、最终承诺真实有效，符合采购需求的前提下。谈判小组应当从质量和服务均能满足采购文件实质性响应要求的供应商中，</w:t>
      </w:r>
      <w:r>
        <w:rPr>
          <w:rFonts w:hint="default" w:ascii="Times New Roman" w:hAnsi="Times New Roman" w:cs="Times New Roman"/>
          <w:b/>
          <w:color w:val="auto"/>
          <w:sz w:val="24"/>
          <w:szCs w:val="24"/>
          <w:highlight w:val="none"/>
        </w:rPr>
        <w:t>按照最后报价由低到高的顺序提出三名以上成交候选人，并编写评审报告</w:t>
      </w:r>
      <w:r>
        <w:rPr>
          <w:rFonts w:hint="default" w:ascii="Times New Roman" w:hAnsi="Times New Roman" w:cs="Times New Roman"/>
          <w:color w:val="auto"/>
          <w:sz w:val="24"/>
          <w:szCs w:val="24"/>
          <w:highlight w:val="none"/>
        </w:rPr>
        <w:t>，并将所推荐的成交候选供应商名单报采购领导小组，由采购领导小组确定成交供应商。</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2、采购人在收到评审报告之日起5个工作日内</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在评标报告确定的中标候选人名单中按次序确定排名第一的中标候选人为中标供应商。采购人逾期不予确认</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又不能说明合法理由的</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视同按评标报告推荐的次序确定排名第一的中标候选人为中标供应商。</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3、集中采购机构将在中标供应商确定之日起2个工作日内</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在陕西省政府采购网</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陕西省公共资源交易网</w:t>
      </w:r>
      <w:r>
        <w:rPr>
          <w:rFonts w:hint="eastAsia" w:ascii="Times New Roman" w:hAnsi="Times New Roman" w:cs="Times New Roman"/>
          <w:color w:val="auto"/>
          <w:sz w:val="24"/>
          <w:szCs w:val="24"/>
          <w:highlight w:val="none"/>
          <w:lang w:val="en-US" w:eastAsia="zh-CN"/>
        </w:rPr>
        <w:t>及秦都区政府网站</w:t>
      </w:r>
      <w:r>
        <w:rPr>
          <w:rFonts w:hint="default" w:ascii="Times New Roman" w:hAnsi="Times New Roman" w:cs="Times New Roman"/>
          <w:color w:val="auto"/>
          <w:sz w:val="24"/>
          <w:szCs w:val="24"/>
          <w:highlight w:val="none"/>
        </w:rPr>
        <w:t>上公布中标结果。并向中标供应商发出中标通知书。</w:t>
      </w:r>
    </w:p>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br w:type="page"/>
      </w:r>
    </w:p>
    <w:p>
      <w:pPr>
        <w:rPr>
          <w:rFonts w:hint="default" w:ascii="Times New Roman" w:hAnsi="Times New Roman" w:cs="Times New Roman"/>
          <w:b/>
          <w:bCs/>
          <w:kern w:val="2"/>
          <w:sz w:val="30"/>
          <w:szCs w:val="30"/>
          <w:highlight w:val="none"/>
          <w:lang w:val="en-US" w:eastAsia="zh-CN" w:bidi="ar-SA"/>
        </w:rPr>
      </w:pP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b/>
          <w:bCs/>
          <w:kern w:val="2"/>
          <w:sz w:val="30"/>
          <w:szCs w:val="30"/>
          <w:highlight w:val="none"/>
          <w:lang w:val="en-US" w:eastAsia="zh-CN" w:bidi="ar-SA"/>
        </w:rPr>
        <w:t xml:space="preserve">第三部分 </w:t>
      </w:r>
      <w:r>
        <w:rPr>
          <w:rFonts w:hint="eastAsia" w:ascii="Times New Roman" w:hAnsi="Times New Roman" w:cs="Times New Roman"/>
          <w:b/>
          <w:bCs/>
          <w:kern w:val="2"/>
          <w:sz w:val="30"/>
          <w:szCs w:val="30"/>
          <w:highlight w:val="none"/>
          <w:lang w:val="en-US" w:eastAsia="zh-CN" w:bidi="ar-SA"/>
        </w:rPr>
        <w:t xml:space="preserve"> </w:t>
      </w:r>
      <w:r>
        <w:rPr>
          <w:rFonts w:hint="default" w:ascii="Times New Roman" w:hAnsi="Times New Roman" w:cs="Times New Roman"/>
          <w:b/>
          <w:bCs/>
          <w:kern w:val="2"/>
          <w:sz w:val="30"/>
          <w:szCs w:val="30"/>
          <w:highlight w:val="none"/>
          <w:lang w:val="en-US" w:eastAsia="zh-CN" w:bidi="ar-SA"/>
        </w:rPr>
        <w:t xml:space="preserve"> 商务要求</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一、</w:t>
      </w:r>
      <w:r>
        <w:rPr>
          <w:rFonts w:hint="default" w:ascii="Times New Roman" w:hAnsi="Times New Roman" w:cs="Times New Roman"/>
          <w:b/>
          <w:bCs/>
          <w:color w:val="auto"/>
          <w:sz w:val="24"/>
          <w:szCs w:val="24"/>
          <w:highlight w:val="none"/>
        </w:rPr>
        <w:t>交货地点：</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咸阳</w:t>
      </w:r>
      <w:r>
        <w:rPr>
          <w:rFonts w:hint="eastAsia" w:ascii="Times New Roman" w:hAnsi="Times New Roman" w:cs="Times New Roman"/>
          <w:color w:val="auto"/>
          <w:sz w:val="24"/>
          <w:szCs w:val="24"/>
          <w:highlight w:val="none"/>
          <w:lang w:val="en-US" w:eastAsia="zh-CN"/>
        </w:rPr>
        <w:t>市丝路花城小学</w:t>
      </w:r>
      <w:r>
        <w:rPr>
          <w:rFonts w:hint="default" w:ascii="Times New Roman" w:hAnsi="Times New Roman" w:cs="Times New Roman"/>
          <w:color w:val="auto"/>
          <w:sz w:val="24"/>
          <w:szCs w:val="24"/>
          <w:highlight w:val="none"/>
        </w:rPr>
        <w:t>指定地点。</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二、</w:t>
      </w:r>
      <w:r>
        <w:rPr>
          <w:rFonts w:hint="default" w:ascii="Times New Roman" w:hAnsi="Times New Roman" w:cs="Times New Roman"/>
          <w:b/>
          <w:bCs/>
          <w:color w:val="auto"/>
          <w:sz w:val="24"/>
          <w:szCs w:val="24"/>
          <w:highlight w:val="none"/>
        </w:rPr>
        <w:t>交货期：</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自合同签订之日起</w:t>
      </w:r>
      <w:r>
        <w:rPr>
          <w:rFonts w:hint="eastAsia" w:ascii="Times New Roman" w:hAnsi="Times New Roman" w:cs="Times New Roman"/>
          <w:color w:val="auto"/>
          <w:sz w:val="24"/>
          <w:szCs w:val="24"/>
          <w:highlight w:val="none"/>
          <w:lang w:val="en-US" w:eastAsia="zh-CN"/>
        </w:rPr>
        <w:t>30个</w:t>
      </w:r>
      <w:r>
        <w:rPr>
          <w:rFonts w:hint="eastAsia" w:ascii="Times New Roman" w:hAnsi="Times New Roman" w:cs="Times New Roman"/>
          <w:color w:val="auto"/>
          <w:sz w:val="24"/>
          <w:szCs w:val="24"/>
          <w:highlight w:val="none"/>
        </w:rPr>
        <w:t>日历日内全部安装完毕，随时进行验收，验收完毕出具验收证明。</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中标供应商不能按时交货的，采购单位有权延期付款并按合同总额收取每天0.01%的违约金。</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三、</w:t>
      </w:r>
      <w:r>
        <w:rPr>
          <w:rFonts w:hint="default" w:ascii="Times New Roman" w:hAnsi="Times New Roman" w:cs="Times New Roman"/>
          <w:b/>
          <w:bCs/>
          <w:color w:val="auto"/>
          <w:sz w:val="24"/>
          <w:szCs w:val="24"/>
          <w:highlight w:val="none"/>
        </w:rPr>
        <w:t>合同签订及价款</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1、自中标通知书发出之日</w:t>
      </w:r>
      <w:r>
        <w:rPr>
          <w:rFonts w:hint="eastAsia" w:ascii="Times New Roman" w:hAnsi="Times New Roman" w:cs="Times New Roman"/>
          <w:color w:val="auto"/>
          <w:sz w:val="24"/>
          <w:szCs w:val="24"/>
          <w:highlight w:val="none"/>
          <w:lang w:val="en-US" w:eastAsia="zh-CN"/>
        </w:rPr>
        <w:t>起7个日历日</w:t>
      </w:r>
      <w:r>
        <w:rPr>
          <w:rFonts w:hint="eastAsia" w:ascii="Times New Roman" w:hAnsi="Times New Roman" w:cs="Times New Roman"/>
          <w:color w:val="auto"/>
          <w:sz w:val="24"/>
          <w:szCs w:val="24"/>
          <w:highlight w:val="none"/>
        </w:rPr>
        <w:t>内,</w:t>
      </w:r>
      <w:r>
        <w:rPr>
          <w:rFonts w:hint="default" w:ascii="Times New Roman" w:hAnsi="Times New Roman" w:cs="Times New Roman"/>
          <w:color w:val="auto"/>
          <w:sz w:val="24"/>
          <w:szCs w:val="24"/>
          <w:highlight w:val="none"/>
        </w:rPr>
        <w:t>采购单位为甲方，</w:t>
      </w:r>
      <w:r>
        <w:rPr>
          <w:rFonts w:hint="eastAsia" w:ascii="Times New Roman" w:hAnsi="Times New Roman" w:cs="Times New Roman"/>
          <w:color w:val="auto"/>
          <w:sz w:val="24"/>
          <w:szCs w:val="24"/>
          <w:highlight w:val="none"/>
        </w:rPr>
        <w:t>中标</w:t>
      </w:r>
      <w:r>
        <w:rPr>
          <w:rFonts w:hint="default" w:ascii="Times New Roman" w:hAnsi="Times New Roman" w:cs="Times New Roman"/>
          <w:color w:val="auto"/>
          <w:sz w:val="24"/>
          <w:szCs w:val="24"/>
          <w:highlight w:val="none"/>
        </w:rPr>
        <w:t>供应商为乙方</w:t>
      </w:r>
      <w:r>
        <w:rPr>
          <w:rFonts w:hint="eastAsia"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rPr>
        <w:t>双方协商具体条款后签定合同</w:t>
      </w:r>
      <w:r>
        <w:rPr>
          <w:rFonts w:hint="eastAsia" w:ascii="Times New Roman" w:hAnsi="Times New Roman" w:cs="Times New Roman"/>
          <w:color w:val="auto"/>
          <w:sz w:val="24"/>
          <w:szCs w:val="24"/>
          <w:highlight w:val="none"/>
        </w:rPr>
        <w:t>。采购人与中标供应商应按</w:t>
      </w:r>
      <w:r>
        <w:rPr>
          <w:rFonts w:hint="eastAsia" w:ascii="Times New Roman" w:hAnsi="Times New Roman" w:cs="Times New Roman"/>
          <w:color w:val="auto"/>
          <w:sz w:val="24"/>
          <w:szCs w:val="24"/>
          <w:highlight w:val="none"/>
          <w:lang w:val="en-US" w:eastAsia="zh-CN"/>
        </w:rPr>
        <w:t>谈判</w:t>
      </w:r>
      <w:r>
        <w:rPr>
          <w:rFonts w:hint="eastAsia" w:ascii="Times New Roman" w:hAnsi="Times New Roman" w:cs="Times New Roman"/>
          <w:color w:val="auto"/>
          <w:sz w:val="24"/>
          <w:szCs w:val="24"/>
          <w:highlight w:val="none"/>
        </w:rPr>
        <w:t>文件和中标供应商投标文件的约定,签订书面合同。所签订的政府采购合同不得对</w:t>
      </w:r>
      <w:r>
        <w:rPr>
          <w:rFonts w:hint="eastAsia" w:ascii="Times New Roman" w:hAnsi="Times New Roman" w:cs="Times New Roman"/>
          <w:color w:val="auto"/>
          <w:sz w:val="24"/>
          <w:szCs w:val="24"/>
          <w:highlight w:val="none"/>
          <w:lang w:val="en-US" w:eastAsia="zh-CN"/>
        </w:rPr>
        <w:t>谈判</w:t>
      </w:r>
      <w:r>
        <w:rPr>
          <w:rFonts w:hint="eastAsia" w:ascii="Times New Roman" w:hAnsi="Times New Roman" w:cs="Times New Roman"/>
          <w:color w:val="auto"/>
          <w:sz w:val="24"/>
          <w:szCs w:val="24"/>
          <w:highlight w:val="none"/>
        </w:rPr>
        <w:t>文件和中标供应商的投标文件内容作实质性修改。</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2、中标供应商拒绝与采购人签订合同的,</w:t>
      </w:r>
      <w:r>
        <w:rPr>
          <w:rFonts w:hint="default" w:ascii="Times New Roman" w:hAnsi="Times New Roman" w:cs="Times New Roman"/>
          <w:color w:val="auto"/>
          <w:sz w:val="24"/>
          <w:szCs w:val="24"/>
          <w:highlight w:val="none"/>
        </w:rPr>
        <w:t>取消其中标资格并将按相关规定进行处理。</w:t>
      </w:r>
      <w:r>
        <w:rPr>
          <w:rFonts w:hint="eastAsia" w:ascii="Times New Roman" w:hAnsi="Times New Roman" w:cs="Times New Roman"/>
          <w:color w:val="auto"/>
          <w:sz w:val="24"/>
          <w:szCs w:val="24"/>
          <w:highlight w:val="none"/>
        </w:rPr>
        <w:t>采购人可以按照评审报告推荐的中标候选人名单排序,确定下一候选人为中标供应商,也可以重新开展政府采购活动。</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3、</w:t>
      </w:r>
      <w:r>
        <w:rPr>
          <w:rFonts w:hint="default" w:ascii="Times New Roman" w:hAnsi="Times New Roman" w:cs="Times New Roman"/>
          <w:color w:val="auto"/>
          <w:sz w:val="24"/>
          <w:szCs w:val="24"/>
          <w:highlight w:val="none"/>
        </w:rPr>
        <w:t>采购人不得向中标人提出任何不合理的要求，作为签订合同的条件，不得与中标人私下订立背离合同实质性内容的任何协议。</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4、</w:t>
      </w:r>
      <w:r>
        <w:rPr>
          <w:rFonts w:hint="eastAsia" w:ascii="Times New Roman" w:hAnsi="Times New Roman" w:cs="Times New Roman"/>
          <w:color w:val="auto"/>
          <w:sz w:val="24"/>
          <w:szCs w:val="24"/>
          <w:highlight w:val="none"/>
          <w:lang w:val="en-US" w:eastAsia="zh-CN"/>
        </w:rPr>
        <w:t>谈判</w:t>
      </w:r>
      <w:r>
        <w:rPr>
          <w:rFonts w:hint="eastAsia" w:ascii="Times New Roman" w:hAnsi="Times New Roman" w:cs="Times New Roman"/>
          <w:color w:val="auto"/>
          <w:sz w:val="24"/>
          <w:szCs w:val="24"/>
          <w:highlight w:val="none"/>
        </w:rPr>
        <w:t>文件、投标文件、澄清、补充合同等为政府采购合同的组成部分，具有同等法律效力。</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5、合同一式四份，</w:t>
      </w:r>
      <w:r>
        <w:rPr>
          <w:rFonts w:hint="default" w:ascii="Times New Roman" w:hAnsi="Times New Roman" w:cs="Times New Roman"/>
          <w:color w:val="auto"/>
          <w:sz w:val="24"/>
          <w:szCs w:val="24"/>
          <w:highlight w:val="none"/>
        </w:rPr>
        <w:t>中标人在合同签订之</w:t>
      </w:r>
      <w:r>
        <w:rPr>
          <w:rFonts w:hint="eastAsia" w:ascii="Times New Roman" w:hAnsi="Times New Roman" w:cs="Times New Roman"/>
          <w:color w:val="auto"/>
          <w:sz w:val="24"/>
          <w:szCs w:val="24"/>
          <w:highlight w:val="none"/>
        </w:rPr>
        <w:t>日</w:t>
      </w:r>
      <w:r>
        <w:rPr>
          <w:rFonts w:hint="default" w:ascii="Times New Roman" w:hAnsi="Times New Roman" w:cs="Times New Roman"/>
          <w:color w:val="auto"/>
          <w:sz w:val="24"/>
          <w:szCs w:val="24"/>
          <w:highlight w:val="none"/>
        </w:rPr>
        <w:t>七个工作日内，将签订的合同送咸阳市秦都区政府采购中心和</w:t>
      </w:r>
      <w:r>
        <w:rPr>
          <w:rFonts w:hint="eastAsia" w:ascii="Times New Roman" w:hAnsi="Times New Roman" w:cs="Times New Roman"/>
          <w:color w:val="auto"/>
          <w:sz w:val="24"/>
          <w:szCs w:val="24"/>
          <w:highlight w:val="none"/>
        </w:rPr>
        <w:t>咸阳市秦都区</w:t>
      </w:r>
      <w:r>
        <w:rPr>
          <w:rFonts w:hint="default" w:ascii="Times New Roman" w:hAnsi="Times New Roman" w:cs="Times New Roman"/>
          <w:color w:val="auto"/>
          <w:sz w:val="24"/>
          <w:szCs w:val="24"/>
          <w:highlight w:val="none"/>
        </w:rPr>
        <w:t>财政局采购管理科进行存档。</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6、</w:t>
      </w:r>
      <w:r>
        <w:rPr>
          <w:rFonts w:hint="default" w:ascii="Times New Roman" w:hAnsi="Times New Roman" w:cs="Times New Roman"/>
          <w:color w:val="auto"/>
          <w:sz w:val="24"/>
          <w:szCs w:val="24"/>
          <w:highlight w:val="none"/>
        </w:rPr>
        <w:t>合同总价为中标供应商标书中所报价格,不受市场价变化的影响。</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四、款项结算</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1、付款</w:t>
      </w:r>
      <w:r>
        <w:rPr>
          <w:rFonts w:hint="eastAsia" w:ascii="Times New Roman" w:hAnsi="Times New Roman" w:cs="Times New Roman"/>
          <w:color w:val="auto"/>
          <w:sz w:val="24"/>
          <w:szCs w:val="24"/>
          <w:highlight w:val="none"/>
          <w:lang w:val="en-US" w:eastAsia="zh-CN"/>
        </w:rPr>
        <w:t>条件</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经</w:t>
      </w:r>
      <w:r>
        <w:rPr>
          <w:rFonts w:hint="eastAsia" w:ascii="Times New Roman" w:hAnsi="Times New Roman" w:cs="Times New Roman"/>
          <w:color w:val="auto"/>
          <w:sz w:val="24"/>
          <w:szCs w:val="24"/>
          <w:highlight w:val="none"/>
          <w:lang w:val="en-US" w:eastAsia="zh-CN"/>
        </w:rPr>
        <w:t>安装调试验收</w:t>
      </w:r>
      <w:r>
        <w:rPr>
          <w:rFonts w:hint="default" w:ascii="Times New Roman" w:hAnsi="Times New Roman" w:cs="Times New Roman"/>
          <w:color w:val="auto"/>
          <w:sz w:val="24"/>
          <w:szCs w:val="24"/>
          <w:highlight w:val="none"/>
        </w:rPr>
        <w:t>合格后，无质量问题，支付</w:t>
      </w:r>
      <w:r>
        <w:rPr>
          <w:rFonts w:hint="default" w:ascii="Times New Roman" w:hAnsi="Times New Roman" w:cs="Times New Roman"/>
          <w:color w:val="auto"/>
          <w:sz w:val="24"/>
          <w:szCs w:val="24"/>
          <w:highlight w:val="none"/>
          <w:lang w:eastAsia="zh-CN"/>
        </w:rPr>
        <w:t>全部货款</w:t>
      </w:r>
      <w:r>
        <w:rPr>
          <w:rFonts w:hint="default" w:ascii="Times New Roman" w:hAnsi="Times New Roman" w:cs="Times New Roman"/>
          <w:color w:val="auto"/>
          <w:sz w:val="24"/>
          <w:szCs w:val="24"/>
          <w:highlight w:val="none"/>
        </w:rPr>
        <w:t>（所有报价均以人民币报价，所报价格包括所需设备的单价、总价、运费、</w:t>
      </w:r>
      <w:r>
        <w:rPr>
          <w:rFonts w:hint="eastAsia" w:ascii="Times New Roman" w:hAnsi="Times New Roman" w:cs="Times New Roman"/>
          <w:color w:val="auto"/>
          <w:sz w:val="24"/>
          <w:szCs w:val="24"/>
          <w:highlight w:val="none"/>
          <w:lang w:val="en-US" w:eastAsia="zh-CN"/>
        </w:rPr>
        <w:t>拆旧安新费</w:t>
      </w:r>
      <w:r>
        <w:rPr>
          <w:rFonts w:hint="default" w:ascii="Times New Roman" w:hAnsi="Times New Roman" w:cs="Times New Roman"/>
          <w:color w:val="auto"/>
          <w:sz w:val="24"/>
          <w:szCs w:val="24"/>
          <w:highlight w:val="none"/>
        </w:rPr>
        <w:t>以及为使用户正常操作与维护所必须提供的技术培训服务费）</w:t>
      </w:r>
      <w:r>
        <w:rPr>
          <w:rFonts w:hint="default" w:ascii="Times New Roman" w:hAnsi="Times New Roman" w:cs="Times New Roman"/>
          <w:color w:val="auto"/>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2、付款方式</w:t>
      </w: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rPr>
        <w:t>银行转账。</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五、质量保证及售后服务</w:t>
      </w:r>
      <w:bookmarkStart w:id="6" w:name="_GoBack"/>
      <w:bookmarkEnd w:id="6"/>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rPr>
        <w:t>1、</w:t>
      </w:r>
      <w:r>
        <w:rPr>
          <w:rFonts w:hint="default" w:ascii="Times New Roman" w:hAnsi="Times New Roman" w:cs="Times New Roman"/>
          <w:color w:val="auto"/>
          <w:sz w:val="24"/>
          <w:szCs w:val="24"/>
          <w:highlight w:val="none"/>
        </w:rPr>
        <w:t>质量保证期</w:t>
      </w:r>
      <w:r>
        <w:rPr>
          <w:rFonts w:hint="default"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验收合格后质保36个月。</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2、</w:t>
      </w:r>
      <w:r>
        <w:rPr>
          <w:rFonts w:hint="default" w:ascii="Times New Roman" w:hAnsi="Times New Roman" w:cs="Times New Roman"/>
          <w:color w:val="auto"/>
          <w:sz w:val="24"/>
          <w:szCs w:val="24"/>
          <w:highlight w:val="none"/>
        </w:rPr>
        <w:t>乙方确保供应</w:t>
      </w:r>
      <w:r>
        <w:rPr>
          <w:rFonts w:hint="eastAsia" w:ascii="Times New Roman" w:hAnsi="Times New Roman" w:cs="Times New Roman"/>
          <w:color w:val="auto"/>
          <w:sz w:val="24"/>
          <w:szCs w:val="24"/>
          <w:highlight w:val="none"/>
        </w:rPr>
        <w:t>货物</w:t>
      </w:r>
      <w:r>
        <w:rPr>
          <w:rFonts w:hint="default" w:ascii="Times New Roman" w:hAnsi="Times New Roman" w:cs="Times New Roman"/>
          <w:color w:val="auto"/>
          <w:sz w:val="24"/>
          <w:szCs w:val="24"/>
          <w:highlight w:val="none"/>
        </w:rPr>
        <w:t>符合国家标准，如出现不符合，乙方将承担一切责任。</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3、</w:t>
      </w:r>
      <w:r>
        <w:rPr>
          <w:rFonts w:hint="default" w:ascii="Times New Roman" w:hAnsi="Times New Roman" w:cs="Times New Roman"/>
          <w:color w:val="auto"/>
          <w:sz w:val="24"/>
          <w:szCs w:val="24"/>
          <w:highlight w:val="none"/>
        </w:rPr>
        <w:t>中标人承诺的质保期起始时间为终验合格之日。</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4、</w:t>
      </w:r>
      <w:r>
        <w:rPr>
          <w:rFonts w:hint="default" w:ascii="Times New Roman" w:hAnsi="Times New Roman" w:cs="Times New Roman"/>
          <w:color w:val="auto"/>
          <w:sz w:val="24"/>
          <w:szCs w:val="24"/>
          <w:highlight w:val="none"/>
        </w:rPr>
        <w:t>中标人提供的所有</w:t>
      </w:r>
      <w:r>
        <w:rPr>
          <w:rFonts w:hint="eastAsia" w:ascii="Times New Roman" w:hAnsi="Times New Roman" w:cs="Times New Roman"/>
          <w:color w:val="auto"/>
          <w:sz w:val="24"/>
          <w:szCs w:val="24"/>
          <w:highlight w:val="none"/>
        </w:rPr>
        <w:t>货物</w:t>
      </w:r>
      <w:r>
        <w:rPr>
          <w:rFonts w:hint="default" w:ascii="Times New Roman" w:hAnsi="Times New Roman" w:cs="Times New Roman"/>
          <w:color w:val="auto"/>
          <w:sz w:val="24"/>
          <w:szCs w:val="24"/>
          <w:highlight w:val="none"/>
        </w:rPr>
        <w:t>必须是未使用过的，质量优良、渠道正当，配置合理。</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5、</w:t>
      </w:r>
      <w:r>
        <w:rPr>
          <w:rFonts w:hint="default" w:ascii="Times New Roman" w:hAnsi="Times New Roman" w:cs="Times New Roman"/>
          <w:color w:val="auto"/>
          <w:sz w:val="24"/>
          <w:szCs w:val="24"/>
          <w:highlight w:val="none"/>
        </w:rPr>
        <w:t>质保期后如需更换零部件，中标人应以优惠价提供。</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6、</w:t>
      </w:r>
      <w:r>
        <w:rPr>
          <w:rFonts w:hint="default" w:ascii="Times New Roman" w:hAnsi="Times New Roman" w:cs="Times New Roman"/>
          <w:color w:val="auto"/>
          <w:sz w:val="24"/>
          <w:szCs w:val="24"/>
          <w:highlight w:val="none"/>
        </w:rPr>
        <w:t>售后服务：</w:t>
      </w:r>
      <w:r>
        <w:rPr>
          <w:rFonts w:hint="eastAsia" w:ascii="Times New Roman" w:hAnsi="Times New Roman" w:cs="Times New Roman"/>
          <w:color w:val="auto"/>
          <w:sz w:val="24"/>
          <w:szCs w:val="24"/>
          <w:highlight w:val="none"/>
        </w:rPr>
        <w:t>货物</w:t>
      </w:r>
      <w:r>
        <w:rPr>
          <w:rFonts w:hint="default" w:ascii="Times New Roman" w:hAnsi="Times New Roman" w:cs="Times New Roman"/>
          <w:color w:val="auto"/>
          <w:sz w:val="24"/>
          <w:szCs w:val="24"/>
          <w:highlight w:val="none"/>
        </w:rPr>
        <w:t>如出现问题，应在</w:t>
      </w:r>
      <w:r>
        <w:rPr>
          <w:rFonts w:hint="eastAsia" w:ascii="Times New Roman" w:hAnsi="Times New Roman" w:cs="Times New Roman"/>
          <w:color w:val="auto"/>
          <w:sz w:val="24"/>
          <w:szCs w:val="24"/>
          <w:highlight w:val="none"/>
        </w:rPr>
        <w:t>4</w:t>
      </w:r>
      <w:r>
        <w:rPr>
          <w:rFonts w:hint="default" w:ascii="Times New Roman" w:hAnsi="Times New Roman" w:cs="Times New Roman"/>
          <w:color w:val="auto"/>
          <w:sz w:val="24"/>
          <w:szCs w:val="24"/>
          <w:highlight w:val="none"/>
        </w:rPr>
        <w:t>小时内</w:t>
      </w:r>
      <w:r>
        <w:rPr>
          <w:rFonts w:hint="eastAsia" w:ascii="Times New Roman" w:hAnsi="Times New Roman" w:cs="Times New Roman"/>
          <w:color w:val="auto"/>
          <w:sz w:val="24"/>
          <w:szCs w:val="24"/>
          <w:highlight w:val="none"/>
        </w:rPr>
        <w:t>响应</w:t>
      </w:r>
      <w:r>
        <w:rPr>
          <w:rFonts w:hint="default" w:ascii="Times New Roman" w:hAnsi="Times New Roman" w:cs="Times New Roman"/>
          <w:color w:val="auto"/>
          <w:sz w:val="24"/>
          <w:szCs w:val="24"/>
          <w:highlight w:val="none"/>
        </w:rPr>
        <w:t>处理</w:t>
      </w:r>
      <w:r>
        <w:rPr>
          <w:rFonts w:hint="eastAsia" w:ascii="Times New Roman" w:hAnsi="Times New Roman" w:cs="Times New Roman"/>
          <w:color w:val="auto"/>
          <w:sz w:val="24"/>
          <w:szCs w:val="24"/>
          <w:highlight w:val="none"/>
          <w:lang w:val="en-US" w:eastAsia="zh-CN"/>
        </w:rPr>
        <w:t>完结</w:t>
      </w:r>
      <w:r>
        <w:rPr>
          <w:rFonts w:hint="default" w:ascii="Times New Roman" w:hAnsi="Times New Roman" w:cs="Times New Roman"/>
          <w:color w:val="auto"/>
          <w:sz w:val="24"/>
          <w:szCs w:val="24"/>
          <w:highlight w:val="none"/>
        </w:rPr>
        <w:t>问题</w:t>
      </w: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完结不了提供备用设备，</w:t>
      </w:r>
      <w:r>
        <w:rPr>
          <w:rFonts w:hint="default" w:ascii="Times New Roman" w:hAnsi="Times New Roman" w:cs="Times New Roman"/>
          <w:color w:val="auto"/>
          <w:sz w:val="24"/>
          <w:szCs w:val="24"/>
          <w:highlight w:val="none"/>
        </w:rPr>
        <w:t>在质保期内，免费上门维</w:t>
      </w:r>
      <w:r>
        <w:rPr>
          <w:rFonts w:hint="eastAsia" w:ascii="Times New Roman" w:hAnsi="Times New Roman" w:cs="Times New Roman"/>
          <w:color w:val="auto"/>
          <w:sz w:val="24"/>
          <w:szCs w:val="24"/>
          <w:highlight w:val="none"/>
        </w:rPr>
        <w:t>修</w:t>
      </w:r>
      <w:r>
        <w:rPr>
          <w:rFonts w:hint="default" w:ascii="Times New Roman" w:hAnsi="Times New Roman" w:cs="Times New Roman"/>
          <w:color w:val="auto"/>
          <w:sz w:val="24"/>
          <w:szCs w:val="24"/>
          <w:highlight w:val="none"/>
        </w:rPr>
        <w:t>。</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7、</w:t>
      </w:r>
      <w:r>
        <w:rPr>
          <w:rFonts w:hint="default" w:ascii="Times New Roman" w:hAnsi="Times New Roman" w:cs="Times New Roman"/>
          <w:color w:val="auto"/>
          <w:sz w:val="24"/>
          <w:szCs w:val="24"/>
          <w:highlight w:val="none"/>
        </w:rPr>
        <w:t>质量保证期内由此发生的所有费用由投标供应商承担；</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rPr>
      </w:pPr>
      <w:r>
        <w:rPr>
          <w:rFonts w:hint="eastAsia" w:ascii="Times New Roman" w:hAnsi="Times New Roman" w:cs="Times New Roman"/>
          <w:color w:val="auto"/>
          <w:sz w:val="24"/>
          <w:szCs w:val="24"/>
          <w:highlight w:val="none"/>
          <w:lang w:val="en-US" w:eastAsia="zh-CN"/>
        </w:rPr>
        <w:t>8</w:t>
      </w:r>
      <w:r>
        <w:rPr>
          <w:rFonts w:hint="eastAsia"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中标人提供本批次的检验报告</w:t>
      </w:r>
      <w:r>
        <w:rPr>
          <w:rFonts w:hint="default" w:ascii="Times New Roman" w:hAnsi="Times New Roman" w:cs="Times New Roman"/>
          <w:color w:val="auto"/>
          <w:sz w:val="24"/>
          <w:szCs w:val="24"/>
          <w:highlight w:val="none"/>
        </w:rPr>
        <w:t>；</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9</w:t>
      </w:r>
      <w:r>
        <w:rPr>
          <w:rFonts w:hint="eastAsia"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rPr>
        <w:t>为避免产品知识产权纠纷，投标商须作出确保不侵权且承担由此引起的全部法律责任和经济赔偿的书面保证（法定代表人签字或盖章，并加盖本单位公章）。</w:t>
      </w:r>
    </w:p>
    <w:p>
      <w:pPr>
        <w:keepNext w:val="0"/>
        <w:keepLines w:val="0"/>
        <w:pageBreakBefore w:val="0"/>
        <w:widowControl/>
        <w:kinsoku/>
        <w:wordWrap/>
        <w:overflowPunct/>
        <w:topLinePunct w:val="0"/>
        <w:autoSpaceDE/>
        <w:autoSpaceDN/>
        <w:bidi w:val="0"/>
        <w:adjustRightInd/>
        <w:spacing w:line="420" w:lineRule="exact"/>
        <w:ind w:firstLine="482" w:firstLineChars="200"/>
        <w:jc w:val="both"/>
        <w:textAlignment w:val="auto"/>
        <w:rPr>
          <w:rFonts w:hint="default" w:ascii="Times New Roman" w:hAnsi="Times New Roman" w:cs="Times New Roman"/>
          <w:b/>
          <w:bCs/>
          <w:color w:val="auto"/>
          <w:kern w:val="0"/>
          <w:sz w:val="24"/>
          <w:highlight w:val="none"/>
        </w:rPr>
      </w:pPr>
      <w:r>
        <w:rPr>
          <w:rFonts w:hint="default" w:ascii="Times New Roman" w:hAnsi="Times New Roman" w:cs="Times New Roman"/>
          <w:b/>
          <w:bCs/>
          <w:color w:val="auto"/>
          <w:kern w:val="0"/>
          <w:sz w:val="24"/>
          <w:highlight w:val="none"/>
        </w:rPr>
        <w:t>六、施工及验收</w:t>
      </w:r>
    </w:p>
    <w:p>
      <w:pPr>
        <w:keepNext w:val="0"/>
        <w:keepLines w:val="0"/>
        <w:pageBreakBefore w:val="0"/>
        <w:widowControl/>
        <w:kinsoku/>
        <w:wordWrap/>
        <w:overflowPunct/>
        <w:topLinePunct w:val="0"/>
        <w:autoSpaceDE/>
        <w:autoSpaceDN/>
        <w:bidi w:val="0"/>
        <w:adjustRightInd/>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1、投标人应按国家标准进行施工或供货，采购人按此标准进行验收。投标方应在交货过程中对用户相关人员进行免费设备使用、操作及维护培训。保证招标方用户充分掌握设备、系统的性能，熟练管理和使用系统，并能进行相应的装备仪器使用、维护和故障排除。</w:t>
      </w:r>
    </w:p>
    <w:p>
      <w:pPr>
        <w:keepNext w:val="0"/>
        <w:keepLines w:val="0"/>
        <w:pageBreakBefore w:val="0"/>
        <w:widowControl/>
        <w:kinsoku/>
        <w:wordWrap/>
        <w:overflowPunct/>
        <w:topLinePunct w:val="0"/>
        <w:autoSpaceDE/>
        <w:autoSpaceDN/>
        <w:bidi w:val="0"/>
        <w:adjustRightInd/>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2、设备到货后，投标方须派具备相应资质的工作人员到用户现场进行货物清点、安装调试。</w:t>
      </w:r>
    </w:p>
    <w:p>
      <w:pPr>
        <w:keepNext w:val="0"/>
        <w:keepLines w:val="0"/>
        <w:pageBreakBefore w:val="0"/>
        <w:widowControl/>
        <w:kinsoku/>
        <w:wordWrap/>
        <w:overflowPunct/>
        <w:topLinePunct w:val="0"/>
        <w:autoSpaceDE/>
        <w:autoSpaceDN/>
        <w:bidi w:val="0"/>
        <w:adjustRightInd/>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3、设备安装调试完成并验收合格后，双方签署《设备验收合格报告》。</w:t>
      </w:r>
    </w:p>
    <w:p>
      <w:pPr>
        <w:keepNext w:val="0"/>
        <w:keepLines w:val="0"/>
        <w:pageBreakBefore w:val="0"/>
        <w:widowControl/>
        <w:kinsoku/>
        <w:wordWrap/>
        <w:overflowPunct/>
        <w:topLinePunct w:val="0"/>
        <w:autoSpaceDE/>
        <w:autoSpaceDN/>
        <w:bidi w:val="0"/>
        <w:adjustRightInd/>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4、以上安装、调试、验收等费用计入投标总价。</w:t>
      </w:r>
    </w:p>
    <w:p>
      <w:pPr>
        <w:keepNext w:val="0"/>
        <w:keepLines w:val="0"/>
        <w:pageBreakBefore w:val="0"/>
        <w:widowControl/>
        <w:kinsoku/>
        <w:wordWrap/>
        <w:overflowPunct/>
        <w:topLinePunct w:val="0"/>
        <w:autoSpaceDE/>
        <w:autoSpaceDN/>
        <w:bidi w:val="0"/>
        <w:adjustRightInd/>
        <w:snapToGrid w:val="0"/>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eastAsia" w:ascii="Times New Roman" w:hAnsi="Times New Roman" w:cs="Times New Roman"/>
          <w:color w:val="auto"/>
          <w:kern w:val="0"/>
          <w:sz w:val="24"/>
          <w:highlight w:val="none"/>
          <w:lang w:val="en-US" w:eastAsia="zh-CN"/>
        </w:rPr>
        <w:t>5</w:t>
      </w:r>
      <w:r>
        <w:rPr>
          <w:rFonts w:hint="default" w:ascii="Times New Roman" w:hAnsi="Times New Roman" w:cs="Times New Roman"/>
          <w:color w:val="auto"/>
          <w:kern w:val="0"/>
          <w:sz w:val="24"/>
          <w:highlight w:val="none"/>
        </w:rPr>
        <w:t>、设备、材料到货后，采购人根据合同要求对设备进行外观验收、确认设备的产地、规格、型号和数量。</w:t>
      </w:r>
    </w:p>
    <w:p>
      <w:pPr>
        <w:keepNext w:val="0"/>
        <w:keepLines w:val="0"/>
        <w:pageBreakBefore w:val="0"/>
        <w:widowControl/>
        <w:kinsoku/>
        <w:wordWrap/>
        <w:overflowPunct/>
        <w:topLinePunct w:val="0"/>
        <w:autoSpaceDE/>
        <w:autoSpaceDN/>
        <w:bidi w:val="0"/>
        <w:adjustRightInd/>
        <w:snapToGrid w:val="0"/>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eastAsia" w:ascii="Times New Roman" w:hAnsi="Times New Roman" w:cs="Times New Roman"/>
          <w:color w:val="auto"/>
          <w:kern w:val="0"/>
          <w:sz w:val="24"/>
          <w:highlight w:val="none"/>
          <w:lang w:val="en-US" w:eastAsia="zh-CN"/>
        </w:rPr>
        <w:t>6</w:t>
      </w:r>
      <w:r>
        <w:rPr>
          <w:rFonts w:hint="default" w:ascii="Times New Roman" w:hAnsi="Times New Roman" w:cs="Times New Roman"/>
          <w:color w:val="auto"/>
          <w:kern w:val="0"/>
          <w:sz w:val="24"/>
          <w:highlight w:val="none"/>
        </w:rPr>
        <w:t>、中标单位整个项目安装调试完毕后，进行自检，合格后准备验收文件，并书面通知采购人。</w:t>
      </w:r>
    </w:p>
    <w:p>
      <w:pPr>
        <w:keepNext w:val="0"/>
        <w:keepLines w:val="0"/>
        <w:pageBreakBefore w:val="0"/>
        <w:widowControl/>
        <w:kinsoku/>
        <w:wordWrap/>
        <w:overflowPunct/>
        <w:topLinePunct w:val="0"/>
        <w:autoSpaceDE/>
        <w:autoSpaceDN/>
        <w:bidi w:val="0"/>
        <w:adjustRightInd/>
        <w:snapToGrid w:val="0"/>
        <w:spacing w:line="420" w:lineRule="exact"/>
        <w:ind w:firstLine="480" w:firstLineChars="200"/>
        <w:jc w:val="both"/>
        <w:textAlignment w:val="auto"/>
        <w:rPr>
          <w:rFonts w:hint="default"/>
        </w:rPr>
      </w:pPr>
      <w:r>
        <w:rPr>
          <w:rFonts w:hint="eastAsia" w:ascii="Times New Roman" w:hAnsi="Times New Roman" w:cs="Times New Roman"/>
          <w:color w:val="auto"/>
          <w:kern w:val="0"/>
          <w:sz w:val="24"/>
          <w:highlight w:val="none"/>
          <w:lang w:val="en-US" w:eastAsia="zh-CN"/>
        </w:rPr>
        <w:t>7</w:t>
      </w:r>
      <w:r>
        <w:rPr>
          <w:rFonts w:hint="default" w:ascii="Times New Roman" w:hAnsi="Times New Roman" w:cs="Times New Roman"/>
          <w:color w:val="auto"/>
          <w:kern w:val="0"/>
          <w:sz w:val="24"/>
          <w:highlight w:val="none"/>
        </w:rPr>
        <w:t>、</w:t>
      </w:r>
      <w:r>
        <w:rPr>
          <w:rFonts w:hint="eastAsia" w:ascii="Times New Roman" w:hAnsi="Times New Roman" w:cs="Times New Roman"/>
          <w:color w:val="auto"/>
          <w:kern w:val="0"/>
          <w:sz w:val="24"/>
          <w:highlight w:val="none"/>
          <w:lang w:val="en-US" w:eastAsia="zh-CN"/>
        </w:rPr>
        <w:t>采购人可随机抽检，抽检样品和费用均由供货商承担。</w:t>
      </w:r>
    </w:p>
    <w:p>
      <w:pPr>
        <w:keepNext w:val="0"/>
        <w:keepLines w:val="0"/>
        <w:pageBreakBefore w:val="0"/>
        <w:widowControl/>
        <w:kinsoku/>
        <w:wordWrap/>
        <w:overflowPunct/>
        <w:topLinePunct w:val="0"/>
        <w:autoSpaceDE/>
        <w:autoSpaceDN/>
        <w:bidi w:val="0"/>
        <w:adjustRightInd/>
        <w:snapToGrid w:val="0"/>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eastAsia" w:ascii="Times New Roman" w:hAnsi="Times New Roman" w:cs="Times New Roman"/>
          <w:color w:val="auto"/>
          <w:kern w:val="0"/>
          <w:sz w:val="24"/>
          <w:highlight w:val="none"/>
          <w:lang w:val="en-US" w:eastAsia="zh-CN"/>
        </w:rPr>
        <w:t>8</w:t>
      </w:r>
      <w:r>
        <w:rPr>
          <w:rFonts w:hint="default" w:ascii="Times New Roman" w:hAnsi="Times New Roman" w:cs="Times New Roman"/>
          <w:color w:val="auto"/>
          <w:kern w:val="0"/>
          <w:sz w:val="24"/>
          <w:highlight w:val="none"/>
        </w:rPr>
        <w:t>、验收合格后，填写政府采购项目设备验收单，并向采购人提交系统实施过程中的所有资料。以便组织验收及采购人日后管理和维护。</w:t>
      </w:r>
    </w:p>
    <w:p>
      <w:pPr>
        <w:keepNext w:val="0"/>
        <w:keepLines w:val="0"/>
        <w:pageBreakBefore w:val="0"/>
        <w:widowControl/>
        <w:kinsoku/>
        <w:wordWrap/>
        <w:overflowPunct/>
        <w:topLinePunct w:val="0"/>
        <w:autoSpaceDE/>
        <w:autoSpaceDN/>
        <w:bidi w:val="0"/>
        <w:adjustRightInd/>
        <w:snapToGrid w:val="0"/>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eastAsia" w:ascii="Times New Roman" w:hAnsi="Times New Roman" w:cs="Times New Roman"/>
          <w:color w:val="auto"/>
          <w:kern w:val="0"/>
          <w:sz w:val="24"/>
          <w:highlight w:val="none"/>
          <w:lang w:val="en-US" w:eastAsia="zh-CN"/>
        </w:rPr>
        <w:t>9</w:t>
      </w:r>
      <w:r>
        <w:rPr>
          <w:rFonts w:hint="default" w:ascii="Times New Roman" w:hAnsi="Times New Roman" w:cs="Times New Roman"/>
          <w:color w:val="auto"/>
          <w:kern w:val="0"/>
          <w:sz w:val="24"/>
          <w:highlight w:val="none"/>
        </w:rPr>
        <w:t>、验收依据：</w:t>
      </w:r>
    </w:p>
    <w:p>
      <w:pPr>
        <w:keepNext w:val="0"/>
        <w:keepLines w:val="0"/>
        <w:pageBreakBefore w:val="0"/>
        <w:widowControl/>
        <w:kinsoku/>
        <w:wordWrap/>
        <w:overflowPunct/>
        <w:topLinePunct w:val="0"/>
        <w:autoSpaceDE/>
        <w:autoSpaceDN/>
        <w:bidi w:val="0"/>
        <w:adjustRightInd/>
        <w:snapToGrid w:val="0"/>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eastAsia" w:ascii="Times New Roman" w:hAnsi="Times New Roman" w:cs="Times New Roman"/>
          <w:color w:val="auto"/>
          <w:kern w:val="0"/>
          <w:sz w:val="24"/>
          <w:highlight w:val="none"/>
          <w:lang w:val="en-US" w:eastAsia="zh-CN"/>
        </w:rPr>
        <w:t>9</w:t>
      </w:r>
      <w:r>
        <w:rPr>
          <w:rFonts w:hint="default" w:ascii="Times New Roman" w:hAnsi="Times New Roman" w:cs="Times New Roman"/>
          <w:color w:val="auto"/>
          <w:kern w:val="0"/>
          <w:sz w:val="24"/>
          <w:highlight w:val="none"/>
        </w:rPr>
        <w:t>.1</w:t>
      </w:r>
      <w:r>
        <w:rPr>
          <w:rFonts w:hint="eastAsia" w:ascii="Times New Roman" w:hAnsi="Times New Roman" w:cs="Times New Roman"/>
          <w:color w:val="auto"/>
          <w:kern w:val="0"/>
          <w:sz w:val="24"/>
          <w:highlight w:val="none"/>
          <w:lang w:val="en-US" w:eastAsia="zh-CN"/>
        </w:rPr>
        <w:t>谈判</w:t>
      </w:r>
      <w:r>
        <w:rPr>
          <w:rFonts w:hint="default" w:ascii="Times New Roman" w:hAnsi="Times New Roman" w:cs="Times New Roman"/>
          <w:color w:val="auto"/>
          <w:kern w:val="0"/>
          <w:sz w:val="24"/>
          <w:highlight w:val="none"/>
        </w:rPr>
        <w:t>文件、</w:t>
      </w:r>
      <w:r>
        <w:rPr>
          <w:rFonts w:hint="eastAsia" w:ascii="Times New Roman" w:hAnsi="Times New Roman" w:cs="Times New Roman"/>
          <w:color w:val="auto"/>
          <w:kern w:val="0"/>
          <w:sz w:val="24"/>
          <w:highlight w:val="none"/>
          <w:lang w:val="en-US" w:eastAsia="zh-CN"/>
        </w:rPr>
        <w:t>投标</w:t>
      </w:r>
      <w:r>
        <w:rPr>
          <w:rFonts w:hint="default" w:ascii="Times New Roman" w:hAnsi="Times New Roman" w:cs="Times New Roman"/>
          <w:color w:val="auto"/>
          <w:kern w:val="0"/>
          <w:sz w:val="24"/>
          <w:highlight w:val="none"/>
        </w:rPr>
        <w:t>文件、承诺；</w:t>
      </w:r>
    </w:p>
    <w:p>
      <w:pPr>
        <w:keepNext w:val="0"/>
        <w:keepLines w:val="0"/>
        <w:pageBreakBefore w:val="0"/>
        <w:widowControl/>
        <w:kinsoku/>
        <w:wordWrap/>
        <w:overflowPunct/>
        <w:topLinePunct w:val="0"/>
        <w:autoSpaceDE/>
        <w:autoSpaceDN/>
        <w:bidi w:val="0"/>
        <w:adjustRightInd/>
        <w:snapToGrid w:val="0"/>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eastAsia" w:ascii="Times New Roman" w:hAnsi="Times New Roman" w:cs="Times New Roman"/>
          <w:color w:val="auto"/>
          <w:kern w:val="0"/>
          <w:sz w:val="24"/>
          <w:highlight w:val="none"/>
          <w:lang w:val="en-US" w:eastAsia="zh-CN"/>
        </w:rPr>
        <w:t>9</w:t>
      </w:r>
      <w:r>
        <w:rPr>
          <w:rFonts w:hint="default" w:ascii="Times New Roman" w:hAnsi="Times New Roman" w:cs="Times New Roman"/>
          <w:color w:val="auto"/>
          <w:kern w:val="0"/>
          <w:sz w:val="24"/>
          <w:highlight w:val="none"/>
        </w:rPr>
        <w:t>.2合同。</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七、</w:t>
      </w:r>
      <w:r>
        <w:rPr>
          <w:rFonts w:hint="default" w:ascii="Times New Roman" w:hAnsi="Times New Roman" w:cs="Times New Roman"/>
          <w:color w:val="auto"/>
          <w:sz w:val="24"/>
          <w:szCs w:val="24"/>
          <w:highlight w:val="none"/>
        </w:rPr>
        <w:t>违约责任：</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w:t>
      </w:r>
      <w:r>
        <w:rPr>
          <w:rFonts w:hint="default" w:ascii="Times New Roman" w:hAnsi="Times New Roman" w:cs="Times New Roman"/>
          <w:color w:val="auto"/>
          <w:sz w:val="24"/>
          <w:szCs w:val="24"/>
          <w:highlight w:val="none"/>
        </w:rPr>
        <w:t>按《中华人民共和国合同法》中的相关条款执行。</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b/>
          <w:bCs/>
          <w:kern w:val="2"/>
          <w:sz w:val="30"/>
          <w:szCs w:val="30"/>
          <w:highlight w:val="none"/>
          <w:lang w:val="en-US" w:eastAsia="zh-CN" w:bidi="ar-SA"/>
        </w:rPr>
        <w:sectPr>
          <w:footerReference r:id="rId3" w:type="default"/>
          <w:pgSz w:w="11906" w:h="16838"/>
          <w:pgMar w:top="1417" w:right="1417" w:bottom="1417" w:left="1417" w:header="851" w:footer="992" w:gutter="0"/>
          <w:cols w:space="0" w:num="1"/>
          <w:rtlGutter w:val="0"/>
          <w:docGrid w:type="lines" w:linePitch="312" w:charSpace="0"/>
        </w:sectPr>
      </w:pPr>
      <w:r>
        <w:rPr>
          <w:rFonts w:hint="eastAsia" w:ascii="Times New Roman" w:hAnsi="Times New Roman" w:cs="Times New Roman"/>
          <w:color w:val="auto"/>
          <w:sz w:val="24"/>
          <w:szCs w:val="24"/>
          <w:highlight w:val="none"/>
        </w:rPr>
        <w:t>2、</w:t>
      </w:r>
      <w:r>
        <w:rPr>
          <w:rFonts w:hint="default" w:ascii="Times New Roman" w:hAnsi="Times New Roman" w:cs="Times New Roman"/>
          <w:color w:val="auto"/>
          <w:sz w:val="24"/>
          <w:szCs w:val="24"/>
          <w:highlight w:val="none"/>
        </w:rPr>
        <w:t>未按合同要求提供产品或设备质量不能满足技术要求，采购单位有权终止合同，并对中标人的违约行为进行追究。</w:t>
      </w: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jc w:val="center"/>
        <w:textAlignment w:val="auto"/>
        <w:rPr>
          <w:rFonts w:hint="default" w:ascii="Times New Roman" w:hAnsi="Times New Roman" w:cs="Times New Roman"/>
          <w:b/>
          <w:bCs/>
          <w:kern w:val="2"/>
          <w:sz w:val="30"/>
          <w:szCs w:val="30"/>
          <w:highlight w:val="none"/>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jc w:val="center"/>
        <w:textAlignment w:val="auto"/>
        <w:rPr>
          <w:rFonts w:hint="default" w:ascii="Times New Roman" w:hAnsi="Times New Roman" w:cs="Times New Roman"/>
          <w:b/>
          <w:bCs/>
          <w:kern w:val="2"/>
          <w:sz w:val="30"/>
          <w:szCs w:val="30"/>
          <w:highlight w:val="none"/>
          <w:lang w:val="en-US" w:eastAsia="zh-CN" w:bidi="ar-SA"/>
        </w:rPr>
        <w:sectPr>
          <w:pgSz w:w="11906" w:h="16838"/>
          <w:pgMar w:top="1417" w:right="1417" w:bottom="1417" w:left="1417" w:header="851" w:footer="992" w:gutter="0"/>
          <w:cols w:space="0" w:num="1"/>
          <w:rtlGutter w:val="0"/>
          <w:docGrid w:type="lines" w:linePitch="312" w:charSpace="0"/>
        </w:sectPr>
      </w:pP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jc w:val="center"/>
        <w:textAlignment w:val="auto"/>
        <w:rPr>
          <w:rFonts w:hint="default" w:ascii="Times New Roman" w:hAnsi="Times New Roman" w:cs="Times New Roman"/>
          <w:b/>
          <w:bCs/>
          <w:kern w:val="2"/>
          <w:sz w:val="30"/>
          <w:szCs w:val="30"/>
          <w:highlight w:val="none"/>
          <w:lang w:val="en-US" w:eastAsia="zh-CN" w:bidi="ar-SA"/>
        </w:rPr>
      </w:pPr>
      <w:r>
        <w:rPr>
          <w:rFonts w:hint="default" w:ascii="Times New Roman" w:hAnsi="Times New Roman" w:cs="Times New Roman"/>
          <w:b/>
          <w:bCs/>
          <w:kern w:val="2"/>
          <w:sz w:val="30"/>
          <w:szCs w:val="30"/>
          <w:highlight w:val="none"/>
          <w:lang w:val="en-US" w:eastAsia="zh-CN" w:bidi="ar-SA"/>
        </w:rPr>
        <w:t>第四部分</w:t>
      </w:r>
      <w:r>
        <w:rPr>
          <w:rFonts w:hint="eastAsia" w:ascii="Times New Roman" w:hAnsi="Times New Roman" w:cs="Times New Roman"/>
          <w:b/>
          <w:bCs/>
          <w:kern w:val="2"/>
          <w:sz w:val="30"/>
          <w:szCs w:val="30"/>
          <w:highlight w:val="none"/>
          <w:lang w:val="en-US" w:eastAsia="zh-CN" w:bidi="ar-SA"/>
        </w:rPr>
        <w:t xml:space="preserve">  </w:t>
      </w:r>
      <w:r>
        <w:rPr>
          <w:rFonts w:hint="default" w:ascii="Times New Roman" w:hAnsi="Times New Roman" w:cs="Times New Roman"/>
          <w:b/>
          <w:bCs/>
          <w:kern w:val="2"/>
          <w:sz w:val="30"/>
          <w:szCs w:val="30"/>
          <w:highlight w:val="none"/>
          <w:lang w:val="en-US" w:eastAsia="zh-CN" w:bidi="ar-SA"/>
        </w:rPr>
        <w:t>技术要求</w:t>
      </w: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jc w:val="center"/>
        <w:textAlignment w:val="auto"/>
        <w:rPr>
          <w:rFonts w:hint="default" w:ascii="Times New Roman" w:hAnsi="Times New Roman" w:cs="Times New Roman"/>
          <w:b/>
          <w:bCs/>
          <w:kern w:val="2"/>
          <w:sz w:val="30"/>
          <w:szCs w:val="30"/>
          <w:highlight w:val="none"/>
          <w:lang w:val="en-US" w:eastAsia="zh-CN" w:bidi="ar-SA"/>
        </w:rPr>
      </w:pPr>
      <w:bookmarkStart w:id="2" w:name="_Toc99031075"/>
      <w:bookmarkStart w:id="3" w:name="_Toc328730732"/>
      <w:bookmarkStart w:id="4" w:name="_Toc102812568"/>
      <w:bookmarkStart w:id="5" w:name="_Toc328733256"/>
      <w:r>
        <w:rPr>
          <w:b/>
          <w:sz w:val="28"/>
          <w:szCs w:val="28"/>
        </w:rPr>
        <w:t>咸阳市秦都区丝路花城小学信息化教育教学设备项目清单</w:t>
      </w:r>
    </w:p>
    <w:tbl>
      <w:tblPr>
        <w:tblStyle w:val="39"/>
        <w:tblW w:w="14774"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0" w:type="dxa"/>
          <w:bottom w:w="0" w:type="dxa"/>
          <w:right w:w="0" w:type="dxa"/>
        </w:tblCellMar>
      </w:tblPr>
      <w:tblGrid>
        <w:gridCol w:w="875"/>
        <w:gridCol w:w="1400"/>
        <w:gridCol w:w="971"/>
        <w:gridCol w:w="796"/>
        <w:gridCol w:w="9734"/>
        <w:gridCol w:w="998"/>
      </w:tblGrid>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trHeight w:val="783" w:hRule="atLeast"/>
          <w:jc w:val="center"/>
        </w:trPr>
        <w:tc>
          <w:tcPr>
            <w:tcW w:w="875" w:type="dxa"/>
            <w:vAlign w:val="center"/>
          </w:tcPr>
          <w:p>
            <w:pPr>
              <w:autoSpaceDE w:val="0"/>
              <w:autoSpaceDN w:val="0"/>
              <w:jc w:val="center"/>
              <w:rPr>
                <w:lang w:eastAsia="en-US"/>
              </w:rPr>
            </w:pPr>
            <w:r>
              <w:rPr>
                <w:lang w:eastAsia="en-US"/>
              </w:rPr>
              <w:t>序号</w:t>
            </w:r>
          </w:p>
        </w:tc>
        <w:tc>
          <w:tcPr>
            <w:tcW w:w="1400" w:type="dxa"/>
            <w:vAlign w:val="center"/>
          </w:tcPr>
          <w:p>
            <w:pPr>
              <w:autoSpaceDE w:val="0"/>
              <w:autoSpaceDN w:val="0"/>
              <w:jc w:val="center"/>
              <w:rPr>
                <w:lang w:eastAsia="en-US"/>
              </w:rPr>
            </w:pPr>
            <w:r>
              <w:rPr>
                <w:lang w:eastAsia="en-US"/>
              </w:rPr>
              <w:t>设备名称</w:t>
            </w:r>
          </w:p>
        </w:tc>
        <w:tc>
          <w:tcPr>
            <w:tcW w:w="971" w:type="dxa"/>
            <w:vAlign w:val="center"/>
          </w:tcPr>
          <w:p>
            <w:pPr>
              <w:autoSpaceDE w:val="0"/>
              <w:autoSpaceDN w:val="0"/>
              <w:jc w:val="center"/>
              <w:rPr>
                <w:lang w:eastAsia="en-US"/>
              </w:rPr>
            </w:pPr>
            <w:r>
              <w:rPr>
                <w:lang w:eastAsia="en-US"/>
              </w:rPr>
              <w:t>数量</w:t>
            </w:r>
          </w:p>
        </w:tc>
        <w:tc>
          <w:tcPr>
            <w:tcW w:w="796" w:type="dxa"/>
            <w:vAlign w:val="center"/>
          </w:tcPr>
          <w:p>
            <w:pPr>
              <w:autoSpaceDE w:val="0"/>
              <w:autoSpaceDN w:val="0"/>
              <w:jc w:val="center"/>
              <w:rPr>
                <w:lang w:eastAsia="en-US"/>
              </w:rPr>
            </w:pPr>
            <w:r>
              <w:rPr>
                <w:lang w:eastAsia="en-US"/>
              </w:rPr>
              <w:t>单位</w:t>
            </w:r>
          </w:p>
        </w:tc>
        <w:tc>
          <w:tcPr>
            <w:tcW w:w="9734" w:type="dxa"/>
            <w:vAlign w:val="center"/>
          </w:tcPr>
          <w:p>
            <w:pPr>
              <w:autoSpaceDE w:val="0"/>
              <w:autoSpaceDN w:val="0"/>
              <w:jc w:val="center"/>
              <w:rPr>
                <w:lang w:eastAsia="en-US"/>
              </w:rPr>
            </w:pPr>
            <w:r>
              <w:rPr>
                <w:lang w:eastAsia="en-US"/>
              </w:rPr>
              <w:t>技术参数</w:t>
            </w:r>
          </w:p>
        </w:tc>
        <w:tc>
          <w:tcPr>
            <w:tcW w:w="998" w:type="dxa"/>
            <w:vAlign w:val="center"/>
          </w:tcPr>
          <w:p>
            <w:pPr>
              <w:autoSpaceDE w:val="0"/>
              <w:autoSpaceDN w:val="0"/>
              <w:jc w:val="center"/>
              <w:rPr>
                <w:lang w:eastAsia="en-US"/>
              </w:rPr>
            </w:pPr>
            <w:r>
              <w:rPr>
                <w:lang w:eastAsia="en-US"/>
              </w:rPr>
              <w:t>备注</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trHeight w:val="396" w:hRule="atLeast"/>
          <w:jc w:val="center"/>
        </w:trPr>
        <w:tc>
          <w:tcPr>
            <w:tcW w:w="2275" w:type="dxa"/>
            <w:gridSpan w:val="2"/>
            <w:vAlign w:val="center"/>
          </w:tcPr>
          <w:p>
            <w:pPr>
              <w:autoSpaceDE w:val="0"/>
              <w:autoSpaceDN w:val="0"/>
              <w:jc w:val="center"/>
              <w:rPr>
                <w:lang w:eastAsia="en-US"/>
              </w:rPr>
            </w:pPr>
            <w:r>
              <w:rPr>
                <w:lang w:eastAsia="en-US"/>
              </w:rPr>
              <w:t>电脑</w:t>
            </w:r>
          </w:p>
        </w:tc>
        <w:tc>
          <w:tcPr>
            <w:tcW w:w="971" w:type="dxa"/>
            <w:vAlign w:val="center"/>
          </w:tcPr>
          <w:p>
            <w:pPr>
              <w:autoSpaceDE w:val="0"/>
              <w:autoSpaceDN w:val="0"/>
              <w:jc w:val="center"/>
              <w:rPr>
                <w:lang w:eastAsia="en-US"/>
              </w:rPr>
            </w:pPr>
          </w:p>
        </w:tc>
        <w:tc>
          <w:tcPr>
            <w:tcW w:w="796" w:type="dxa"/>
            <w:vAlign w:val="center"/>
          </w:tcPr>
          <w:p>
            <w:pPr>
              <w:autoSpaceDE w:val="0"/>
              <w:autoSpaceDN w:val="0"/>
              <w:jc w:val="center"/>
              <w:rPr>
                <w:lang w:eastAsia="en-US"/>
              </w:rPr>
            </w:pPr>
          </w:p>
        </w:tc>
        <w:tc>
          <w:tcPr>
            <w:tcW w:w="9734" w:type="dxa"/>
            <w:tcBorders>
              <w:bottom w:val="single" w:color="000000" w:sz="6" w:space="0"/>
            </w:tcBorders>
            <w:vAlign w:val="center"/>
          </w:tcPr>
          <w:p>
            <w:pPr>
              <w:autoSpaceDE w:val="0"/>
              <w:autoSpaceDN w:val="0"/>
              <w:jc w:val="center"/>
              <w:rPr>
                <w:lang w:eastAsia="en-US"/>
              </w:rPr>
            </w:pPr>
          </w:p>
        </w:tc>
        <w:tc>
          <w:tcPr>
            <w:tcW w:w="998" w:type="dxa"/>
            <w:vAlign w:val="center"/>
          </w:tcPr>
          <w:p>
            <w:pPr>
              <w:autoSpaceDE w:val="0"/>
              <w:autoSpaceDN w:val="0"/>
              <w:jc w:val="center"/>
              <w:rPr>
                <w:lang w:eastAsia="en-US"/>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trHeight w:val="499" w:hRule="atLeast"/>
          <w:jc w:val="center"/>
        </w:trPr>
        <w:tc>
          <w:tcPr>
            <w:tcW w:w="875" w:type="dxa"/>
            <w:vMerge w:val="restart"/>
            <w:vAlign w:val="center"/>
          </w:tcPr>
          <w:p>
            <w:pPr>
              <w:autoSpaceDE w:val="0"/>
              <w:autoSpaceDN w:val="0"/>
              <w:jc w:val="center"/>
              <w:rPr>
                <w:lang w:eastAsia="en-US"/>
              </w:rPr>
            </w:pPr>
            <w:r>
              <w:rPr>
                <w:lang w:eastAsia="en-US"/>
              </w:rPr>
              <w:t>1</w:t>
            </w:r>
          </w:p>
        </w:tc>
        <w:tc>
          <w:tcPr>
            <w:tcW w:w="1400" w:type="dxa"/>
            <w:vMerge w:val="restart"/>
            <w:vAlign w:val="center"/>
          </w:tcPr>
          <w:p>
            <w:pPr>
              <w:autoSpaceDE w:val="0"/>
              <w:autoSpaceDN w:val="0"/>
              <w:jc w:val="center"/>
              <w:rPr>
                <w:lang w:eastAsia="en-US"/>
              </w:rPr>
            </w:pPr>
            <w:r>
              <w:rPr>
                <w:lang w:eastAsia="en-US"/>
              </w:rPr>
              <w:t>信息化教育教学设备</w:t>
            </w:r>
          </w:p>
        </w:tc>
        <w:tc>
          <w:tcPr>
            <w:tcW w:w="971" w:type="dxa"/>
            <w:vMerge w:val="restart"/>
            <w:vAlign w:val="center"/>
          </w:tcPr>
          <w:p>
            <w:pPr>
              <w:autoSpaceDE w:val="0"/>
              <w:autoSpaceDN w:val="0"/>
              <w:jc w:val="center"/>
              <w:rPr>
                <w:lang w:eastAsia="en-US"/>
              </w:rPr>
            </w:pPr>
            <w:r>
              <w:rPr>
                <w:lang w:eastAsia="en-US"/>
              </w:rPr>
              <w:t>110</w:t>
            </w:r>
          </w:p>
        </w:tc>
        <w:tc>
          <w:tcPr>
            <w:tcW w:w="796" w:type="dxa"/>
            <w:vMerge w:val="restart"/>
            <w:vAlign w:val="center"/>
          </w:tcPr>
          <w:p>
            <w:pPr>
              <w:autoSpaceDE w:val="0"/>
              <w:autoSpaceDN w:val="0"/>
              <w:jc w:val="center"/>
              <w:rPr>
                <w:lang w:eastAsia="en-US"/>
              </w:rPr>
            </w:pPr>
            <w:r>
              <w:rPr>
                <w:lang w:eastAsia="en-US"/>
              </w:rPr>
              <w:t>台</w:t>
            </w:r>
          </w:p>
        </w:tc>
        <w:tc>
          <w:tcPr>
            <w:tcW w:w="9734" w:type="dxa"/>
            <w:tcBorders>
              <w:top w:val="single" w:color="000000" w:sz="6" w:space="0"/>
              <w:bottom w:val="nil"/>
            </w:tcBorders>
            <w:vAlign w:val="center"/>
          </w:tcPr>
          <w:p>
            <w:pPr>
              <w:autoSpaceDE w:val="0"/>
              <w:autoSpaceDN w:val="0"/>
              <w:rPr>
                <w:lang w:eastAsia="zh-CN"/>
              </w:rPr>
            </w:pPr>
            <w:r>
              <w:rPr>
                <w:rFonts w:hint="eastAsia"/>
                <w:lang w:eastAsia="zh-CN"/>
              </w:rPr>
              <w:t>电脑一体机；主要需求或性能描述：</w:t>
            </w:r>
          </w:p>
        </w:tc>
        <w:tc>
          <w:tcPr>
            <w:tcW w:w="998" w:type="dxa"/>
            <w:vMerge w:val="restart"/>
            <w:vAlign w:val="center"/>
          </w:tcPr>
          <w:p>
            <w:pPr>
              <w:autoSpaceDE w:val="0"/>
              <w:autoSpaceDN w:val="0"/>
              <w:jc w:val="center"/>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trHeight w:val="391" w:hRule="atLeast"/>
          <w:jc w:val="center"/>
        </w:trPr>
        <w:tc>
          <w:tcPr>
            <w:tcW w:w="875" w:type="dxa"/>
            <w:vMerge w:val="continue"/>
            <w:vAlign w:val="center"/>
          </w:tcPr>
          <w:p>
            <w:pPr>
              <w:autoSpaceDE w:val="0"/>
              <w:autoSpaceDN w:val="0"/>
              <w:jc w:val="center"/>
              <w:rPr>
                <w:lang w:eastAsia="zh-CN"/>
              </w:rPr>
            </w:pPr>
          </w:p>
        </w:tc>
        <w:tc>
          <w:tcPr>
            <w:tcW w:w="1400" w:type="dxa"/>
            <w:vMerge w:val="continue"/>
            <w:vAlign w:val="center"/>
          </w:tcPr>
          <w:p>
            <w:pPr>
              <w:autoSpaceDE w:val="0"/>
              <w:autoSpaceDN w:val="0"/>
              <w:jc w:val="center"/>
              <w:rPr>
                <w:lang w:eastAsia="zh-CN"/>
              </w:rPr>
            </w:pPr>
          </w:p>
        </w:tc>
        <w:tc>
          <w:tcPr>
            <w:tcW w:w="971" w:type="dxa"/>
            <w:vMerge w:val="continue"/>
            <w:vAlign w:val="center"/>
          </w:tcPr>
          <w:p>
            <w:pPr>
              <w:autoSpaceDE w:val="0"/>
              <w:autoSpaceDN w:val="0"/>
              <w:jc w:val="center"/>
              <w:rPr>
                <w:lang w:eastAsia="zh-CN"/>
              </w:rPr>
            </w:pPr>
          </w:p>
        </w:tc>
        <w:tc>
          <w:tcPr>
            <w:tcW w:w="796" w:type="dxa"/>
            <w:vMerge w:val="continue"/>
            <w:vAlign w:val="center"/>
          </w:tcPr>
          <w:p>
            <w:pPr>
              <w:autoSpaceDE w:val="0"/>
              <w:autoSpaceDN w:val="0"/>
              <w:jc w:val="center"/>
              <w:rPr>
                <w:lang w:eastAsia="zh-CN"/>
              </w:rPr>
            </w:pPr>
          </w:p>
        </w:tc>
        <w:tc>
          <w:tcPr>
            <w:tcW w:w="9734" w:type="dxa"/>
            <w:tcBorders>
              <w:top w:val="nil"/>
              <w:bottom w:val="nil"/>
            </w:tcBorders>
            <w:vAlign w:val="center"/>
          </w:tcPr>
          <w:p>
            <w:pPr>
              <w:autoSpaceDE w:val="0"/>
              <w:autoSpaceDN w:val="0"/>
              <w:rPr>
                <w:lang w:eastAsia="en-US"/>
              </w:rPr>
            </w:pPr>
            <w:r>
              <w:rPr>
                <w:rFonts w:hint="eastAsia"/>
                <w:lang w:eastAsia="en-US"/>
              </w:rPr>
              <w:t xml:space="preserve">处理器: </w:t>
            </w:r>
            <w:r>
              <w:rPr>
                <w:lang w:eastAsia="en-US"/>
              </w:rPr>
              <w:t>≥</w:t>
            </w:r>
            <w:r>
              <w:rPr>
                <w:rFonts w:hint="eastAsia"/>
                <w:lang w:eastAsia="en-US"/>
              </w:rPr>
              <w:t>Intel12 代 i5；</w:t>
            </w:r>
          </w:p>
        </w:tc>
        <w:tc>
          <w:tcPr>
            <w:tcW w:w="998" w:type="dxa"/>
            <w:vMerge w:val="continue"/>
            <w:vAlign w:val="center"/>
          </w:tcPr>
          <w:p>
            <w:pPr>
              <w:autoSpaceDE w:val="0"/>
              <w:autoSpaceDN w:val="0"/>
              <w:jc w:val="center"/>
              <w:rPr>
                <w:lang w:eastAsia="en-US"/>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trHeight w:val="388" w:hRule="atLeast"/>
          <w:jc w:val="center"/>
        </w:trPr>
        <w:tc>
          <w:tcPr>
            <w:tcW w:w="875" w:type="dxa"/>
            <w:vMerge w:val="continue"/>
            <w:vAlign w:val="center"/>
          </w:tcPr>
          <w:p>
            <w:pPr>
              <w:autoSpaceDE w:val="0"/>
              <w:autoSpaceDN w:val="0"/>
              <w:jc w:val="center"/>
              <w:rPr>
                <w:lang w:eastAsia="en-US"/>
              </w:rPr>
            </w:pPr>
          </w:p>
        </w:tc>
        <w:tc>
          <w:tcPr>
            <w:tcW w:w="1400" w:type="dxa"/>
            <w:vMerge w:val="continue"/>
            <w:vAlign w:val="center"/>
          </w:tcPr>
          <w:p>
            <w:pPr>
              <w:autoSpaceDE w:val="0"/>
              <w:autoSpaceDN w:val="0"/>
              <w:jc w:val="center"/>
              <w:rPr>
                <w:lang w:eastAsia="en-US"/>
              </w:rPr>
            </w:pPr>
          </w:p>
        </w:tc>
        <w:tc>
          <w:tcPr>
            <w:tcW w:w="971" w:type="dxa"/>
            <w:vMerge w:val="continue"/>
            <w:vAlign w:val="center"/>
          </w:tcPr>
          <w:p>
            <w:pPr>
              <w:autoSpaceDE w:val="0"/>
              <w:autoSpaceDN w:val="0"/>
              <w:jc w:val="center"/>
              <w:rPr>
                <w:lang w:eastAsia="en-US"/>
              </w:rPr>
            </w:pPr>
          </w:p>
        </w:tc>
        <w:tc>
          <w:tcPr>
            <w:tcW w:w="796" w:type="dxa"/>
            <w:vMerge w:val="continue"/>
            <w:vAlign w:val="center"/>
          </w:tcPr>
          <w:p>
            <w:pPr>
              <w:autoSpaceDE w:val="0"/>
              <w:autoSpaceDN w:val="0"/>
              <w:jc w:val="center"/>
              <w:rPr>
                <w:lang w:eastAsia="en-US"/>
              </w:rPr>
            </w:pPr>
          </w:p>
        </w:tc>
        <w:tc>
          <w:tcPr>
            <w:tcW w:w="9734" w:type="dxa"/>
            <w:tcBorders>
              <w:top w:val="nil"/>
              <w:bottom w:val="nil"/>
            </w:tcBorders>
            <w:vAlign w:val="center"/>
          </w:tcPr>
          <w:p>
            <w:pPr>
              <w:autoSpaceDE w:val="0"/>
              <w:autoSpaceDN w:val="0"/>
              <w:rPr>
                <w:lang w:eastAsia="en-US"/>
              </w:rPr>
            </w:pPr>
            <w:r>
              <w:rPr>
                <w:rFonts w:hint="eastAsia"/>
                <w:lang w:eastAsia="en-US"/>
              </w:rPr>
              <w:t xml:space="preserve">内存： </w:t>
            </w:r>
            <w:r>
              <w:rPr>
                <w:lang w:eastAsia="en-US"/>
              </w:rPr>
              <w:t>≥</w:t>
            </w:r>
            <w:r>
              <w:rPr>
                <w:rFonts w:hint="eastAsia"/>
                <w:lang w:eastAsia="en-US"/>
              </w:rPr>
              <w:t>16G DDR4 内存，主板集成 2 个内存插槽；最大支持 32G 内存容</w:t>
            </w:r>
          </w:p>
        </w:tc>
        <w:tc>
          <w:tcPr>
            <w:tcW w:w="998" w:type="dxa"/>
            <w:vMerge w:val="continue"/>
            <w:vAlign w:val="center"/>
          </w:tcPr>
          <w:p>
            <w:pPr>
              <w:autoSpaceDE w:val="0"/>
              <w:autoSpaceDN w:val="0"/>
              <w:jc w:val="center"/>
              <w:rPr>
                <w:lang w:eastAsia="en-US"/>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trHeight w:val="369" w:hRule="atLeast"/>
          <w:jc w:val="center"/>
        </w:trPr>
        <w:tc>
          <w:tcPr>
            <w:tcW w:w="875" w:type="dxa"/>
            <w:vMerge w:val="continue"/>
            <w:vAlign w:val="center"/>
          </w:tcPr>
          <w:p>
            <w:pPr>
              <w:autoSpaceDE w:val="0"/>
              <w:autoSpaceDN w:val="0"/>
              <w:jc w:val="center"/>
              <w:rPr>
                <w:lang w:eastAsia="en-US"/>
              </w:rPr>
            </w:pPr>
          </w:p>
        </w:tc>
        <w:tc>
          <w:tcPr>
            <w:tcW w:w="1400" w:type="dxa"/>
            <w:vMerge w:val="continue"/>
            <w:vAlign w:val="center"/>
          </w:tcPr>
          <w:p>
            <w:pPr>
              <w:autoSpaceDE w:val="0"/>
              <w:autoSpaceDN w:val="0"/>
              <w:jc w:val="center"/>
              <w:rPr>
                <w:lang w:eastAsia="en-US"/>
              </w:rPr>
            </w:pPr>
          </w:p>
        </w:tc>
        <w:tc>
          <w:tcPr>
            <w:tcW w:w="971" w:type="dxa"/>
            <w:vMerge w:val="continue"/>
            <w:vAlign w:val="center"/>
          </w:tcPr>
          <w:p>
            <w:pPr>
              <w:autoSpaceDE w:val="0"/>
              <w:autoSpaceDN w:val="0"/>
              <w:jc w:val="center"/>
              <w:rPr>
                <w:lang w:eastAsia="en-US"/>
              </w:rPr>
            </w:pPr>
          </w:p>
        </w:tc>
        <w:tc>
          <w:tcPr>
            <w:tcW w:w="796" w:type="dxa"/>
            <w:vMerge w:val="continue"/>
            <w:vAlign w:val="center"/>
          </w:tcPr>
          <w:p>
            <w:pPr>
              <w:autoSpaceDE w:val="0"/>
              <w:autoSpaceDN w:val="0"/>
              <w:jc w:val="center"/>
              <w:rPr>
                <w:lang w:eastAsia="en-US"/>
              </w:rPr>
            </w:pPr>
          </w:p>
        </w:tc>
        <w:tc>
          <w:tcPr>
            <w:tcW w:w="9734" w:type="dxa"/>
            <w:tcBorders>
              <w:top w:val="nil"/>
              <w:bottom w:val="nil"/>
            </w:tcBorders>
            <w:vAlign w:val="center"/>
          </w:tcPr>
          <w:p>
            <w:pPr>
              <w:autoSpaceDE w:val="0"/>
              <w:autoSpaceDN w:val="0"/>
              <w:rPr>
                <w:lang w:eastAsia="en-US"/>
              </w:rPr>
            </w:pPr>
            <w:r>
              <w:rPr>
                <w:rFonts w:hint="eastAsia"/>
                <w:lang w:eastAsia="en-US"/>
              </w:rPr>
              <w:t>量；硬盘： ≥512GB SSD 固态硬盘；支持双硬盘，一个 M.2 接口，</w:t>
            </w:r>
          </w:p>
        </w:tc>
        <w:tc>
          <w:tcPr>
            <w:tcW w:w="998" w:type="dxa"/>
            <w:vMerge w:val="continue"/>
            <w:vAlign w:val="center"/>
          </w:tcPr>
          <w:p>
            <w:pPr>
              <w:autoSpaceDE w:val="0"/>
              <w:autoSpaceDN w:val="0"/>
              <w:jc w:val="center"/>
              <w:rPr>
                <w:lang w:eastAsia="en-US"/>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trHeight w:val="391" w:hRule="atLeast"/>
          <w:jc w:val="center"/>
        </w:trPr>
        <w:tc>
          <w:tcPr>
            <w:tcW w:w="875" w:type="dxa"/>
            <w:vMerge w:val="continue"/>
            <w:vAlign w:val="center"/>
          </w:tcPr>
          <w:p>
            <w:pPr>
              <w:autoSpaceDE w:val="0"/>
              <w:autoSpaceDN w:val="0"/>
              <w:jc w:val="center"/>
              <w:rPr>
                <w:lang w:eastAsia="en-US"/>
              </w:rPr>
            </w:pPr>
          </w:p>
        </w:tc>
        <w:tc>
          <w:tcPr>
            <w:tcW w:w="1400" w:type="dxa"/>
            <w:vMerge w:val="continue"/>
            <w:vAlign w:val="center"/>
          </w:tcPr>
          <w:p>
            <w:pPr>
              <w:autoSpaceDE w:val="0"/>
              <w:autoSpaceDN w:val="0"/>
              <w:jc w:val="center"/>
              <w:rPr>
                <w:lang w:eastAsia="en-US"/>
              </w:rPr>
            </w:pPr>
          </w:p>
        </w:tc>
        <w:tc>
          <w:tcPr>
            <w:tcW w:w="971" w:type="dxa"/>
            <w:vMerge w:val="continue"/>
            <w:vAlign w:val="center"/>
          </w:tcPr>
          <w:p>
            <w:pPr>
              <w:autoSpaceDE w:val="0"/>
              <w:autoSpaceDN w:val="0"/>
              <w:jc w:val="center"/>
              <w:rPr>
                <w:lang w:eastAsia="en-US"/>
              </w:rPr>
            </w:pPr>
          </w:p>
        </w:tc>
        <w:tc>
          <w:tcPr>
            <w:tcW w:w="796" w:type="dxa"/>
            <w:vMerge w:val="continue"/>
            <w:vAlign w:val="center"/>
          </w:tcPr>
          <w:p>
            <w:pPr>
              <w:autoSpaceDE w:val="0"/>
              <w:autoSpaceDN w:val="0"/>
              <w:jc w:val="center"/>
              <w:rPr>
                <w:lang w:eastAsia="en-US"/>
              </w:rPr>
            </w:pPr>
          </w:p>
        </w:tc>
        <w:tc>
          <w:tcPr>
            <w:tcW w:w="9734" w:type="dxa"/>
            <w:tcBorders>
              <w:top w:val="nil"/>
              <w:bottom w:val="nil"/>
            </w:tcBorders>
            <w:vAlign w:val="center"/>
          </w:tcPr>
          <w:p>
            <w:pPr>
              <w:autoSpaceDE w:val="0"/>
              <w:autoSpaceDN w:val="0"/>
              <w:rPr>
                <w:lang w:eastAsia="zh-CN"/>
              </w:rPr>
            </w:pPr>
            <w:r>
              <w:rPr>
                <w:rFonts w:hint="eastAsia"/>
                <w:lang w:eastAsia="zh-CN"/>
              </w:rPr>
              <w:t>一个 SATA 接口；显卡：集成显卡；</w:t>
            </w:r>
          </w:p>
        </w:tc>
        <w:tc>
          <w:tcPr>
            <w:tcW w:w="998" w:type="dxa"/>
            <w:vMerge w:val="continue"/>
            <w:vAlign w:val="center"/>
          </w:tcPr>
          <w:p>
            <w:pPr>
              <w:autoSpaceDE w:val="0"/>
              <w:autoSpaceDN w:val="0"/>
              <w:jc w:val="center"/>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trHeight w:val="778" w:hRule="atLeast"/>
          <w:jc w:val="center"/>
        </w:trPr>
        <w:tc>
          <w:tcPr>
            <w:tcW w:w="875" w:type="dxa"/>
            <w:vMerge w:val="continue"/>
            <w:vAlign w:val="center"/>
          </w:tcPr>
          <w:p>
            <w:pPr>
              <w:autoSpaceDE w:val="0"/>
              <w:autoSpaceDN w:val="0"/>
              <w:jc w:val="center"/>
              <w:rPr>
                <w:lang w:eastAsia="zh-CN"/>
              </w:rPr>
            </w:pPr>
          </w:p>
        </w:tc>
        <w:tc>
          <w:tcPr>
            <w:tcW w:w="1400" w:type="dxa"/>
            <w:vMerge w:val="continue"/>
            <w:vAlign w:val="center"/>
          </w:tcPr>
          <w:p>
            <w:pPr>
              <w:autoSpaceDE w:val="0"/>
              <w:autoSpaceDN w:val="0"/>
              <w:jc w:val="center"/>
              <w:rPr>
                <w:lang w:eastAsia="zh-CN"/>
              </w:rPr>
            </w:pPr>
          </w:p>
        </w:tc>
        <w:tc>
          <w:tcPr>
            <w:tcW w:w="971" w:type="dxa"/>
            <w:vMerge w:val="continue"/>
            <w:vAlign w:val="center"/>
          </w:tcPr>
          <w:p>
            <w:pPr>
              <w:autoSpaceDE w:val="0"/>
              <w:autoSpaceDN w:val="0"/>
              <w:jc w:val="center"/>
              <w:rPr>
                <w:lang w:eastAsia="zh-CN"/>
              </w:rPr>
            </w:pPr>
          </w:p>
        </w:tc>
        <w:tc>
          <w:tcPr>
            <w:tcW w:w="796" w:type="dxa"/>
            <w:vMerge w:val="continue"/>
            <w:vAlign w:val="center"/>
          </w:tcPr>
          <w:p>
            <w:pPr>
              <w:autoSpaceDE w:val="0"/>
              <w:autoSpaceDN w:val="0"/>
              <w:jc w:val="center"/>
              <w:rPr>
                <w:lang w:eastAsia="zh-CN"/>
              </w:rPr>
            </w:pPr>
          </w:p>
        </w:tc>
        <w:tc>
          <w:tcPr>
            <w:tcW w:w="9734" w:type="dxa"/>
            <w:tcBorders>
              <w:top w:val="nil"/>
              <w:bottom w:val="nil"/>
            </w:tcBorders>
            <w:vAlign w:val="center"/>
          </w:tcPr>
          <w:p>
            <w:pPr>
              <w:autoSpaceDE w:val="0"/>
              <w:autoSpaceDN w:val="0"/>
              <w:rPr>
                <w:rFonts w:hint="eastAsia"/>
                <w:lang w:eastAsia="en-US"/>
              </w:rPr>
            </w:pPr>
            <w:r>
              <w:rPr>
                <w:rFonts w:hint="eastAsia"/>
                <w:lang w:eastAsia="en-US"/>
              </w:rPr>
              <w:t xml:space="preserve">网卡： </w:t>
            </w:r>
            <w:r>
              <w:rPr>
                <w:lang w:eastAsia="en-US"/>
              </w:rPr>
              <w:t>≥</w:t>
            </w:r>
            <w:r>
              <w:rPr>
                <w:rFonts w:hint="eastAsia"/>
                <w:lang w:eastAsia="en-US"/>
              </w:rPr>
              <w:t>1*集成 10/100/1000M 自适应以太网卡，具备 WiFi5</w:t>
            </w:r>
            <w:r>
              <w:rPr>
                <w:rFonts w:hint="eastAsia"/>
                <w:lang w:eastAsia="zh-CN"/>
              </w:rPr>
              <w:t>，</w:t>
            </w:r>
            <w:r>
              <w:rPr>
                <w:rFonts w:hint="eastAsia"/>
                <w:lang w:eastAsia="en-US"/>
              </w:rPr>
              <w:t>带蓝牙</w:t>
            </w:r>
          </w:p>
          <w:p>
            <w:pPr>
              <w:autoSpaceDE w:val="0"/>
              <w:autoSpaceDN w:val="0"/>
              <w:rPr>
                <w:lang w:eastAsia="en-US"/>
              </w:rPr>
            </w:pPr>
            <w:r>
              <w:rPr>
                <w:lang w:eastAsia="en-US"/>
              </w:rPr>
              <w:t>≥</w:t>
            </w:r>
            <w:r>
              <w:rPr>
                <w:rFonts w:hint="eastAsia"/>
                <w:lang w:val="en-US" w:eastAsia="zh-CN"/>
              </w:rPr>
              <w:t>4</w:t>
            </w:r>
            <w:r>
              <w:rPr>
                <w:rFonts w:hint="eastAsia"/>
                <w:lang w:eastAsia="en-US"/>
              </w:rPr>
              <w:t>.2；声卡：集成声卡， 内置</w:t>
            </w:r>
            <w:r>
              <w:rPr>
                <w:lang w:eastAsia="en-US"/>
              </w:rPr>
              <w:t>≥</w:t>
            </w:r>
            <w:r>
              <w:rPr>
                <w:rFonts w:hint="eastAsia"/>
                <w:lang w:eastAsia="en-US"/>
              </w:rPr>
              <w:t>2*3W 扬声器；</w:t>
            </w:r>
          </w:p>
        </w:tc>
        <w:tc>
          <w:tcPr>
            <w:tcW w:w="998" w:type="dxa"/>
            <w:vMerge w:val="continue"/>
            <w:vAlign w:val="center"/>
          </w:tcPr>
          <w:p>
            <w:pPr>
              <w:autoSpaceDE w:val="0"/>
              <w:autoSpaceDN w:val="0"/>
              <w:jc w:val="center"/>
              <w:rPr>
                <w:lang w:eastAsia="en-US"/>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trHeight w:val="382" w:hRule="atLeast"/>
          <w:jc w:val="center"/>
        </w:trPr>
        <w:tc>
          <w:tcPr>
            <w:tcW w:w="875" w:type="dxa"/>
            <w:vMerge w:val="continue"/>
            <w:vAlign w:val="center"/>
          </w:tcPr>
          <w:p>
            <w:pPr>
              <w:autoSpaceDE w:val="0"/>
              <w:autoSpaceDN w:val="0"/>
              <w:jc w:val="center"/>
              <w:rPr>
                <w:lang w:eastAsia="en-US"/>
              </w:rPr>
            </w:pPr>
          </w:p>
        </w:tc>
        <w:tc>
          <w:tcPr>
            <w:tcW w:w="1400" w:type="dxa"/>
            <w:vMerge w:val="continue"/>
            <w:vAlign w:val="center"/>
          </w:tcPr>
          <w:p>
            <w:pPr>
              <w:autoSpaceDE w:val="0"/>
              <w:autoSpaceDN w:val="0"/>
              <w:jc w:val="center"/>
              <w:rPr>
                <w:lang w:eastAsia="en-US"/>
              </w:rPr>
            </w:pPr>
          </w:p>
        </w:tc>
        <w:tc>
          <w:tcPr>
            <w:tcW w:w="971" w:type="dxa"/>
            <w:vMerge w:val="continue"/>
            <w:vAlign w:val="center"/>
          </w:tcPr>
          <w:p>
            <w:pPr>
              <w:autoSpaceDE w:val="0"/>
              <w:autoSpaceDN w:val="0"/>
              <w:jc w:val="center"/>
              <w:rPr>
                <w:lang w:eastAsia="en-US"/>
              </w:rPr>
            </w:pPr>
          </w:p>
        </w:tc>
        <w:tc>
          <w:tcPr>
            <w:tcW w:w="796" w:type="dxa"/>
            <w:vMerge w:val="continue"/>
            <w:vAlign w:val="center"/>
          </w:tcPr>
          <w:p>
            <w:pPr>
              <w:autoSpaceDE w:val="0"/>
              <w:autoSpaceDN w:val="0"/>
              <w:jc w:val="center"/>
              <w:rPr>
                <w:lang w:eastAsia="en-US"/>
              </w:rPr>
            </w:pPr>
          </w:p>
        </w:tc>
        <w:tc>
          <w:tcPr>
            <w:tcW w:w="9734" w:type="dxa"/>
            <w:tcBorders>
              <w:top w:val="nil"/>
              <w:bottom w:val="nil"/>
            </w:tcBorders>
            <w:vAlign w:val="center"/>
          </w:tcPr>
          <w:p>
            <w:pPr>
              <w:autoSpaceDE w:val="0"/>
              <w:autoSpaceDN w:val="0"/>
              <w:rPr>
                <w:lang w:eastAsia="en-US"/>
              </w:rPr>
            </w:pPr>
            <w:r>
              <w:rPr>
                <w:rFonts w:hint="eastAsia"/>
                <w:lang w:eastAsia="en-US"/>
              </w:rPr>
              <w:t xml:space="preserve">接口： </w:t>
            </w:r>
            <w:r>
              <w:rPr>
                <w:lang w:eastAsia="en-US"/>
              </w:rPr>
              <w:t>≥</w:t>
            </w:r>
            <w:r>
              <w:rPr>
                <w:rFonts w:hint="eastAsia"/>
                <w:lang w:eastAsia="en-US"/>
              </w:rPr>
              <w:t>4*USB 接口（ 其中</w:t>
            </w:r>
            <w:r>
              <w:rPr>
                <w:lang w:eastAsia="en-US"/>
              </w:rPr>
              <w:t>≥</w:t>
            </w:r>
            <w:r>
              <w:rPr>
                <w:rFonts w:hint="eastAsia"/>
                <w:lang w:eastAsia="en-US"/>
              </w:rPr>
              <w:t>2*USB 3.0), ≥1*HDMI 接口；</w:t>
            </w:r>
            <w:r>
              <w:rPr>
                <w:lang w:eastAsia="en-US"/>
              </w:rPr>
              <w:t>≥</w:t>
            </w:r>
            <w:r>
              <w:rPr>
                <w:rFonts w:hint="eastAsia"/>
                <w:lang w:eastAsia="en-US"/>
              </w:rPr>
              <w:t xml:space="preserve">1*网卡接口； </w:t>
            </w:r>
            <w:r>
              <w:rPr>
                <w:lang w:eastAsia="en-US"/>
              </w:rPr>
              <w:t>≥</w:t>
            </w:r>
          </w:p>
        </w:tc>
        <w:tc>
          <w:tcPr>
            <w:tcW w:w="998" w:type="dxa"/>
            <w:vMerge w:val="continue"/>
            <w:vAlign w:val="center"/>
          </w:tcPr>
          <w:p>
            <w:pPr>
              <w:autoSpaceDE w:val="0"/>
              <w:autoSpaceDN w:val="0"/>
              <w:jc w:val="center"/>
              <w:rPr>
                <w:lang w:eastAsia="en-US"/>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trHeight w:val="383" w:hRule="atLeast"/>
          <w:jc w:val="center"/>
        </w:trPr>
        <w:tc>
          <w:tcPr>
            <w:tcW w:w="875" w:type="dxa"/>
            <w:vMerge w:val="continue"/>
            <w:vAlign w:val="center"/>
          </w:tcPr>
          <w:p>
            <w:pPr>
              <w:autoSpaceDE w:val="0"/>
              <w:autoSpaceDN w:val="0"/>
              <w:jc w:val="center"/>
              <w:rPr>
                <w:lang w:eastAsia="en-US"/>
              </w:rPr>
            </w:pPr>
          </w:p>
        </w:tc>
        <w:tc>
          <w:tcPr>
            <w:tcW w:w="1400" w:type="dxa"/>
            <w:vMerge w:val="continue"/>
            <w:vAlign w:val="center"/>
          </w:tcPr>
          <w:p>
            <w:pPr>
              <w:autoSpaceDE w:val="0"/>
              <w:autoSpaceDN w:val="0"/>
              <w:jc w:val="center"/>
              <w:rPr>
                <w:lang w:eastAsia="en-US"/>
              </w:rPr>
            </w:pPr>
          </w:p>
        </w:tc>
        <w:tc>
          <w:tcPr>
            <w:tcW w:w="971" w:type="dxa"/>
            <w:vMerge w:val="continue"/>
            <w:vAlign w:val="center"/>
          </w:tcPr>
          <w:p>
            <w:pPr>
              <w:autoSpaceDE w:val="0"/>
              <w:autoSpaceDN w:val="0"/>
              <w:jc w:val="center"/>
              <w:rPr>
                <w:lang w:eastAsia="en-US"/>
              </w:rPr>
            </w:pPr>
          </w:p>
        </w:tc>
        <w:tc>
          <w:tcPr>
            <w:tcW w:w="796" w:type="dxa"/>
            <w:vMerge w:val="continue"/>
            <w:vAlign w:val="center"/>
          </w:tcPr>
          <w:p>
            <w:pPr>
              <w:autoSpaceDE w:val="0"/>
              <w:autoSpaceDN w:val="0"/>
              <w:jc w:val="center"/>
              <w:rPr>
                <w:lang w:eastAsia="en-US"/>
              </w:rPr>
            </w:pPr>
          </w:p>
        </w:tc>
        <w:tc>
          <w:tcPr>
            <w:tcW w:w="9734" w:type="dxa"/>
            <w:tcBorders>
              <w:top w:val="nil"/>
              <w:bottom w:val="nil"/>
            </w:tcBorders>
            <w:vAlign w:val="center"/>
          </w:tcPr>
          <w:p>
            <w:pPr>
              <w:autoSpaceDE w:val="0"/>
              <w:autoSpaceDN w:val="0"/>
              <w:rPr>
                <w:lang w:eastAsia="en-US"/>
              </w:rPr>
            </w:pPr>
            <w:r>
              <w:rPr>
                <w:rFonts w:hint="eastAsia"/>
                <w:lang w:eastAsia="en-US"/>
              </w:rPr>
              <w:t xml:space="preserve">1*MIC_IN 接口， </w:t>
            </w:r>
            <w:r>
              <w:rPr>
                <w:lang w:eastAsia="en-US"/>
              </w:rPr>
              <w:t>≥</w:t>
            </w:r>
            <w:r>
              <w:rPr>
                <w:rFonts w:hint="eastAsia"/>
                <w:lang w:eastAsia="en-US"/>
              </w:rPr>
              <w:t>1*LINE_OUT 接口；</w:t>
            </w:r>
          </w:p>
        </w:tc>
        <w:tc>
          <w:tcPr>
            <w:tcW w:w="998" w:type="dxa"/>
            <w:vMerge w:val="continue"/>
            <w:vAlign w:val="center"/>
          </w:tcPr>
          <w:p>
            <w:pPr>
              <w:autoSpaceDE w:val="0"/>
              <w:autoSpaceDN w:val="0"/>
              <w:jc w:val="center"/>
              <w:rPr>
                <w:lang w:eastAsia="en-US"/>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trHeight w:val="388" w:hRule="atLeast"/>
          <w:jc w:val="center"/>
        </w:trPr>
        <w:tc>
          <w:tcPr>
            <w:tcW w:w="875" w:type="dxa"/>
            <w:vMerge w:val="continue"/>
            <w:vAlign w:val="center"/>
          </w:tcPr>
          <w:p>
            <w:pPr>
              <w:autoSpaceDE w:val="0"/>
              <w:autoSpaceDN w:val="0"/>
              <w:jc w:val="center"/>
              <w:rPr>
                <w:lang w:eastAsia="en-US"/>
              </w:rPr>
            </w:pPr>
          </w:p>
        </w:tc>
        <w:tc>
          <w:tcPr>
            <w:tcW w:w="1400" w:type="dxa"/>
            <w:vMerge w:val="continue"/>
            <w:vAlign w:val="center"/>
          </w:tcPr>
          <w:p>
            <w:pPr>
              <w:autoSpaceDE w:val="0"/>
              <w:autoSpaceDN w:val="0"/>
              <w:jc w:val="center"/>
              <w:rPr>
                <w:lang w:eastAsia="en-US"/>
              </w:rPr>
            </w:pPr>
          </w:p>
        </w:tc>
        <w:tc>
          <w:tcPr>
            <w:tcW w:w="971" w:type="dxa"/>
            <w:vMerge w:val="continue"/>
            <w:vAlign w:val="center"/>
          </w:tcPr>
          <w:p>
            <w:pPr>
              <w:autoSpaceDE w:val="0"/>
              <w:autoSpaceDN w:val="0"/>
              <w:jc w:val="center"/>
              <w:rPr>
                <w:lang w:eastAsia="en-US"/>
              </w:rPr>
            </w:pPr>
          </w:p>
        </w:tc>
        <w:tc>
          <w:tcPr>
            <w:tcW w:w="796" w:type="dxa"/>
            <w:vMerge w:val="continue"/>
            <w:vAlign w:val="center"/>
          </w:tcPr>
          <w:p>
            <w:pPr>
              <w:autoSpaceDE w:val="0"/>
              <w:autoSpaceDN w:val="0"/>
              <w:jc w:val="center"/>
              <w:rPr>
                <w:lang w:eastAsia="en-US"/>
              </w:rPr>
            </w:pPr>
          </w:p>
        </w:tc>
        <w:tc>
          <w:tcPr>
            <w:tcW w:w="9734" w:type="dxa"/>
            <w:tcBorders>
              <w:top w:val="nil"/>
              <w:bottom w:val="nil"/>
            </w:tcBorders>
            <w:vAlign w:val="center"/>
          </w:tcPr>
          <w:p>
            <w:pPr>
              <w:autoSpaceDE w:val="0"/>
              <w:autoSpaceDN w:val="0"/>
              <w:rPr>
                <w:lang w:eastAsia="en-US"/>
              </w:rPr>
            </w:pPr>
            <w:r>
              <w:rPr>
                <w:rFonts w:hint="eastAsia"/>
                <w:lang w:eastAsia="en-US"/>
              </w:rPr>
              <w:t>显示器：</w:t>
            </w:r>
            <w:r>
              <w:rPr>
                <w:lang w:eastAsia="en-US"/>
              </w:rPr>
              <w:t>≥</w:t>
            </w:r>
            <w:r>
              <w:rPr>
                <w:rFonts w:hint="eastAsia"/>
                <w:lang w:eastAsia="en-US"/>
              </w:rPr>
              <w:t>23.8 英寸；键鼠：1*套有线键鼠；</w:t>
            </w:r>
          </w:p>
        </w:tc>
        <w:tc>
          <w:tcPr>
            <w:tcW w:w="998" w:type="dxa"/>
            <w:vMerge w:val="continue"/>
            <w:vAlign w:val="center"/>
          </w:tcPr>
          <w:p>
            <w:pPr>
              <w:autoSpaceDE w:val="0"/>
              <w:autoSpaceDN w:val="0"/>
              <w:jc w:val="center"/>
              <w:rPr>
                <w:lang w:eastAsia="en-US"/>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trHeight w:val="374" w:hRule="atLeast"/>
          <w:jc w:val="center"/>
        </w:trPr>
        <w:tc>
          <w:tcPr>
            <w:tcW w:w="875" w:type="dxa"/>
            <w:vMerge w:val="continue"/>
            <w:vAlign w:val="center"/>
          </w:tcPr>
          <w:p>
            <w:pPr>
              <w:autoSpaceDE w:val="0"/>
              <w:autoSpaceDN w:val="0"/>
              <w:jc w:val="center"/>
              <w:rPr>
                <w:lang w:eastAsia="en-US"/>
              </w:rPr>
            </w:pPr>
          </w:p>
        </w:tc>
        <w:tc>
          <w:tcPr>
            <w:tcW w:w="1400" w:type="dxa"/>
            <w:vMerge w:val="continue"/>
            <w:vAlign w:val="center"/>
          </w:tcPr>
          <w:p>
            <w:pPr>
              <w:autoSpaceDE w:val="0"/>
              <w:autoSpaceDN w:val="0"/>
              <w:jc w:val="center"/>
              <w:rPr>
                <w:lang w:eastAsia="en-US"/>
              </w:rPr>
            </w:pPr>
          </w:p>
        </w:tc>
        <w:tc>
          <w:tcPr>
            <w:tcW w:w="971" w:type="dxa"/>
            <w:vMerge w:val="continue"/>
            <w:vAlign w:val="center"/>
          </w:tcPr>
          <w:p>
            <w:pPr>
              <w:autoSpaceDE w:val="0"/>
              <w:autoSpaceDN w:val="0"/>
              <w:jc w:val="center"/>
              <w:rPr>
                <w:lang w:eastAsia="en-US"/>
              </w:rPr>
            </w:pPr>
          </w:p>
        </w:tc>
        <w:tc>
          <w:tcPr>
            <w:tcW w:w="796" w:type="dxa"/>
            <w:vMerge w:val="continue"/>
            <w:vAlign w:val="center"/>
          </w:tcPr>
          <w:p>
            <w:pPr>
              <w:autoSpaceDE w:val="0"/>
              <w:autoSpaceDN w:val="0"/>
              <w:jc w:val="center"/>
              <w:rPr>
                <w:lang w:eastAsia="en-US"/>
              </w:rPr>
            </w:pPr>
          </w:p>
        </w:tc>
        <w:tc>
          <w:tcPr>
            <w:tcW w:w="9734" w:type="dxa"/>
            <w:tcBorders>
              <w:top w:val="nil"/>
              <w:bottom w:val="nil"/>
            </w:tcBorders>
            <w:vAlign w:val="center"/>
          </w:tcPr>
          <w:p>
            <w:pPr>
              <w:autoSpaceDE w:val="0"/>
              <w:autoSpaceDN w:val="0"/>
              <w:rPr>
                <w:lang w:eastAsia="zh-CN"/>
              </w:rPr>
            </w:pPr>
            <w:r>
              <w:rPr>
                <w:rFonts w:hint="eastAsia"/>
                <w:lang w:eastAsia="en-US"/>
              </w:rPr>
              <w:t>操作系统：正版 Windows10 以上 系统。</w:t>
            </w:r>
            <w:r>
              <w:rPr>
                <w:rFonts w:hint="eastAsia"/>
                <w:lang w:val="en-US" w:eastAsia="zh-CN"/>
              </w:rPr>
              <w:t xml:space="preserve">  </w:t>
            </w:r>
            <w:r>
              <w:rPr>
                <w:rFonts w:hint="eastAsia"/>
                <w:lang w:eastAsia="zh-CN"/>
              </w:rPr>
              <w:t>证书：提供 3C、节能认证</w:t>
            </w:r>
          </w:p>
        </w:tc>
        <w:tc>
          <w:tcPr>
            <w:tcW w:w="998" w:type="dxa"/>
            <w:vMerge w:val="continue"/>
            <w:vAlign w:val="center"/>
          </w:tcPr>
          <w:p>
            <w:pPr>
              <w:autoSpaceDE w:val="0"/>
              <w:autoSpaceDN w:val="0"/>
              <w:jc w:val="center"/>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trHeight w:val="692" w:hRule="atLeast"/>
          <w:jc w:val="center"/>
        </w:trPr>
        <w:tc>
          <w:tcPr>
            <w:tcW w:w="875" w:type="dxa"/>
            <w:vMerge w:val="continue"/>
            <w:vAlign w:val="center"/>
          </w:tcPr>
          <w:p>
            <w:pPr>
              <w:autoSpaceDE w:val="0"/>
              <w:autoSpaceDN w:val="0"/>
              <w:jc w:val="center"/>
              <w:rPr>
                <w:lang w:eastAsia="zh-CN"/>
              </w:rPr>
            </w:pPr>
          </w:p>
        </w:tc>
        <w:tc>
          <w:tcPr>
            <w:tcW w:w="1400" w:type="dxa"/>
            <w:vMerge w:val="continue"/>
            <w:vAlign w:val="center"/>
          </w:tcPr>
          <w:p>
            <w:pPr>
              <w:autoSpaceDE w:val="0"/>
              <w:autoSpaceDN w:val="0"/>
              <w:jc w:val="center"/>
              <w:rPr>
                <w:lang w:eastAsia="zh-CN"/>
              </w:rPr>
            </w:pPr>
          </w:p>
        </w:tc>
        <w:tc>
          <w:tcPr>
            <w:tcW w:w="971" w:type="dxa"/>
            <w:vMerge w:val="continue"/>
            <w:vAlign w:val="center"/>
          </w:tcPr>
          <w:p>
            <w:pPr>
              <w:autoSpaceDE w:val="0"/>
              <w:autoSpaceDN w:val="0"/>
              <w:jc w:val="center"/>
              <w:rPr>
                <w:lang w:eastAsia="zh-CN"/>
              </w:rPr>
            </w:pPr>
          </w:p>
        </w:tc>
        <w:tc>
          <w:tcPr>
            <w:tcW w:w="796" w:type="dxa"/>
            <w:vMerge w:val="continue"/>
            <w:vAlign w:val="center"/>
          </w:tcPr>
          <w:p>
            <w:pPr>
              <w:autoSpaceDE w:val="0"/>
              <w:autoSpaceDN w:val="0"/>
              <w:jc w:val="center"/>
              <w:rPr>
                <w:lang w:eastAsia="zh-CN"/>
              </w:rPr>
            </w:pPr>
          </w:p>
        </w:tc>
        <w:tc>
          <w:tcPr>
            <w:tcW w:w="9734" w:type="dxa"/>
            <w:tcBorders>
              <w:top w:val="nil"/>
              <w:bottom w:val="single" w:color="000000" w:sz="6" w:space="0"/>
            </w:tcBorders>
            <w:vAlign w:val="center"/>
          </w:tcPr>
          <w:p>
            <w:pPr>
              <w:autoSpaceDE w:val="0"/>
              <w:autoSpaceDN w:val="0"/>
              <w:rPr>
                <w:lang w:eastAsia="en-US"/>
              </w:rPr>
            </w:pPr>
            <w:r>
              <w:rPr>
                <w:rFonts w:hint="eastAsia"/>
                <w:lang w:eastAsia="en-US"/>
              </w:rPr>
              <w:t>服务：提供三年免费上门服务；提供售后服务承诺书盖章。</w:t>
            </w:r>
          </w:p>
        </w:tc>
        <w:tc>
          <w:tcPr>
            <w:tcW w:w="998" w:type="dxa"/>
            <w:vMerge w:val="continue"/>
            <w:vAlign w:val="center"/>
          </w:tcPr>
          <w:p>
            <w:pPr>
              <w:autoSpaceDE w:val="0"/>
              <w:autoSpaceDN w:val="0"/>
              <w:jc w:val="center"/>
              <w:rPr>
                <w:lang w:eastAsia="en-US"/>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trHeight w:val="588" w:hRule="atLeast"/>
          <w:jc w:val="center"/>
        </w:trPr>
        <w:tc>
          <w:tcPr>
            <w:tcW w:w="875" w:type="dxa"/>
            <w:vAlign w:val="center"/>
          </w:tcPr>
          <w:p>
            <w:pPr>
              <w:autoSpaceDE w:val="0"/>
              <w:autoSpaceDN w:val="0"/>
              <w:jc w:val="center"/>
              <w:rPr>
                <w:lang w:eastAsia="en-US"/>
              </w:rPr>
            </w:pPr>
          </w:p>
        </w:tc>
        <w:tc>
          <w:tcPr>
            <w:tcW w:w="1400" w:type="dxa"/>
            <w:vAlign w:val="center"/>
          </w:tcPr>
          <w:p>
            <w:pPr>
              <w:autoSpaceDE w:val="0"/>
              <w:autoSpaceDN w:val="0"/>
              <w:jc w:val="center"/>
              <w:rPr>
                <w:lang w:eastAsia="en-US"/>
              </w:rPr>
            </w:pPr>
            <w:r>
              <w:rPr>
                <w:lang w:eastAsia="en-US"/>
              </w:rPr>
              <w:t>小计</w:t>
            </w:r>
          </w:p>
        </w:tc>
        <w:tc>
          <w:tcPr>
            <w:tcW w:w="971" w:type="dxa"/>
            <w:vAlign w:val="center"/>
          </w:tcPr>
          <w:p>
            <w:pPr>
              <w:autoSpaceDE w:val="0"/>
              <w:autoSpaceDN w:val="0"/>
              <w:jc w:val="center"/>
              <w:rPr>
                <w:lang w:eastAsia="en-US"/>
              </w:rPr>
            </w:pPr>
          </w:p>
        </w:tc>
        <w:tc>
          <w:tcPr>
            <w:tcW w:w="796" w:type="dxa"/>
            <w:vAlign w:val="center"/>
          </w:tcPr>
          <w:p>
            <w:pPr>
              <w:autoSpaceDE w:val="0"/>
              <w:autoSpaceDN w:val="0"/>
              <w:jc w:val="center"/>
              <w:rPr>
                <w:lang w:eastAsia="en-US"/>
              </w:rPr>
            </w:pPr>
          </w:p>
        </w:tc>
        <w:tc>
          <w:tcPr>
            <w:tcW w:w="9734" w:type="dxa"/>
            <w:tcBorders>
              <w:top w:val="single" w:color="000000" w:sz="6" w:space="0"/>
            </w:tcBorders>
            <w:vAlign w:val="center"/>
          </w:tcPr>
          <w:p>
            <w:pPr>
              <w:autoSpaceDE w:val="0"/>
              <w:autoSpaceDN w:val="0"/>
              <w:jc w:val="center"/>
              <w:rPr>
                <w:lang w:eastAsia="en-US"/>
              </w:rPr>
            </w:pPr>
          </w:p>
        </w:tc>
        <w:tc>
          <w:tcPr>
            <w:tcW w:w="998" w:type="dxa"/>
            <w:vAlign w:val="center"/>
          </w:tcPr>
          <w:p>
            <w:pPr>
              <w:autoSpaceDE w:val="0"/>
              <w:autoSpaceDN w:val="0"/>
              <w:jc w:val="center"/>
              <w:rPr>
                <w:lang w:eastAsia="en-US"/>
              </w:rPr>
            </w:pPr>
          </w:p>
        </w:tc>
      </w:tr>
    </w:tbl>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jc w:val="both"/>
        <w:textAlignment w:val="auto"/>
        <w:rPr>
          <w:rFonts w:hint="default" w:ascii="Times New Roman" w:hAnsi="Times New Roman" w:cs="Times New Roman"/>
          <w:b/>
          <w:bCs/>
          <w:kern w:val="2"/>
          <w:sz w:val="30"/>
          <w:szCs w:val="30"/>
          <w:highlight w:val="none"/>
          <w:lang w:val="en-US" w:eastAsia="zh-CN" w:bidi="ar-SA"/>
        </w:rPr>
        <w:sectPr>
          <w:pgSz w:w="16838" w:h="11906" w:orient="landscape"/>
          <w:pgMar w:top="1417" w:right="1417" w:bottom="1417" w:left="1417" w:header="851" w:footer="992" w:gutter="0"/>
          <w:cols w:space="0" w:num="1"/>
          <w:rtlGutter w:val="0"/>
          <w:docGrid w:type="lines" w:linePitch="312" w:charSpace="0"/>
        </w:sectPr>
      </w:pP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ind w:firstLine="2711" w:firstLineChars="900"/>
        <w:jc w:val="both"/>
        <w:textAlignment w:val="auto"/>
        <w:rPr>
          <w:rFonts w:hint="eastAsia" w:ascii="宋体" w:hAnsi="宋体"/>
          <w:b/>
          <w:sz w:val="32"/>
          <w:szCs w:val="32"/>
          <w:highlight w:val="none"/>
        </w:rPr>
      </w:pPr>
      <w:r>
        <w:rPr>
          <w:rFonts w:hint="eastAsia" w:ascii="Times New Roman" w:hAnsi="Times New Roman" w:cs="Times New Roman"/>
          <w:b/>
          <w:bCs/>
          <w:kern w:val="2"/>
          <w:sz w:val="30"/>
          <w:szCs w:val="30"/>
          <w:highlight w:val="none"/>
          <w:lang w:val="en-US" w:eastAsia="zh-CN" w:bidi="ar-SA"/>
        </w:rPr>
        <w:t>第五部分 投标文件格式</w:t>
      </w:r>
      <w:bookmarkEnd w:id="2"/>
      <w:bookmarkEnd w:id="3"/>
      <w:bookmarkEnd w:id="4"/>
      <w:bookmarkEnd w:id="5"/>
    </w:p>
    <w:p>
      <w:pPr>
        <w:pStyle w:val="9"/>
        <w:ind w:left="0" w:leftChars="0" w:firstLine="0"/>
        <w:rPr>
          <w:rFonts w:hint="eastAsia"/>
          <w:highlight w:val="none"/>
        </w:rPr>
      </w:pPr>
    </w:p>
    <w:p>
      <w:pPr>
        <w:pStyle w:val="9"/>
        <w:ind w:left="0" w:leftChars="0" w:firstLine="0"/>
        <w:rPr>
          <w:rFonts w:hint="eastAsia"/>
          <w:highlight w:val="none"/>
        </w:rPr>
      </w:pPr>
    </w:p>
    <w:p>
      <w:pPr>
        <w:spacing w:line="360" w:lineRule="atLeast"/>
        <w:jc w:val="both"/>
        <w:rPr>
          <w:rFonts w:hint="default" w:ascii="宋体" w:hAnsi="宋体" w:eastAsia="宋体"/>
          <w:b/>
          <w:sz w:val="32"/>
          <w:szCs w:val="32"/>
          <w:highlight w:val="none"/>
          <w:lang w:val="en-US" w:eastAsia="zh-CN"/>
        </w:rPr>
      </w:pPr>
      <w:r>
        <w:rPr>
          <w:rFonts w:hint="eastAsia" w:ascii="宋体" w:hAnsi="宋体"/>
          <w:b/>
          <w:sz w:val="32"/>
          <w:szCs w:val="32"/>
          <w:highlight w:val="none"/>
        </w:rPr>
        <w:t>项目编号:</w:t>
      </w:r>
      <w:r>
        <w:rPr>
          <w:rFonts w:hint="eastAsia" w:ascii="宋体" w:hAnsi="宋体"/>
          <w:b/>
          <w:sz w:val="32"/>
          <w:szCs w:val="32"/>
          <w:highlight w:val="none"/>
          <w:lang w:eastAsia="zh-CN"/>
        </w:rPr>
        <w:t xml:space="preserve"> XQCG(2026)0</w:t>
      </w:r>
      <w:r>
        <w:rPr>
          <w:rFonts w:hint="eastAsia" w:ascii="宋体" w:hAnsi="宋体"/>
          <w:b/>
          <w:sz w:val="32"/>
          <w:szCs w:val="32"/>
          <w:highlight w:val="none"/>
          <w:lang w:val="en-US" w:eastAsia="zh-CN"/>
        </w:rPr>
        <w:t>14</w:t>
      </w:r>
      <w:r>
        <w:rPr>
          <w:rFonts w:hint="eastAsia" w:ascii="宋体" w:hAnsi="宋体"/>
          <w:b/>
          <w:sz w:val="32"/>
          <w:szCs w:val="32"/>
          <w:highlight w:val="none"/>
          <w:lang w:eastAsia="zh-CN"/>
        </w:rPr>
        <w:t>号</w:t>
      </w:r>
      <w:r>
        <w:rPr>
          <w:rFonts w:hint="eastAsia" w:ascii="宋体" w:hAnsi="宋体"/>
          <w:b/>
          <w:sz w:val="32"/>
          <w:szCs w:val="32"/>
          <w:highlight w:val="none"/>
          <w:lang w:val="en-US" w:eastAsia="zh-CN"/>
        </w:rPr>
        <w:t>.1B2</w:t>
      </w:r>
    </w:p>
    <w:p>
      <w:pPr>
        <w:spacing w:line="360" w:lineRule="atLeast"/>
        <w:jc w:val="both"/>
        <w:rPr>
          <w:rFonts w:asciiTheme="minorEastAsia" w:hAnsiTheme="minorEastAsia" w:eastAsiaTheme="minorEastAsia"/>
          <w:b/>
          <w:color w:val="000000"/>
          <w:sz w:val="18"/>
          <w:szCs w:val="18"/>
          <w:highlight w:val="none"/>
        </w:rPr>
      </w:pPr>
      <w:r>
        <w:rPr>
          <w:rFonts w:hint="eastAsia" w:ascii="宋体" w:hAnsi="宋体"/>
          <w:b/>
          <w:sz w:val="32"/>
          <w:szCs w:val="32"/>
          <w:highlight w:val="none"/>
          <w:lang w:val="en-US" w:eastAsia="zh-CN"/>
        </w:rPr>
        <w:t xml:space="preserve">                                               </w:t>
      </w:r>
      <w:r>
        <w:rPr>
          <w:rFonts w:hint="eastAsia" w:asciiTheme="minorEastAsia" w:hAnsiTheme="minorEastAsia" w:eastAsiaTheme="minorEastAsia"/>
          <w:b/>
          <w:color w:val="000000"/>
          <w:sz w:val="18"/>
          <w:szCs w:val="18"/>
          <w:highlight w:val="none"/>
        </w:rPr>
        <w:t>（正本或副本）</w:t>
      </w:r>
    </w:p>
    <w:p>
      <w:pPr>
        <w:spacing w:line="480" w:lineRule="exact"/>
        <w:rPr>
          <w:rFonts w:hint="default" w:ascii="宋体" w:hAnsi="宋体" w:eastAsia="宋体"/>
          <w:b/>
          <w:sz w:val="32"/>
          <w:szCs w:val="32"/>
          <w:highlight w:val="none"/>
          <w:lang w:val="en-US" w:eastAsia="zh-CN"/>
        </w:rPr>
      </w:pPr>
    </w:p>
    <w:p>
      <w:pPr>
        <w:jc w:val="center"/>
        <w:rPr>
          <w:rFonts w:hint="eastAsia" w:ascii="宋体" w:hAnsi="宋体"/>
          <w:b/>
          <w:sz w:val="52"/>
          <w:szCs w:val="52"/>
          <w:highlight w:val="none"/>
          <w:lang w:val="en-US" w:eastAsia="zh-CN"/>
        </w:rPr>
      </w:pPr>
      <w:r>
        <w:rPr>
          <w:rFonts w:hint="eastAsia" w:ascii="宋体" w:hAnsi="宋体"/>
          <w:b/>
          <w:sz w:val="52"/>
          <w:szCs w:val="52"/>
          <w:highlight w:val="none"/>
          <w:lang w:eastAsia="zh-CN"/>
        </w:rPr>
        <w:t>咸阳</w:t>
      </w:r>
      <w:r>
        <w:rPr>
          <w:rFonts w:hint="eastAsia" w:ascii="宋体" w:hAnsi="宋体"/>
          <w:b/>
          <w:sz w:val="52"/>
          <w:szCs w:val="52"/>
          <w:highlight w:val="none"/>
          <w:lang w:val="en-US" w:eastAsia="zh-CN"/>
        </w:rPr>
        <w:t>市秦都区丝路花城小学信息化教育教学设备采购项目（三次）</w:t>
      </w:r>
    </w:p>
    <w:p>
      <w:pPr>
        <w:jc w:val="center"/>
        <w:rPr>
          <w:rFonts w:hint="eastAsia" w:ascii="宋体" w:hAnsi="宋体"/>
          <w:b/>
          <w:sz w:val="52"/>
          <w:szCs w:val="52"/>
          <w:highlight w:val="none"/>
          <w:lang w:val="en-US" w:eastAsia="zh-CN"/>
        </w:rPr>
      </w:pPr>
    </w:p>
    <w:p>
      <w:pPr>
        <w:jc w:val="center"/>
        <w:rPr>
          <w:rFonts w:hint="eastAsia" w:ascii="宋体" w:hAnsi="宋体"/>
          <w:b/>
          <w:sz w:val="72"/>
          <w:szCs w:val="72"/>
          <w:highlight w:val="none"/>
        </w:rPr>
      </w:pPr>
      <w:r>
        <w:rPr>
          <w:rFonts w:hint="eastAsia" w:ascii="宋体" w:hAnsi="宋体"/>
          <w:b/>
          <w:sz w:val="72"/>
          <w:szCs w:val="72"/>
          <w:highlight w:val="none"/>
        </w:rPr>
        <w:t>竞争性</w:t>
      </w:r>
      <w:r>
        <w:rPr>
          <w:rFonts w:hint="eastAsia" w:ascii="宋体" w:hAnsi="宋体"/>
          <w:b/>
          <w:sz w:val="72"/>
          <w:szCs w:val="72"/>
          <w:highlight w:val="none"/>
          <w:lang w:val="en-US" w:eastAsia="zh-CN"/>
        </w:rPr>
        <w:t>谈判响应</w:t>
      </w:r>
      <w:r>
        <w:rPr>
          <w:rFonts w:hint="eastAsia" w:ascii="宋体" w:hAnsi="宋体"/>
          <w:b/>
          <w:sz w:val="72"/>
          <w:szCs w:val="72"/>
          <w:highlight w:val="none"/>
        </w:rPr>
        <w:t>文件</w:t>
      </w:r>
    </w:p>
    <w:p>
      <w:pPr>
        <w:tabs>
          <w:tab w:val="left" w:pos="1749"/>
        </w:tabs>
        <w:jc w:val="left"/>
        <w:rPr>
          <w:rFonts w:hint="eastAsia" w:ascii="宋体" w:hAnsi="宋体" w:eastAsia="宋体"/>
          <w:b/>
          <w:sz w:val="52"/>
          <w:szCs w:val="52"/>
          <w:highlight w:val="none"/>
          <w:lang w:eastAsia="zh-CN"/>
        </w:rPr>
      </w:pPr>
      <w:r>
        <w:rPr>
          <w:rFonts w:hint="eastAsia" w:ascii="宋体" w:hAnsi="宋体"/>
          <w:b/>
          <w:sz w:val="52"/>
          <w:szCs w:val="52"/>
          <w:highlight w:val="none"/>
          <w:lang w:eastAsia="zh-CN"/>
        </w:rPr>
        <w:tab/>
      </w:r>
    </w:p>
    <w:p>
      <w:pPr>
        <w:tabs>
          <w:tab w:val="left" w:pos="1749"/>
        </w:tabs>
        <w:jc w:val="left"/>
        <w:rPr>
          <w:rFonts w:hint="eastAsia" w:ascii="宋体" w:hAnsi="宋体" w:eastAsia="宋体"/>
          <w:b/>
          <w:sz w:val="52"/>
          <w:szCs w:val="52"/>
          <w:highlight w:val="none"/>
          <w:lang w:eastAsia="zh-CN"/>
        </w:rPr>
      </w:pPr>
      <w:r>
        <w:rPr>
          <w:rFonts w:hint="eastAsia" w:ascii="宋体" w:hAnsi="宋体"/>
          <w:b/>
          <w:sz w:val="52"/>
          <w:szCs w:val="52"/>
          <w:highlight w:val="none"/>
          <w:lang w:eastAsia="zh-CN"/>
        </w:rPr>
        <w:tab/>
      </w:r>
    </w:p>
    <w:p>
      <w:pPr>
        <w:jc w:val="center"/>
        <w:rPr>
          <w:rFonts w:hint="eastAsia" w:ascii="宋体" w:hAnsi="宋体"/>
          <w:b/>
          <w:sz w:val="52"/>
          <w:szCs w:val="52"/>
          <w:highlight w:val="none"/>
        </w:rPr>
      </w:pPr>
    </w:p>
    <w:p>
      <w:pPr>
        <w:pStyle w:val="9"/>
        <w:rPr>
          <w:rFonts w:hint="eastAsia"/>
          <w:highlight w:val="none"/>
        </w:rPr>
      </w:pPr>
    </w:p>
    <w:p>
      <w:pPr>
        <w:ind w:firstLine="640" w:firstLineChars="200"/>
        <w:rPr>
          <w:rFonts w:hint="eastAsia" w:ascii="宋体" w:hAnsi="宋体"/>
          <w:sz w:val="32"/>
          <w:highlight w:val="none"/>
        </w:rPr>
      </w:pPr>
    </w:p>
    <w:p>
      <w:pPr>
        <w:spacing w:line="480" w:lineRule="exact"/>
        <w:rPr>
          <w:rFonts w:hint="eastAsia" w:ascii="宋体" w:hAnsi="宋体"/>
          <w:b/>
          <w:sz w:val="36"/>
          <w:szCs w:val="36"/>
          <w:highlight w:val="none"/>
        </w:rPr>
      </w:pPr>
    </w:p>
    <w:p>
      <w:pPr>
        <w:spacing w:line="360" w:lineRule="atLeast"/>
        <w:jc w:val="center"/>
        <w:rPr>
          <w:rFonts w:asciiTheme="minorEastAsia" w:hAnsiTheme="minorEastAsia" w:eastAsiaTheme="minorEastAsia"/>
          <w:color w:val="000000"/>
          <w:sz w:val="18"/>
          <w:szCs w:val="18"/>
          <w:highlight w:val="none"/>
        </w:rPr>
      </w:pPr>
    </w:p>
    <w:p>
      <w:pPr>
        <w:spacing w:line="360" w:lineRule="atLeast"/>
        <w:rPr>
          <w:rFonts w:asciiTheme="minorEastAsia" w:hAnsiTheme="minorEastAsia" w:eastAsiaTheme="minorEastAsia"/>
          <w:color w:val="000000"/>
          <w:sz w:val="18"/>
          <w:szCs w:val="18"/>
          <w:highlight w:val="none"/>
        </w:rPr>
      </w:pPr>
    </w:p>
    <w:p>
      <w:pPr>
        <w:spacing w:line="360" w:lineRule="atLeast"/>
        <w:rPr>
          <w:rFonts w:asciiTheme="minorEastAsia" w:hAnsiTheme="minorEastAsia" w:eastAsiaTheme="minorEastAsia"/>
          <w:color w:val="000000"/>
          <w:sz w:val="18"/>
          <w:szCs w:val="18"/>
          <w:highlight w:val="none"/>
        </w:rPr>
      </w:pPr>
    </w:p>
    <w:p>
      <w:pPr>
        <w:spacing w:line="360" w:lineRule="atLeast"/>
        <w:ind w:firstLine="1120" w:firstLineChars="400"/>
        <w:rPr>
          <w:rFonts w:hint="eastAsia" w:asciiTheme="minorEastAsia" w:hAnsiTheme="minorEastAsia" w:eastAsiaTheme="minorEastAsia"/>
          <w:color w:val="000000"/>
          <w:sz w:val="28"/>
          <w:szCs w:val="28"/>
          <w:highlight w:val="none"/>
          <w:lang w:val="en-US" w:eastAsia="zh-CN"/>
        </w:rPr>
      </w:pPr>
      <w:r>
        <w:rPr>
          <w:rFonts w:hint="eastAsia" w:asciiTheme="minorEastAsia" w:hAnsiTheme="minorEastAsia" w:eastAsiaTheme="minorEastAsia"/>
          <w:color w:val="000000"/>
          <w:sz w:val="28"/>
          <w:szCs w:val="28"/>
          <w:highlight w:val="none"/>
        </w:rPr>
        <w:t>投标人（盖章）：</w:t>
      </w:r>
      <w:r>
        <w:rPr>
          <w:rFonts w:hint="eastAsia" w:asciiTheme="minorEastAsia" w:hAnsiTheme="minorEastAsia" w:eastAsiaTheme="minorEastAsia"/>
          <w:color w:val="000000"/>
          <w:sz w:val="28"/>
          <w:szCs w:val="28"/>
          <w:highlight w:val="none"/>
          <w:lang w:val="en-US" w:eastAsia="zh-CN"/>
        </w:rPr>
        <w:t xml:space="preserve"> </w:t>
      </w:r>
    </w:p>
    <w:p>
      <w:pPr>
        <w:spacing w:line="360" w:lineRule="atLeast"/>
        <w:ind w:firstLine="1120" w:firstLineChars="400"/>
        <w:rPr>
          <w:rFonts w:asciiTheme="minorEastAsia" w:hAnsiTheme="minorEastAsia" w:eastAsiaTheme="minorEastAsia"/>
          <w:color w:val="000000"/>
          <w:sz w:val="32"/>
          <w:szCs w:val="32"/>
          <w:highlight w:val="none"/>
          <w:u w:val="single"/>
        </w:rPr>
      </w:pPr>
      <w:r>
        <w:rPr>
          <w:rFonts w:hint="eastAsia" w:asciiTheme="minorEastAsia" w:hAnsiTheme="minorEastAsia" w:eastAsiaTheme="minorEastAsia"/>
          <w:color w:val="000000"/>
          <w:sz w:val="28"/>
          <w:szCs w:val="28"/>
          <w:highlight w:val="none"/>
        </w:rPr>
        <w:t>时  间</w:t>
      </w:r>
      <w:r>
        <w:rPr>
          <w:rFonts w:hint="eastAsia" w:asciiTheme="minorEastAsia" w:hAnsiTheme="minorEastAsia" w:eastAsiaTheme="minorEastAsia"/>
          <w:color w:val="000000"/>
          <w:sz w:val="32"/>
          <w:szCs w:val="32"/>
          <w:highlight w:val="none"/>
        </w:rPr>
        <w:t>：</w:t>
      </w:r>
    </w:p>
    <w:p>
      <w:pPr>
        <w:spacing w:line="360" w:lineRule="atLeast"/>
        <w:ind w:firstLine="2649" w:firstLineChars="828"/>
        <w:rPr>
          <w:rFonts w:asciiTheme="minorEastAsia" w:hAnsiTheme="minorEastAsia" w:eastAsiaTheme="minorEastAsia"/>
          <w:color w:val="000000"/>
          <w:sz w:val="18"/>
          <w:szCs w:val="18"/>
          <w:highlight w:val="none"/>
        </w:rPr>
      </w:pPr>
      <w:r>
        <w:rPr>
          <w:rFonts w:hint="eastAsia" w:asciiTheme="minorEastAsia" w:hAnsiTheme="minorEastAsia" w:eastAsiaTheme="minorEastAsia"/>
          <w:color w:val="000000"/>
          <w:sz w:val="32"/>
          <w:szCs w:val="32"/>
          <w:highlight w:val="none"/>
        </w:rPr>
        <w:br w:type="page"/>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目    录</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 xml:space="preserve">第一部分 </w:t>
      </w:r>
      <w:r>
        <w:rPr>
          <w:rFonts w:hint="eastAsia" w:ascii="Times New Roman" w:hAnsi="Times New Roman" w:cs="Times New Roman"/>
          <w:b/>
          <w:bCs/>
          <w:color w:val="auto"/>
          <w:sz w:val="24"/>
          <w:szCs w:val="24"/>
          <w:highlight w:val="none"/>
          <w:lang w:val="en-US" w:eastAsia="zh-CN"/>
        </w:rPr>
        <w:t>响应</w:t>
      </w:r>
      <w:r>
        <w:rPr>
          <w:rFonts w:hint="eastAsia" w:ascii="Times New Roman" w:hAnsi="Times New Roman" w:cs="Times New Roman"/>
          <w:b/>
          <w:bCs/>
          <w:color w:val="auto"/>
          <w:sz w:val="24"/>
          <w:szCs w:val="24"/>
          <w:highlight w:val="none"/>
        </w:rPr>
        <w:t>函</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rPr>
        <w:t xml:space="preserve">第二部分 </w:t>
      </w:r>
      <w:r>
        <w:rPr>
          <w:rFonts w:hint="eastAsia" w:ascii="Times New Roman" w:hAnsi="Times New Roman" w:cs="Times New Roman"/>
          <w:b/>
          <w:bCs/>
          <w:color w:val="auto"/>
          <w:sz w:val="24"/>
          <w:szCs w:val="24"/>
          <w:highlight w:val="none"/>
          <w:lang w:val="en-US" w:eastAsia="zh-CN"/>
        </w:rPr>
        <w:t>谈判报价表</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产品分项报价表</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技术</w:t>
      </w:r>
      <w:r>
        <w:rPr>
          <w:rFonts w:hint="eastAsia" w:ascii="Times New Roman" w:hAnsi="Times New Roman" w:cs="Times New Roman"/>
          <w:b/>
          <w:bCs/>
          <w:color w:val="auto"/>
          <w:sz w:val="24"/>
          <w:szCs w:val="24"/>
          <w:highlight w:val="none"/>
          <w:lang w:val="en-US" w:eastAsia="zh-CN"/>
        </w:rPr>
        <w:t>响应</w:t>
      </w:r>
      <w:r>
        <w:rPr>
          <w:rFonts w:hint="eastAsia" w:ascii="Times New Roman" w:hAnsi="Times New Roman" w:cs="Times New Roman"/>
          <w:b/>
          <w:bCs/>
          <w:color w:val="auto"/>
          <w:sz w:val="24"/>
          <w:szCs w:val="24"/>
          <w:highlight w:val="none"/>
        </w:rPr>
        <w:t>偏差表</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商务响应偏离表</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第三部分 法定代表人证明书与授权书</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 xml:space="preserve">第四部分 </w:t>
      </w:r>
      <w:r>
        <w:rPr>
          <w:rFonts w:hint="eastAsia" w:ascii="Times New Roman" w:hAnsi="Times New Roman" w:cs="Times New Roman"/>
          <w:b/>
          <w:bCs/>
          <w:color w:val="auto"/>
          <w:sz w:val="24"/>
          <w:szCs w:val="24"/>
          <w:highlight w:val="none"/>
          <w:lang w:val="en-US" w:eastAsia="zh-CN"/>
        </w:rPr>
        <w:t>投标</w:t>
      </w:r>
      <w:r>
        <w:rPr>
          <w:rFonts w:hint="eastAsia" w:ascii="Times New Roman" w:hAnsi="Times New Roman" w:cs="Times New Roman"/>
          <w:b/>
          <w:bCs/>
          <w:color w:val="auto"/>
          <w:sz w:val="24"/>
          <w:szCs w:val="24"/>
          <w:highlight w:val="none"/>
        </w:rPr>
        <w:t>人资质证明文件</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第</w:t>
      </w:r>
      <w:r>
        <w:rPr>
          <w:rFonts w:hint="eastAsia" w:ascii="Times New Roman" w:hAnsi="Times New Roman" w:cs="Times New Roman"/>
          <w:b/>
          <w:bCs/>
          <w:color w:val="auto"/>
          <w:sz w:val="24"/>
          <w:szCs w:val="24"/>
          <w:highlight w:val="none"/>
          <w:lang w:val="en-US" w:eastAsia="zh-CN"/>
        </w:rPr>
        <w:t>五</w:t>
      </w:r>
      <w:r>
        <w:rPr>
          <w:rFonts w:hint="eastAsia" w:ascii="Times New Roman" w:hAnsi="Times New Roman" w:cs="Times New Roman"/>
          <w:b/>
          <w:bCs/>
          <w:color w:val="auto"/>
          <w:sz w:val="24"/>
          <w:szCs w:val="24"/>
          <w:highlight w:val="none"/>
        </w:rPr>
        <w:t xml:space="preserve">部分 </w:t>
      </w:r>
      <w:r>
        <w:rPr>
          <w:rFonts w:hint="eastAsia" w:ascii="Times New Roman" w:hAnsi="Times New Roman" w:cs="Times New Roman"/>
          <w:b/>
          <w:bCs/>
          <w:color w:val="auto"/>
          <w:sz w:val="24"/>
          <w:szCs w:val="24"/>
          <w:highlight w:val="none"/>
          <w:lang w:val="en-US" w:eastAsia="zh-CN"/>
        </w:rPr>
        <w:t>投标</w:t>
      </w:r>
      <w:r>
        <w:rPr>
          <w:rFonts w:hint="eastAsia" w:ascii="Times New Roman" w:hAnsi="Times New Roman" w:cs="Times New Roman"/>
          <w:b/>
          <w:bCs/>
          <w:color w:val="auto"/>
          <w:sz w:val="24"/>
          <w:szCs w:val="24"/>
          <w:highlight w:val="none"/>
        </w:rPr>
        <w:t>方案</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第</w:t>
      </w:r>
      <w:r>
        <w:rPr>
          <w:rFonts w:hint="eastAsia" w:ascii="Times New Roman" w:hAnsi="Times New Roman" w:cs="Times New Roman"/>
          <w:b/>
          <w:bCs/>
          <w:color w:val="auto"/>
          <w:sz w:val="24"/>
          <w:szCs w:val="24"/>
          <w:highlight w:val="none"/>
          <w:lang w:val="en-US" w:eastAsia="zh-CN"/>
        </w:rPr>
        <w:t>六</w:t>
      </w:r>
      <w:r>
        <w:rPr>
          <w:rFonts w:hint="eastAsia" w:ascii="Times New Roman" w:hAnsi="Times New Roman" w:cs="Times New Roman"/>
          <w:b/>
          <w:bCs/>
          <w:color w:val="auto"/>
          <w:sz w:val="24"/>
          <w:szCs w:val="24"/>
          <w:highlight w:val="none"/>
        </w:rPr>
        <w:t>部分 投标人对本项目所必需的设备和专业技术能力承诺书</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第七部分 非联合体投标承诺书</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rPr>
        <w:t>第</w:t>
      </w:r>
      <w:r>
        <w:rPr>
          <w:rFonts w:hint="eastAsia" w:ascii="Times New Roman" w:hAnsi="Times New Roman" w:cs="Times New Roman"/>
          <w:b/>
          <w:bCs/>
          <w:color w:val="auto"/>
          <w:sz w:val="24"/>
          <w:szCs w:val="24"/>
          <w:highlight w:val="none"/>
          <w:lang w:val="en-US" w:eastAsia="zh-CN"/>
        </w:rPr>
        <w:t>八</w:t>
      </w:r>
      <w:r>
        <w:rPr>
          <w:rFonts w:hint="eastAsia" w:ascii="Times New Roman" w:hAnsi="Times New Roman" w:cs="Times New Roman"/>
          <w:b/>
          <w:bCs/>
          <w:color w:val="auto"/>
          <w:sz w:val="24"/>
          <w:szCs w:val="24"/>
          <w:highlight w:val="none"/>
        </w:rPr>
        <w:t xml:space="preserve">部分 </w:t>
      </w:r>
      <w:r>
        <w:rPr>
          <w:rFonts w:hint="eastAsia" w:ascii="Times New Roman" w:hAnsi="Times New Roman" w:cs="Times New Roman"/>
          <w:b/>
          <w:bCs/>
          <w:color w:val="auto"/>
          <w:sz w:val="24"/>
          <w:szCs w:val="24"/>
          <w:highlight w:val="none"/>
          <w:lang w:val="en-US" w:eastAsia="zh-CN"/>
        </w:rPr>
        <w:t>拒绝招投标领域商业贿赂承诺书</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第</w:t>
      </w:r>
      <w:r>
        <w:rPr>
          <w:rFonts w:hint="eastAsia" w:ascii="Times New Roman" w:hAnsi="Times New Roman" w:cs="Times New Roman"/>
          <w:b/>
          <w:bCs/>
          <w:color w:val="auto"/>
          <w:sz w:val="24"/>
          <w:szCs w:val="24"/>
          <w:highlight w:val="none"/>
          <w:lang w:val="en-US" w:eastAsia="zh-CN"/>
        </w:rPr>
        <w:t>九</w:t>
      </w:r>
      <w:r>
        <w:rPr>
          <w:rFonts w:hint="eastAsia" w:ascii="Times New Roman" w:hAnsi="Times New Roman" w:cs="Times New Roman"/>
          <w:b/>
          <w:bCs/>
          <w:color w:val="auto"/>
          <w:sz w:val="24"/>
          <w:szCs w:val="24"/>
          <w:highlight w:val="none"/>
        </w:rPr>
        <w:t>部分 投标人无重大违法记录声明</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第</w:t>
      </w:r>
      <w:r>
        <w:rPr>
          <w:rFonts w:hint="eastAsia" w:ascii="Times New Roman" w:hAnsi="Times New Roman" w:cs="Times New Roman"/>
          <w:b/>
          <w:bCs/>
          <w:color w:val="auto"/>
          <w:sz w:val="24"/>
          <w:szCs w:val="24"/>
          <w:highlight w:val="none"/>
          <w:lang w:val="en-US" w:eastAsia="zh-CN"/>
        </w:rPr>
        <w:t>十</w:t>
      </w:r>
      <w:r>
        <w:rPr>
          <w:rFonts w:hint="eastAsia" w:ascii="Times New Roman" w:hAnsi="Times New Roman" w:cs="Times New Roman"/>
          <w:b/>
          <w:bCs/>
          <w:color w:val="auto"/>
          <w:sz w:val="24"/>
          <w:szCs w:val="24"/>
          <w:highlight w:val="none"/>
        </w:rPr>
        <w:t>部分 确保知识产权不侵权书面保证</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第</w:t>
      </w:r>
      <w:r>
        <w:rPr>
          <w:rFonts w:hint="eastAsia" w:ascii="Times New Roman" w:hAnsi="Times New Roman" w:cs="Times New Roman"/>
          <w:b/>
          <w:bCs/>
          <w:color w:val="auto"/>
          <w:sz w:val="24"/>
          <w:szCs w:val="24"/>
          <w:highlight w:val="none"/>
          <w:lang w:val="en-US" w:eastAsia="zh-CN"/>
        </w:rPr>
        <w:t>十一</w:t>
      </w:r>
      <w:r>
        <w:rPr>
          <w:rFonts w:hint="eastAsia" w:ascii="Times New Roman" w:hAnsi="Times New Roman" w:cs="Times New Roman"/>
          <w:b/>
          <w:bCs/>
          <w:color w:val="auto"/>
          <w:sz w:val="24"/>
          <w:szCs w:val="24"/>
          <w:highlight w:val="none"/>
        </w:rPr>
        <w:t xml:space="preserve">部分 </w:t>
      </w:r>
      <w:r>
        <w:rPr>
          <w:rFonts w:hint="default" w:ascii="Times New Roman" w:hAnsi="Times New Roman" w:cs="Times New Roman"/>
          <w:b/>
          <w:bCs/>
          <w:color w:val="auto"/>
          <w:sz w:val="24"/>
          <w:szCs w:val="24"/>
          <w:highlight w:val="none"/>
        </w:rPr>
        <w:t>供应商概况及性质</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第十</w:t>
      </w:r>
      <w:r>
        <w:rPr>
          <w:rFonts w:hint="eastAsia" w:ascii="Times New Roman" w:hAnsi="Times New Roman" w:cs="Times New Roman"/>
          <w:b/>
          <w:bCs/>
          <w:color w:val="auto"/>
          <w:sz w:val="24"/>
          <w:szCs w:val="24"/>
          <w:highlight w:val="none"/>
          <w:lang w:val="en-US" w:eastAsia="zh-CN"/>
        </w:rPr>
        <w:t>二</w:t>
      </w:r>
      <w:r>
        <w:rPr>
          <w:rFonts w:hint="eastAsia" w:ascii="Times New Roman" w:hAnsi="Times New Roman" w:cs="Times New Roman"/>
          <w:b/>
          <w:bCs/>
          <w:color w:val="auto"/>
          <w:sz w:val="24"/>
          <w:szCs w:val="24"/>
          <w:highlight w:val="none"/>
        </w:rPr>
        <w:t>部分 投标人认为有必要提供的其他资料</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附件：封袋正面标识式样</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br w:type="page"/>
      </w:r>
      <w:r>
        <w:rPr>
          <w:rFonts w:hint="eastAsia" w:ascii="Times New Roman" w:hAnsi="Times New Roman" w:cs="Times New Roman"/>
          <w:color w:val="auto"/>
          <w:sz w:val="24"/>
          <w:szCs w:val="24"/>
          <w:highlight w:val="none"/>
          <w:lang w:val="en-US" w:eastAsia="zh-CN"/>
        </w:rPr>
        <w:t xml:space="preserve">                            </w:t>
      </w:r>
      <w:r>
        <w:rPr>
          <w:rFonts w:hint="eastAsia" w:ascii="Times New Roman" w:hAnsi="Times New Roman" w:cs="Times New Roman"/>
          <w:b/>
          <w:bCs/>
          <w:color w:val="auto"/>
          <w:sz w:val="24"/>
          <w:szCs w:val="24"/>
          <w:highlight w:val="none"/>
        </w:rPr>
        <w:t xml:space="preserve"> </w:t>
      </w:r>
      <w:r>
        <w:rPr>
          <w:rFonts w:hint="eastAsia" w:ascii="Times New Roman" w:hAnsi="Times New Roman" w:cs="Times New Roman"/>
          <w:b/>
          <w:bCs/>
          <w:color w:val="auto"/>
          <w:sz w:val="24"/>
          <w:szCs w:val="24"/>
          <w:highlight w:val="none"/>
          <w:lang w:val="en-US" w:eastAsia="zh-CN"/>
        </w:rPr>
        <w:t>响应</w:t>
      </w:r>
      <w:r>
        <w:rPr>
          <w:rFonts w:hint="eastAsia" w:ascii="Times New Roman" w:hAnsi="Times New Roman" w:cs="Times New Roman"/>
          <w:b/>
          <w:bCs/>
          <w:color w:val="auto"/>
          <w:sz w:val="24"/>
          <w:szCs w:val="24"/>
          <w:highlight w:val="none"/>
        </w:rPr>
        <w:t>函</w:t>
      </w:r>
    </w:p>
    <w:p>
      <w:pPr>
        <w:spacing w:line="420" w:lineRule="exact"/>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咸阳市</w:t>
      </w:r>
      <w:r>
        <w:rPr>
          <w:rFonts w:hint="eastAsia" w:ascii="Times New Roman" w:hAnsi="Times New Roman" w:cs="Times New Roman" w:eastAsiaTheme="minorEastAsia"/>
          <w:color w:val="auto"/>
          <w:sz w:val="22"/>
          <w:szCs w:val="22"/>
          <w:highlight w:val="none"/>
          <w:lang w:val="en-US" w:eastAsia="zh-CN"/>
        </w:rPr>
        <w:t>秦都区</w:t>
      </w:r>
      <w:r>
        <w:rPr>
          <w:rFonts w:hint="default" w:ascii="Times New Roman" w:hAnsi="Times New Roman" w:cs="Times New Roman" w:eastAsiaTheme="minorEastAsia"/>
          <w:color w:val="auto"/>
          <w:sz w:val="22"/>
          <w:szCs w:val="22"/>
          <w:highlight w:val="none"/>
        </w:rPr>
        <w:t xml:space="preserve">政府采购中心： </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我公司接获取贵中心的谈判文件后，经认真研究，决定参与该项目的谈判。为此，我公司郑重声明以下几点，并负法律责任：</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1、依据《谈判文件》中的要求，我公司愿提供所有设备及服务。</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2、我公司提交的谈判响应文件其内容均为真实、合法、有效。</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3、如果我公司成为成交供应商，我公司将严格遵守响应文件中的所有承诺，全面签订并认真履行合同。</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4、我公司完全理解并尊重谈判小组的谈判结论及成交结果。</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5、我公司愿按《中华人民共和国民法典》履行自己的全部责任，并同意政府采购管理科规定的付款方式和质量保证金的规定。</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6、有关本次招标的有关事宜请按下列方式与我公司联系：</w:t>
      </w:r>
    </w:p>
    <w:p>
      <w:pPr>
        <w:pStyle w:val="3"/>
        <w:rPr>
          <w:rFonts w:hint="default" w:ascii="Times New Roman" w:hAnsi="Times New Roman" w:cs="Times New Roman" w:eastAsiaTheme="minorEastAsia"/>
          <w:color w:val="auto"/>
          <w:sz w:val="22"/>
          <w:szCs w:val="22"/>
          <w:highlight w:val="none"/>
        </w:rPr>
      </w:pPr>
    </w:p>
    <w:p>
      <w:pPr>
        <w:rPr>
          <w:rFonts w:hint="default" w:ascii="Times New Roman" w:hAnsi="Times New Roman" w:cs="Times New Roman"/>
          <w:color w:val="auto"/>
          <w:highlight w:val="none"/>
        </w:rPr>
      </w:pP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联系地址：              邮编：</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联系电话：              传真：</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联系人：</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default" w:ascii="Times New Roman" w:hAnsi="Times New Roman" w:cs="Times New Roman" w:eastAsiaTheme="minorEastAsia"/>
          <w:color w:val="auto"/>
          <w:sz w:val="22"/>
          <w:szCs w:val="22"/>
          <w:highlight w:val="none"/>
        </w:rPr>
      </w:pPr>
    </w:p>
    <w:p>
      <w:pPr>
        <w:rPr>
          <w:rFonts w:hint="default" w:ascii="Times New Roman" w:hAnsi="Times New Roman" w:cs="Times New Roman" w:eastAsiaTheme="minorEastAsia"/>
          <w:color w:val="auto"/>
          <w:sz w:val="22"/>
          <w:szCs w:val="22"/>
          <w:highlight w:val="none"/>
        </w:rPr>
      </w:pPr>
    </w:p>
    <w:p>
      <w:pPr>
        <w:pStyle w:val="3"/>
        <w:rPr>
          <w:rFonts w:hint="default" w:ascii="Times New Roman" w:hAnsi="Times New Roman" w:cs="Times New Roman" w:eastAsiaTheme="minorEastAsia"/>
          <w:color w:val="auto"/>
          <w:sz w:val="22"/>
          <w:szCs w:val="22"/>
          <w:highlight w:val="none"/>
        </w:rPr>
      </w:pPr>
    </w:p>
    <w:p>
      <w:pPr>
        <w:rPr>
          <w:rFonts w:hint="default" w:ascii="Times New Roman" w:hAnsi="Times New Roman" w:cs="Times New Roman"/>
          <w:color w:val="auto"/>
          <w:highlight w:val="none"/>
        </w:rPr>
      </w:pPr>
    </w:p>
    <w:p>
      <w:pPr>
        <w:rPr>
          <w:rFonts w:hint="default" w:ascii="Times New Roman" w:hAnsi="Times New Roman" w:cs="Times New Roman" w:eastAsiaTheme="minorEastAsia"/>
          <w:color w:val="auto"/>
          <w:sz w:val="22"/>
          <w:szCs w:val="22"/>
          <w:highlight w:val="none"/>
        </w:rPr>
      </w:pPr>
    </w:p>
    <w:p>
      <w:pPr>
        <w:pStyle w:val="3"/>
        <w:jc w:val="both"/>
        <w:rPr>
          <w:rFonts w:hint="default" w:ascii="Times New Roman" w:hAnsi="Times New Roman" w:cs="Times New Roman"/>
          <w:color w:val="auto"/>
          <w:highlight w:val="none"/>
        </w:rPr>
      </w:pPr>
    </w:p>
    <w:p>
      <w:pPr>
        <w:widowControl/>
        <w:spacing w:line="400" w:lineRule="exact"/>
        <w:ind w:left="0" w:leftChars="0" w:firstLine="4418" w:firstLineChars="1938"/>
        <w:rPr>
          <w:rFonts w:hint="default" w:ascii="Times New Roman" w:hAnsi="Times New Roman" w:cs="Times New Roman"/>
          <w:color w:val="auto"/>
          <w:spacing w:val="4"/>
          <w:sz w:val="22"/>
          <w:highlight w:val="none"/>
        </w:rPr>
      </w:pPr>
      <w:r>
        <w:rPr>
          <w:rFonts w:hint="default" w:ascii="Times New Roman" w:hAnsi="Times New Roman" w:cs="Times New Roman"/>
          <w:color w:val="auto"/>
          <w:spacing w:val="4"/>
          <w:sz w:val="22"/>
          <w:highlight w:val="none"/>
        </w:rPr>
        <w:t>法人或</w:t>
      </w:r>
      <w:r>
        <w:rPr>
          <w:rFonts w:hint="default" w:ascii="Times New Roman" w:hAnsi="Times New Roman" w:cs="Times New Roman"/>
          <w:color w:val="auto"/>
          <w:spacing w:val="4"/>
          <w:sz w:val="22"/>
          <w:highlight w:val="none"/>
          <w:lang w:val="en-US" w:eastAsia="zh-CN"/>
        </w:rPr>
        <w:t>被</w:t>
      </w:r>
      <w:r>
        <w:rPr>
          <w:rFonts w:hint="default" w:ascii="Times New Roman" w:hAnsi="Times New Roman" w:cs="Times New Roman"/>
          <w:color w:val="auto"/>
          <w:spacing w:val="4"/>
          <w:sz w:val="22"/>
          <w:highlight w:val="none"/>
        </w:rPr>
        <w:t>授权</w:t>
      </w:r>
      <w:r>
        <w:rPr>
          <w:rFonts w:hint="default" w:ascii="Times New Roman" w:hAnsi="Times New Roman" w:cs="Times New Roman"/>
          <w:color w:val="auto"/>
          <w:spacing w:val="4"/>
          <w:sz w:val="22"/>
          <w:highlight w:val="none"/>
          <w:lang w:val="en-US" w:eastAsia="zh-CN"/>
        </w:rPr>
        <w:t>人</w:t>
      </w:r>
      <w:r>
        <w:rPr>
          <w:rFonts w:hint="default" w:ascii="Times New Roman" w:hAnsi="Times New Roman" w:cs="Times New Roman"/>
          <w:color w:val="auto"/>
          <w:spacing w:val="4"/>
          <w:sz w:val="22"/>
          <w:highlight w:val="none"/>
        </w:rPr>
        <w:t>：（</w:t>
      </w:r>
      <w:r>
        <w:rPr>
          <w:rFonts w:hint="default" w:ascii="Times New Roman" w:hAnsi="Times New Roman" w:cs="Times New Roman"/>
          <w:color w:val="auto"/>
          <w:spacing w:val="4"/>
          <w:sz w:val="22"/>
          <w:highlight w:val="none"/>
          <w:lang w:eastAsia="zh-CN"/>
        </w:rPr>
        <w:t>签字或</w:t>
      </w:r>
      <w:r>
        <w:rPr>
          <w:rFonts w:hint="default" w:ascii="Times New Roman" w:hAnsi="Times New Roman" w:cs="Times New Roman"/>
          <w:color w:val="auto"/>
          <w:spacing w:val="4"/>
          <w:sz w:val="22"/>
          <w:highlight w:val="none"/>
        </w:rPr>
        <w:t>盖章）</w:t>
      </w:r>
    </w:p>
    <w:p>
      <w:pPr>
        <w:widowControl/>
        <w:spacing w:line="400" w:lineRule="exact"/>
        <w:ind w:firstLine="4410" w:firstLineChars="2100"/>
        <w:rPr>
          <w:rFonts w:hint="default" w:ascii="Times New Roman" w:hAnsi="Times New Roman" w:cs="Times New Roman"/>
          <w:color w:val="auto"/>
          <w:kern w:val="0"/>
          <w:highlight w:val="none"/>
          <w:lang w:val="en-US" w:eastAsia="zh-CN"/>
        </w:rPr>
      </w:pPr>
      <w:r>
        <w:rPr>
          <w:rFonts w:hint="default" w:ascii="Times New Roman" w:hAnsi="Times New Roman" w:cs="Times New Roman"/>
          <w:color w:val="auto"/>
          <w:kern w:val="0"/>
          <w:highlight w:val="none"/>
          <w:lang w:eastAsia="zh-CN"/>
        </w:rPr>
        <w:t>投标供应商</w:t>
      </w:r>
      <w:r>
        <w:rPr>
          <w:rFonts w:hint="default" w:ascii="Times New Roman" w:hAnsi="Times New Roman" w:cs="Times New Roman"/>
          <w:color w:val="auto"/>
          <w:kern w:val="0"/>
          <w:sz w:val="22"/>
          <w:highlight w:val="none"/>
          <w:lang w:eastAsia="zh-CN"/>
        </w:rPr>
        <w:t>（</w:t>
      </w:r>
      <w:r>
        <w:rPr>
          <w:rFonts w:hint="default" w:ascii="Times New Roman" w:hAnsi="Times New Roman" w:cs="Times New Roman"/>
          <w:color w:val="auto"/>
          <w:kern w:val="0"/>
          <w:sz w:val="22"/>
          <w:highlight w:val="none"/>
        </w:rPr>
        <w:t>公章</w:t>
      </w:r>
      <w:r>
        <w:rPr>
          <w:rFonts w:hint="default" w:ascii="Times New Roman" w:hAnsi="Times New Roman" w:cs="Times New Roman"/>
          <w:color w:val="auto"/>
          <w:kern w:val="0"/>
          <w:sz w:val="22"/>
          <w:highlight w:val="none"/>
          <w:lang w:eastAsia="zh-CN"/>
        </w:rPr>
        <w:t>）：</w:t>
      </w:r>
    </w:p>
    <w:p>
      <w:pPr>
        <w:widowControl/>
        <w:spacing w:line="400" w:lineRule="exact"/>
        <w:ind w:firstLine="4200" w:firstLineChars="2000"/>
        <w:rPr>
          <w:rFonts w:hint="default" w:ascii="Times New Roman" w:hAnsi="Times New Roman" w:cs="Times New Roman"/>
          <w:color w:val="auto"/>
          <w:kern w:val="0"/>
          <w:highlight w:val="none"/>
        </w:rPr>
      </w:pPr>
      <w:r>
        <w:rPr>
          <w:rFonts w:hint="default" w:ascii="Times New Roman" w:hAnsi="Times New Roman" w:cs="Times New Roman"/>
          <w:color w:val="auto"/>
          <w:kern w:val="0"/>
          <w:highlight w:val="none"/>
          <w:lang w:val="en-US" w:eastAsia="zh-CN"/>
        </w:rPr>
        <w:t xml:space="preserve">  </w:t>
      </w:r>
      <w:r>
        <w:rPr>
          <w:rFonts w:hint="default" w:ascii="Times New Roman" w:hAnsi="Times New Roman" w:cs="Times New Roman"/>
          <w:color w:val="auto"/>
          <w:kern w:val="0"/>
          <w:highlight w:val="none"/>
        </w:rPr>
        <w:t>日期：</w:t>
      </w:r>
    </w:p>
    <w:p>
      <w:pPr>
        <w:rPr>
          <w:rFonts w:hint="default" w:ascii="Times New Roman" w:hAnsi="Times New Roman" w:cs="Times New Roman"/>
          <w:color w:val="auto"/>
          <w:spacing w:val="4"/>
          <w:sz w:val="22"/>
          <w:highlight w:val="none"/>
        </w:rPr>
      </w:pPr>
      <w:r>
        <w:rPr>
          <w:rFonts w:hint="default" w:ascii="Times New Roman" w:hAnsi="Times New Roman" w:cs="Times New Roman"/>
          <w:color w:val="auto"/>
          <w:spacing w:val="4"/>
          <w:sz w:val="22"/>
          <w:highlight w:val="none"/>
        </w:rPr>
        <w:br w:type="page"/>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eastAsia="宋体" w:asciiTheme="minorEastAsia" w:hAnsiTheme="minorEastAsia"/>
          <w:b/>
          <w:kern w:val="0"/>
          <w:szCs w:val="21"/>
          <w:highlight w:val="none"/>
          <w:lang w:val="en-US" w:eastAsia="zh-CN"/>
        </w:rPr>
      </w:pPr>
      <w:r>
        <w:rPr>
          <w:rFonts w:hint="eastAsia" w:ascii="Times New Roman" w:hAnsi="Times New Roman" w:cs="Times New Roman"/>
          <w:color w:val="auto"/>
          <w:sz w:val="24"/>
          <w:szCs w:val="24"/>
          <w:highlight w:val="none"/>
          <w:lang w:val="en-US" w:eastAsia="zh-CN"/>
        </w:rPr>
        <w:t xml:space="preserve">                        </w:t>
      </w:r>
      <w:r>
        <w:rPr>
          <w:rFonts w:hint="eastAsia" w:asciiTheme="minorEastAsia" w:hAnsiTheme="minorEastAsia" w:eastAsiaTheme="minorEastAsia"/>
          <w:b/>
          <w:kern w:val="0"/>
          <w:szCs w:val="21"/>
          <w:highlight w:val="none"/>
          <w:lang w:val="en-US" w:eastAsia="zh-CN"/>
        </w:rPr>
        <w:t>谈判报价表</w:t>
      </w:r>
    </w:p>
    <w:p>
      <w:pPr>
        <w:kinsoku w:val="0"/>
        <w:spacing w:line="500" w:lineRule="exact"/>
        <w:ind w:firstLine="105" w:firstLineChars="50"/>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项目名称：</w:t>
      </w:r>
    </w:p>
    <w:p>
      <w:pPr>
        <w:kinsoku w:val="0"/>
        <w:spacing w:line="500" w:lineRule="exact"/>
        <w:ind w:firstLine="105" w:firstLineChars="50"/>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项目编号：</w:t>
      </w:r>
    </w:p>
    <w:p>
      <w:pPr>
        <w:kinsoku w:val="0"/>
        <w:spacing w:line="500" w:lineRule="exact"/>
        <w:ind w:firstLine="105" w:firstLineChars="50"/>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投标人：                                                      单位：元</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6"/>
        <w:gridCol w:w="1522"/>
        <w:gridCol w:w="1522"/>
        <w:gridCol w:w="1522"/>
        <w:gridCol w:w="1522"/>
        <w:gridCol w:w="1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3" w:hRule="atLeast"/>
          <w:jc w:val="center"/>
        </w:trPr>
        <w:tc>
          <w:tcPr>
            <w:tcW w:w="1676" w:type="dxa"/>
            <w:tcBorders>
              <w:tl2br w:val="single" w:color="auto" w:sz="4" w:space="0"/>
            </w:tcBorders>
          </w:tcPr>
          <w:p>
            <w:pPr>
              <w:kinsoku w:val="0"/>
              <w:spacing w:line="500" w:lineRule="exact"/>
              <w:ind w:firstLine="420" w:firstLineChars="200"/>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报价内容</w:t>
            </w:r>
          </w:p>
          <w:p>
            <w:pPr>
              <w:kinsoku w:val="0"/>
              <w:spacing w:line="500" w:lineRule="exact"/>
              <w:rPr>
                <w:rFonts w:asciiTheme="minorEastAsia" w:hAnsiTheme="minorEastAsia" w:eastAsiaTheme="minorEastAsia"/>
                <w:kern w:val="0"/>
                <w:szCs w:val="21"/>
                <w:highlight w:val="none"/>
              </w:rPr>
            </w:pPr>
          </w:p>
          <w:p>
            <w:pPr>
              <w:kinsoku w:val="0"/>
              <w:spacing w:line="50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投标内容</w:t>
            </w:r>
          </w:p>
        </w:tc>
        <w:tc>
          <w:tcPr>
            <w:tcW w:w="1522" w:type="dxa"/>
            <w:vAlign w:val="center"/>
          </w:tcPr>
          <w:p>
            <w:pPr>
              <w:kinsoku w:val="0"/>
              <w:spacing w:line="50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产品</w:t>
            </w:r>
          </w:p>
          <w:p>
            <w:pPr>
              <w:kinsoku w:val="0"/>
              <w:spacing w:line="50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报价</w:t>
            </w:r>
          </w:p>
        </w:tc>
        <w:tc>
          <w:tcPr>
            <w:tcW w:w="1522" w:type="dxa"/>
            <w:vAlign w:val="center"/>
          </w:tcPr>
          <w:p>
            <w:pPr>
              <w:kinsoku w:val="0"/>
              <w:spacing w:line="50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其它</w:t>
            </w:r>
          </w:p>
          <w:p>
            <w:pPr>
              <w:kinsoku w:val="0"/>
              <w:spacing w:line="50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费用</w:t>
            </w:r>
          </w:p>
        </w:tc>
        <w:tc>
          <w:tcPr>
            <w:tcW w:w="1522" w:type="dxa"/>
            <w:vAlign w:val="center"/>
          </w:tcPr>
          <w:p>
            <w:pPr>
              <w:kinsoku w:val="0"/>
              <w:spacing w:line="50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总计</w:t>
            </w:r>
          </w:p>
        </w:tc>
        <w:tc>
          <w:tcPr>
            <w:tcW w:w="1522" w:type="dxa"/>
            <w:vAlign w:val="center"/>
          </w:tcPr>
          <w:p>
            <w:pPr>
              <w:kinsoku w:val="0"/>
              <w:spacing w:line="500" w:lineRule="exact"/>
              <w:ind w:firstLine="37" w:firstLineChars="18"/>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交货期</w:t>
            </w:r>
          </w:p>
        </w:tc>
        <w:tc>
          <w:tcPr>
            <w:tcW w:w="1522" w:type="dxa"/>
            <w:vAlign w:val="center"/>
          </w:tcPr>
          <w:p>
            <w:pPr>
              <w:kinsoku w:val="0"/>
              <w:spacing w:line="50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质保期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1676" w:type="dxa"/>
            <w:vAlign w:val="center"/>
          </w:tcPr>
          <w:p>
            <w:pPr>
              <w:kinsoku w:val="0"/>
              <w:spacing w:line="500" w:lineRule="exact"/>
              <w:jc w:val="center"/>
              <w:rPr>
                <w:rFonts w:asciiTheme="minorEastAsia" w:hAnsiTheme="minorEastAsia" w:eastAsiaTheme="minorEastAsia"/>
                <w:kern w:val="0"/>
                <w:szCs w:val="21"/>
                <w:highlight w:val="none"/>
              </w:rPr>
            </w:pPr>
          </w:p>
        </w:tc>
        <w:tc>
          <w:tcPr>
            <w:tcW w:w="1522" w:type="dxa"/>
            <w:vAlign w:val="center"/>
          </w:tcPr>
          <w:p>
            <w:pPr>
              <w:kinsoku w:val="0"/>
              <w:spacing w:line="500" w:lineRule="exact"/>
              <w:jc w:val="center"/>
              <w:rPr>
                <w:rFonts w:asciiTheme="minorEastAsia" w:hAnsiTheme="minorEastAsia" w:eastAsiaTheme="minorEastAsia"/>
                <w:kern w:val="0"/>
                <w:szCs w:val="21"/>
                <w:highlight w:val="none"/>
              </w:rPr>
            </w:pPr>
          </w:p>
        </w:tc>
        <w:tc>
          <w:tcPr>
            <w:tcW w:w="1522" w:type="dxa"/>
            <w:vAlign w:val="center"/>
          </w:tcPr>
          <w:p>
            <w:pPr>
              <w:kinsoku w:val="0"/>
              <w:spacing w:line="500" w:lineRule="exact"/>
              <w:jc w:val="center"/>
              <w:rPr>
                <w:rFonts w:asciiTheme="minorEastAsia" w:hAnsiTheme="minorEastAsia" w:eastAsiaTheme="minorEastAsia"/>
                <w:kern w:val="0"/>
                <w:szCs w:val="21"/>
                <w:highlight w:val="none"/>
              </w:rPr>
            </w:pPr>
          </w:p>
        </w:tc>
        <w:tc>
          <w:tcPr>
            <w:tcW w:w="1522" w:type="dxa"/>
            <w:vAlign w:val="center"/>
          </w:tcPr>
          <w:p>
            <w:pPr>
              <w:kinsoku w:val="0"/>
              <w:spacing w:line="500" w:lineRule="exact"/>
              <w:rPr>
                <w:rFonts w:asciiTheme="minorEastAsia" w:hAnsiTheme="minorEastAsia" w:eastAsiaTheme="minorEastAsia"/>
                <w:kern w:val="0"/>
                <w:szCs w:val="21"/>
                <w:highlight w:val="none"/>
              </w:rPr>
            </w:pPr>
          </w:p>
        </w:tc>
        <w:tc>
          <w:tcPr>
            <w:tcW w:w="1522" w:type="dxa"/>
            <w:vAlign w:val="center"/>
          </w:tcPr>
          <w:p>
            <w:pPr>
              <w:kinsoku w:val="0"/>
              <w:spacing w:line="500" w:lineRule="exact"/>
              <w:jc w:val="center"/>
              <w:rPr>
                <w:rFonts w:asciiTheme="minorEastAsia" w:hAnsiTheme="minorEastAsia" w:eastAsiaTheme="minorEastAsia"/>
                <w:kern w:val="0"/>
                <w:szCs w:val="21"/>
                <w:highlight w:val="none"/>
              </w:rPr>
            </w:pPr>
          </w:p>
        </w:tc>
        <w:tc>
          <w:tcPr>
            <w:tcW w:w="1522" w:type="dxa"/>
            <w:vAlign w:val="center"/>
          </w:tcPr>
          <w:p>
            <w:pPr>
              <w:kinsoku w:val="0"/>
              <w:spacing w:line="500" w:lineRule="exact"/>
              <w:jc w:val="center"/>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286" w:type="dxa"/>
            <w:gridSpan w:val="6"/>
            <w:vAlign w:val="center"/>
          </w:tcPr>
          <w:p>
            <w:pPr>
              <w:kinsoku w:val="0"/>
              <w:spacing w:line="50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投标总报价：人民币（大写）                                 ￥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9286" w:type="dxa"/>
            <w:gridSpan w:val="6"/>
            <w:vAlign w:val="center"/>
          </w:tcPr>
          <w:p>
            <w:pPr>
              <w:kinsoku w:val="0"/>
              <w:spacing w:line="50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备注：表内报价内容以元为单位，保留小数点后两位。</w:t>
            </w:r>
          </w:p>
        </w:tc>
      </w:tr>
    </w:tbl>
    <w:p>
      <w:pPr>
        <w:kinsoku w:val="0"/>
        <w:spacing w:line="500" w:lineRule="exact"/>
        <w:rPr>
          <w:rFonts w:asciiTheme="minorEastAsia" w:hAnsiTheme="minorEastAsia" w:eastAsiaTheme="minorEastAsia"/>
          <w:kern w:val="0"/>
          <w:szCs w:val="21"/>
          <w:highlight w:val="none"/>
        </w:rPr>
      </w:pPr>
    </w:p>
    <w:p>
      <w:pPr>
        <w:kinsoku w:val="0"/>
        <w:spacing w:line="500" w:lineRule="exact"/>
        <w:rPr>
          <w:rFonts w:asciiTheme="minorEastAsia" w:hAnsiTheme="minorEastAsia" w:eastAsiaTheme="minorEastAsia"/>
          <w:kern w:val="0"/>
          <w:szCs w:val="21"/>
          <w:highlight w:val="none"/>
        </w:rPr>
      </w:pPr>
    </w:p>
    <w:p>
      <w:pPr>
        <w:kinsoku w:val="0"/>
        <w:spacing w:line="500" w:lineRule="exact"/>
        <w:rPr>
          <w:rFonts w:asciiTheme="minorEastAsia" w:hAnsiTheme="minorEastAsia" w:eastAsiaTheme="minorEastAsia"/>
          <w:kern w:val="0"/>
          <w:szCs w:val="21"/>
          <w:highlight w:val="none"/>
        </w:rPr>
      </w:pPr>
    </w:p>
    <w:p>
      <w:pPr>
        <w:kinsoku w:val="0"/>
        <w:spacing w:line="50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 xml:space="preserve">投标人（公章）：                        </w:t>
      </w:r>
    </w:p>
    <w:p>
      <w:pPr>
        <w:kinsoku w:val="0"/>
        <w:spacing w:line="500" w:lineRule="exact"/>
        <w:rPr>
          <w:rFonts w:asciiTheme="minorEastAsia" w:hAnsiTheme="minorEastAsia" w:eastAsiaTheme="minorEastAsia"/>
          <w:kern w:val="0"/>
          <w:szCs w:val="21"/>
          <w:highlight w:val="none"/>
        </w:rPr>
      </w:pPr>
    </w:p>
    <w:p>
      <w:pPr>
        <w:kinsoku w:val="0"/>
        <w:spacing w:line="50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法定代表人或被授权人（签字或盖章）：</w:t>
      </w:r>
    </w:p>
    <w:p>
      <w:pPr>
        <w:pStyle w:val="3"/>
        <w:rPr>
          <w:rFonts w:asciiTheme="minorEastAsia" w:hAnsiTheme="minorEastAsia" w:eastAsiaTheme="minorEastAsia"/>
          <w:color w:val="auto"/>
          <w:kern w:val="0"/>
          <w:sz w:val="21"/>
          <w:szCs w:val="21"/>
          <w:highlight w:val="none"/>
        </w:rPr>
      </w:pPr>
    </w:p>
    <w:p>
      <w:pPr>
        <w:kinsoku w:val="0"/>
        <w:spacing w:line="500" w:lineRule="exact"/>
        <w:ind w:firstLine="570"/>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 xml:space="preserve">                                         年   月   日</w:t>
      </w:r>
    </w:p>
    <w:p>
      <w:pPr>
        <w:rPr>
          <w:rFonts w:asciiTheme="minorEastAsia" w:hAnsiTheme="minorEastAsia" w:eastAsiaTheme="minorEastAsia"/>
          <w:kern w:val="0"/>
          <w:szCs w:val="21"/>
          <w:highlight w:val="none"/>
        </w:rPr>
      </w:pPr>
    </w:p>
    <w:p>
      <w:pPr>
        <w:pStyle w:val="5"/>
        <w:rPr>
          <w:rFonts w:asciiTheme="minorEastAsia" w:hAnsiTheme="minorEastAsia" w:eastAsiaTheme="minorEastAsia"/>
          <w:color w:val="000000"/>
          <w:sz w:val="18"/>
          <w:szCs w:val="18"/>
          <w:highlight w:val="none"/>
        </w:rPr>
      </w:pPr>
      <w:r>
        <w:rPr>
          <w:rFonts w:cs="Times New Roman" w:asciiTheme="minorEastAsia" w:hAnsiTheme="minorEastAsia" w:eastAsiaTheme="minorEastAsia"/>
          <w:color w:val="000000"/>
          <w:sz w:val="18"/>
          <w:szCs w:val="18"/>
          <w:highlight w:val="none"/>
        </w:rPr>
        <w:br w:type="page"/>
      </w:r>
      <w:r>
        <w:rPr>
          <w:rFonts w:hint="eastAsia" w:cs="Times New Roman" w:asciiTheme="minorEastAsia" w:hAnsiTheme="minorEastAsia" w:eastAsiaTheme="minorEastAsia"/>
          <w:kern w:val="0"/>
          <w:highlight w:val="none"/>
        </w:rPr>
        <w:t>附表1</w:t>
      </w:r>
    </w:p>
    <w:p>
      <w:pPr>
        <w:ind w:firstLine="3689" w:firstLineChars="1750"/>
        <w:rPr>
          <w:rFonts w:asciiTheme="minorEastAsia" w:hAnsiTheme="minorEastAsia" w:eastAsiaTheme="minorEastAsia"/>
          <w:b/>
          <w:kern w:val="0"/>
          <w:szCs w:val="21"/>
          <w:highlight w:val="none"/>
        </w:rPr>
      </w:pPr>
      <w:r>
        <w:rPr>
          <w:rFonts w:hint="eastAsia" w:asciiTheme="minorEastAsia" w:hAnsiTheme="minorEastAsia" w:eastAsiaTheme="minorEastAsia"/>
          <w:b/>
          <w:kern w:val="0"/>
          <w:szCs w:val="21"/>
          <w:highlight w:val="none"/>
        </w:rPr>
        <w:t>产品分项报价表</w:t>
      </w: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项目名称：                                             </w:t>
      </w: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投标人：                                                共   页，第   页</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1673"/>
        <w:gridCol w:w="964"/>
        <w:gridCol w:w="1254"/>
        <w:gridCol w:w="1025"/>
        <w:gridCol w:w="1025"/>
        <w:gridCol w:w="1025"/>
        <w:gridCol w:w="791"/>
        <w:gridCol w:w="10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4" w:hRule="atLeast"/>
          <w:jc w:val="center"/>
        </w:trPr>
        <w:tc>
          <w:tcPr>
            <w:tcW w:w="500"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序号</w:t>
            </w:r>
          </w:p>
        </w:tc>
        <w:tc>
          <w:tcPr>
            <w:tcW w:w="1673"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产品名称</w:t>
            </w:r>
          </w:p>
        </w:tc>
        <w:tc>
          <w:tcPr>
            <w:tcW w:w="964"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品牌</w:t>
            </w:r>
          </w:p>
        </w:tc>
        <w:tc>
          <w:tcPr>
            <w:tcW w:w="1254"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规格型号</w:t>
            </w:r>
          </w:p>
        </w:tc>
        <w:tc>
          <w:tcPr>
            <w:tcW w:w="1025"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产地</w:t>
            </w:r>
          </w:p>
        </w:tc>
        <w:tc>
          <w:tcPr>
            <w:tcW w:w="1025"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单位</w:t>
            </w:r>
          </w:p>
        </w:tc>
        <w:tc>
          <w:tcPr>
            <w:tcW w:w="1025"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数量</w:t>
            </w:r>
          </w:p>
        </w:tc>
        <w:tc>
          <w:tcPr>
            <w:tcW w:w="791"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单价(元)</w:t>
            </w:r>
          </w:p>
        </w:tc>
        <w:tc>
          <w:tcPr>
            <w:tcW w:w="1029"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0"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1</w:t>
            </w:r>
          </w:p>
        </w:tc>
        <w:tc>
          <w:tcPr>
            <w:tcW w:w="1673" w:type="dxa"/>
            <w:vAlign w:val="center"/>
          </w:tcPr>
          <w:p>
            <w:pPr>
              <w:pStyle w:val="5"/>
              <w:rPr>
                <w:rFonts w:cs="Times New Roman" w:asciiTheme="minorEastAsia" w:hAnsiTheme="minorEastAsia" w:eastAsiaTheme="minorEastAsia"/>
                <w:kern w:val="0"/>
                <w:highlight w:val="none"/>
              </w:rPr>
            </w:pPr>
          </w:p>
        </w:tc>
        <w:tc>
          <w:tcPr>
            <w:tcW w:w="964" w:type="dxa"/>
            <w:vAlign w:val="center"/>
          </w:tcPr>
          <w:p>
            <w:pPr>
              <w:pStyle w:val="5"/>
              <w:rPr>
                <w:rFonts w:cs="Times New Roman" w:asciiTheme="minorEastAsia" w:hAnsiTheme="minorEastAsia" w:eastAsiaTheme="minorEastAsia"/>
                <w:kern w:val="0"/>
                <w:highlight w:val="none"/>
              </w:rPr>
            </w:pPr>
          </w:p>
        </w:tc>
        <w:tc>
          <w:tcPr>
            <w:tcW w:w="1254" w:type="dxa"/>
            <w:vAlign w:val="center"/>
          </w:tcPr>
          <w:p>
            <w:pPr>
              <w:pStyle w:val="5"/>
              <w:rPr>
                <w:rFonts w:cs="Times New Roman" w:asciiTheme="minorEastAsia" w:hAnsiTheme="minorEastAsia" w:eastAsiaTheme="minorEastAsia"/>
                <w:kern w:val="0"/>
                <w:highlight w:val="none"/>
              </w:rPr>
            </w:pPr>
          </w:p>
        </w:tc>
        <w:tc>
          <w:tcPr>
            <w:tcW w:w="1025" w:type="dxa"/>
            <w:vAlign w:val="center"/>
          </w:tcPr>
          <w:p>
            <w:pPr>
              <w:pStyle w:val="5"/>
              <w:rPr>
                <w:rFonts w:cs="Times New Roman" w:asciiTheme="minorEastAsia" w:hAnsiTheme="minorEastAsia" w:eastAsiaTheme="minorEastAsia"/>
                <w:kern w:val="0"/>
                <w:highlight w:val="none"/>
              </w:rPr>
            </w:pPr>
          </w:p>
        </w:tc>
        <w:tc>
          <w:tcPr>
            <w:tcW w:w="1025" w:type="dxa"/>
            <w:vAlign w:val="center"/>
          </w:tcPr>
          <w:p>
            <w:pPr>
              <w:pStyle w:val="5"/>
              <w:rPr>
                <w:rFonts w:cs="Times New Roman" w:asciiTheme="minorEastAsia" w:hAnsiTheme="minorEastAsia" w:eastAsiaTheme="minorEastAsia"/>
                <w:kern w:val="0"/>
                <w:highlight w:val="none"/>
              </w:rPr>
            </w:pPr>
          </w:p>
        </w:tc>
        <w:tc>
          <w:tcPr>
            <w:tcW w:w="1025" w:type="dxa"/>
            <w:vAlign w:val="center"/>
          </w:tcPr>
          <w:p>
            <w:pPr>
              <w:pStyle w:val="5"/>
              <w:rPr>
                <w:rFonts w:cs="Times New Roman" w:asciiTheme="minorEastAsia" w:hAnsiTheme="minorEastAsia" w:eastAsiaTheme="minorEastAsia"/>
                <w:kern w:val="0"/>
                <w:highlight w:val="none"/>
              </w:rPr>
            </w:pPr>
          </w:p>
        </w:tc>
        <w:tc>
          <w:tcPr>
            <w:tcW w:w="791" w:type="dxa"/>
            <w:vAlign w:val="center"/>
          </w:tcPr>
          <w:p>
            <w:pPr>
              <w:pStyle w:val="5"/>
              <w:rPr>
                <w:rFonts w:cs="Times New Roman" w:asciiTheme="minorEastAsia" w:hAnsiTheme="minorEastAsia" w:eastAsiaTheme="minorEastAsia"/>
                <w:kern w:val="0"/>
                <w:highlight w:val="none"/>
              </w:rPr>
            </w:pPr>
          </w:p>
        </w:tc>
        <w:tc>
          <w:tcPr>
            <w:tcW w:w="1029" w:type="dxa"/>
            <w:vAlign w:val="center"/>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0"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w:t>
            </w:r>
          </w:p>
        </w:tc>
        <w:tc>
          <w:tcPr>
            <w:tcW w:w="1673" w:type="dxa"/>
            <w:vAlign w:val="center"/>
          </w:tcPr>
          <w:p>
            <w:pPr>
              <w:pStyle w:val="5"/>
              <w:rPr>
                <w:rFonts w:cs="Times New Roman" w:asciiTheme="minorEastAsia" w:hAnsiTheme="minorEastAsia" w:eastAsiaTheme="minorEastAsia"/>
                <w:kern w:val="0"/>
                <w:highlight w:val="none"/>
              </w:rPr>
            </w:pPr>
          </w:p>
        </w:tc>
        <w:tc>
          <w:tcPr>
            <w:tcW w:w="964" w:type="dxa"/>
            <w:vAlign w:val="center"/>
          </w:tcPr>
          <w:p>
            <w:pPr>
              <w:pStyle w:val="5"/>
              <w:rPr>
                <w:rFonts w:cs="Times New Roman" w:asciiTheme="minorEastAsia" w:hAnsiTheme="minorEastAsia" w:eastAsiaTheme="minorEastAsia"/>
                <w:kern w:val="0"/>
                <w:highlight w:val="none"/>
              </w:rPr>
            </w:pPr>
          </w:p>
        </w:tc>
        <w:tc>
          <w:tcPr>
            <w:tcW w:w="1254" w:type="dxa"/>
            <w:vAlign w:val="center"/>
          </w:tcPr>
          <w:p>
            <w:pPr>
              <w:pStyle w:val="5"/>
              <w:rPr>
                <w:rFonts w:cs="Times New Roman" w:asciiTheme="minorEastAsia" w:hAnsiTheme="minorEastAsia" w:eastAsiaTheme="minorEastAsia"/>
                <w:kern w:val="0"/>
                <w:highlight w:val="none"/>
              </w:rPr>
            </w:pPr>
          </w:p>
        </w:tc>
        <w:tc>
          <w:tcPr>
            <w:tcW w:w="1025" w:type="dxa"/>
            <w:vAlign w:val="center"/>
          </w:tcPr>
          <w:p>
            <w:pPr>
              <w:pStyle w:val="5"/>
              <w:rPr>
                <w:rFonts w:cs="Times New Roman" w:asciiTheme="minorEastAsia" w:hAnsiTheme="minorEastAsia" w:eastAsiaTheme="minorEastAsia"/>
                <w:kern w:val="0"/>
                <w:highlight w:val="none"/>
              </w:rPr>
            </w:pPr>
          </w:p>
        </w:tc>
        <w:tc>
          <w:tcPr>
            <w:tcW w:w="1025" w:type="dxa"/>
            <w:vAlign w:val="center"/>
          </w:tcPr>
          <w:p>
            <w:pPr>
              <w:pStyle w:val="5"/>
              <w:rPr>
                <w:rFonts w:cs="Times New Roman" w:asciiTheme="minorEastAsia" w:hAnsiTheme="minorEastAsia" w:eastAsiaTheme="minorEastAsia"/>
                <w:kern w:val="0"/>
                <w:highlight w:val="none"/>
              </w:rPr>
            </w:pPr>
          </w:p>
        </w:tc>
        <w:tc>
          <w:tcPr>
            <w:tcW w:w="1025" w:type="dxa"/>
            <w:vAlign w:val="center"/>
          </w:tcPr>
          <w:p>
            <w:pPr>
              <w:pStyle w:val="5"/>
              <w:rPr>
                <w:rFonts w:cs="Times New Roman" w:asciiTheme="minorEastAsia" w:hAnsiTheme="minorEastAsia" w:eastAsiaTheme="minorEastAsia"/>
                <w:kern w:val="0"/>
                <w:highlight w:val="none"/>
              </w:rPr>
            </w:pPr>
          </w:p>
        </w:tc>
        <w:tc>
          <w:tcPr>
            <w:tcW w:w="791" w:type="dxa"/>
            <w:vAlign w:val="center"/>
          </w:tcPr>
          <w:p>
            <w:pPr>
              <w:pStyle w:val="5"/>
              <w:rPr>
                <w:rFonts w:cs="Times New Roman" w:asciiTheme="minorEastAsia" w:hAnsiTheme="minorEastAsia" w:eastAsiaTheme="minorEastAsia"/>
                <w:kern w:val="0"/>
                <w:highlight w:val="none"/>
              </w:rPr>
            </w:pPr>
          </w:p>
        </w:tc>
        <w:tc>
          <w:tcPr>
            <w:tcW w:w="1029" w:type="dxa"/>
            <w:vAlign w:val="center"/>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0"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N</w:t>
            </w:r>
          </w:p>
        </w:tc>
        <w:tc>
          <w:tcPr>
            <w:tcW w:w="1673" w:type="dxa"/>
            <w:vAlign w:val="center"/>
          </w:tcPr>
          <w:p>
            <w:pPr>
              <w:pStyle w:val="5"/>
              <w:rPr>
                <w:rFonts w:cs="Times New Roman" w:asciiTheme="minorEastAsia" w:hAnsiTheme="minorEastAsia" w:eastAsiaTheme="minorEastAsia"/>
                <w:kern w:val="0"/>
                <w:highlight w:val="none"/>
              </w:rPr>
            </w:pPr>
          </w:p>
        </w:tc>
        <w:tc>
          <w:tcPr>
            <w:tcW w:w="964" w:type="dxa"/>
            <w:vAlign w:val="center"/>
          </w:tcPr>
          <w:p>
            <w:pPr>
              <w:pStyle w:val="5"/>
              <w:rPr>
                <w:rFonts w:cs="Times New Roman" w:asciiTheme="minorEastAsia" w:hAnsiTheme="minorEastAsia" w:eastAsiaTheme="minorEastAsia"/>
                <w:kern w:val="0"/>
                <w:highlight w:val="none"/>
              </w:rPr>
            </w:pPr>
          </w:p>
        </w:tc>
        <w:tc>
          <w:tcPr>
            <w:tcW w:w="1254" w:type="dxa"/>
            <w:vAlign w:val="center"/>
          </w:tcPr>
          <w:p>
            <w:pPr>
              <w:pStyle w:val="5"/>
              <w:rPr>
                <w:rFonts w:cs="Times New Roman" w:asciiTheme="minorEastAsia" w:hAnsiTheme="minorEastAsia" w:eastAsiaTheme="minorEastAsia"/>
                <w:kern w:val="0"/>
                <w:highlight w:val="none"/>
              </w:rPr>
            </w:pPr>
          </w:p>
        </w:tc>
        <w:tc>
          <w:tcPr>
            <w:tcW w:w="1025" w:type="dxa"/>
            <w:vAlign w:val="center"/>
          </w:tcPr>
          <w:p>
            <w:pPr>
              <w:pStyle w:val="5"/>
              <w:rPr>
                <w:rFonts w:cs="Times New Roman" w:asciiTheme="minorEastAsia" w:hAnsiTheme="minorEastAsia" w:eastAsiaTheme="minorEastAsia"/>
                <w:kern w:val="0"/>
                <w:highlight w:val="none"/>
              </w:rPr>
            </w:pPr>
          </w:p>
        </w:tc>
        <w:tc>
          <w:tcPr>
            <w:tcW w:w="1025" w:type="dxa"/>
            <w:vAlign w:val="center"/>
          </w:tcPr>
          <w:p>
            <w:pPr>
              <w:pStyle w:val="5"/>
              <w:rPr>
                <w:rFonts w:cs="Times New Roman" w:asciiTheme="minorEastAsia" w:hAnsiTheme="minorEastAsia" w:eastAsiaTheme="minorEastAsia"/>
                <w:kern w:val="0"/>
                <w:highlight w:val="none"/>
              </w:rPr>
            </w:pPr>
          </w:p>
        </w:tc>
        <w:tc>
          <w:tcPr>
            <w:tcW w:w="1025" w:type="dxa"/>
            <w:vAlign w:val="center"/>
          </w:tcPr>
          <w:p>
            <w:pPr>
              <w:pStyle w:val="5"/>
              <w:rPr>
                <w:rFonts w:cs="Times New Roman" w:asciiTheme="minorEastAsia" w:hAnsiTheme="minorEastAsia" w:eastAsiaTheme="minorEastAsia"/>
                <w:kern w:val="0"/>
                <w:highlight w:val="none"/>
              </w:rPr>
            </w:pPr>
          </w:p>
        </w:tc>
        <w:tc>
          <w:tcPr>
            <w:tcW w:w="791" w:type="dxa"/>
            <w:vAlign w:val="center"/>
          </w:tcPr>
          <w:p>
            <w:pPr>
              <w:pStyle w:val="5"/>
              <w:rPr>
                <w:rFonts w:cs="Times New Roman" w:asciiTheme="minorEastAsia" w:hAnsiTheme="minorEastAsia" w:eastAsiaTheme="minorEastAsia"/>
                <w:kern w:val="0"/>
                <w:highlight w:val="none"/>
              </w:rPr>
            </w:pPr>
          </w:p>
        </w:tc>
        <w:tc>
          <w:tcPr>
            <w:tcW w:w="1029" w:type="dxa"/>
            <w:vAlign w:val="center"/>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9286" w:type="dxa"/>
            <w:gridSpan w:val="9"/>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总报价（人民币大写）：                                      （￥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9286" w:type="dxa"/>
            <w:gridSpan w:val="9"/>
            <w:tcBorders>
              <w:top w:val="single" w:color="auto" w:sz="4" w:space="0"/>
              <w:left w:val="single" w:color="auto" w:sz="4" w:space="0"/>
              <w:bottom w:val="single" w:color="auto" w:sz="4" w:space="0"/>
              <w:right w:val="single" w:color="auto" w:sz="4" w:space="0"/>
            </w:tcBorders>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备注：表内报价内容以元为单位，保留小数点后两位。</w:t>
            </w:r>
          </w:p>
        </w:tc>
      </w:tr>
    </w:tbl>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注：本表中的“总价”与“</w:t>
      </w:r>
      <w:r>
        <w:rPr>
          <w:rFonts w:hint="eastAsia" w:cs="Times New Roman" w:asciiTheme="minorEastAsia" w:hAnsiTheme="minorEastAsia" w:eastAsiaTheme="minorEastAsia"/>
          <w:kern w:val="0"/>
          <w:highlight w:val="none"/>
          <w:lang w:val="en-US" w:eastAsia="zh-CN"/>
        </w:rPr>
        <w:t>谈判报价表</w:t>
      </w:r>
      <w:r>
        <w:rPr>
          <w:rFonts w:hint="eastAsia" w:cs="Times New Roman" w:asciiTheme="minorEastAsia" w:hAnsiTheme="minorEastAsia" w:eastAsiaTheme="minorEastAsia"/>
          <w:kern w:val="0"/>
          <w:highlight w:val="none"/>
        </w:rPr>
        <w:t>”中的“产品总价”一致。各子项分别报价。</w:t>
      </w: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投标人（公章）：                     </w:t>
      </w: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法定代表人或被授权人（签字或盖章）：                                                       </w:t>
      </w:r>
    </w:p>
    <w:p>
      <w:pPr>
        <w:pStyle w:val="5"/>
        <w:rPr>
          <w:rFonts w:hint="eastAsia" w:cs="Times New Roman" w:asciiTheme="minorEastAsia" w:hAnsiTheme="minorEastAsia" w:eastAsiaTheme="minorEastAsia"/>
          <w:kern w:val="0"/>
          <w:highlight w:val="none"/>
          <w:lang w:val="en-US" w:eastAsia="zh-CN"/>
        </w:rPr>
      </w:pPr>
      <w:r>
        <w:rPr>
          <w:rFonts w:hint="eastAsia" w:cs="Times New Roman" w:asciiTheme="minorEastAsia" w:hAnsiTheme="minorEastAsia" w:eastAsiaTheme="minorEastAsia"/>
          <w:kern w:val="0"/>
          <w:highlight w:val="none"/>
        </w:rPr>
        <w:t xml:space="preserve">                                         </w:t>
      </w:r>
      <w:r>
        <w:rPr>
          <w:rFonts w:hint="eastAsia" w:cs="Times New Roman" w:asciiTheme="minorEastAsia" w:hAnsiTheme="minorEastAsia" w:eastAsiaTheme="minorEastAsia"/>
          <w:kern w:val="0"/>
          <w:highlight w:val="none"/>
          <w:lang w:val="en-US" w:eastAsia="zh-CN"/>
        </w:rPr>
        <w:t xml:space="preserve">  </w:t>
      </w:r>
    </w:p>
    <w:p>
      <w:pPr>
        <w:pStyle w:val="5"/>
        <w:rPr>
          <w:rFonts w:hint="eastAsia" w:cs="Times New Roman" w:asciiTheme="minorEastAsia" w:hAnsiTheme="minorEastAsia" w:eastAsiaTheme="minorEastAsia"/>
          <w:kern w:val="0"/>
          <w:highlight w:val="none"/>
          <w:lang w:val="en-US" w:eastAsia="zh-CN"/>
        </w:rPr>
      </w:pPr>
    </w:p>
    <w:p>
      <w:pPr>
        <w:pStyle w:val="5"/>
        <w:rPr>
          <w:rFonts w:hint="eastAsia" w:cs="Times New Roman" w:asciiTheme="minorEastAsia" w:hAnsiTheme="minorEastAsia" w:eastAsiaTheme="minorEastAsia"/>
          <w:kern w:val="0"/>
          <w:highlight w:val="none"/>
          <w:lang w:val="en-US" w:eastAsia="zh-CN"/>
        </w:rPr>
      </w:pPr>
    </w:p>
    <w:p>
      <w:pPr>
        <w:pStyle w:val="5"/>
        <w:rPr>
          <w:rFonts w:hint="eastAsia" w:cs="Times New Roman" w:asciiTheme="minorEastAsia" w:hAnsiTheme="minorEastAsia" w:eastAsiaTheme="minorEastAsia"/>
          <w:kern w:val="0"/>
          <w:highlight w:val="none"/>
          <w:lang w:val="en-US" w:eastAsia="zh-CN"/>
        </w:rPr>
      </w:pPr>
    </w:p>
    <w:p>
      <w:pPr>
        <w:pStyle w:val="5"/>
        <w:ind w:firstLine="6090" w:firstLineChars="2900"/>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  年   月   日</w:t>
      </w:r>
    </w:p>
    <w:p>
      <w:pPr>
        <w:pStyle w:val="5"/>
        <w:rPr>
          <w:rFonts w:asciiTheme="minorEastAsia" w:hAnsiTheme="minorEastAsia" w:eastAsiaTheme="minorEastAsia"/>
          <w:color w:val="000000"/>
          <w:sz w:val="18"/>
          <w:szCs w:val="18"/>
          <w:highlight w:val="none"/>
        </w:rPr>
      </w:pPr>
      <w:r>
        <w:rPr>
          <w:rFonts w:hint="eastAsia" w:asciiTheme="minorEastAsia" w:hAnsiTheme="minorEastAsia" w:eastAsiaTheme="minorEastAsia"/>
          <w:b/>
          <w:color w:val="000000"/>
          <w:sz w:val="18"/>
          <w:szCs w:val="18"/>
          <w:highlight w:val="none"/>
        </w:rPr>
        <w:br w:type="page"/>
      </w:r>
      <w:r>
        <w:rPr>
          <w:rFonts w:hint="eastAsia" w:cs="Times New Roman" w:asciiTheme="minorEastAsia" w:hAnsiTheme="minorEastAsia" w:eastAsiaTheme="minorEastAsia"/>
          <w:kern w:val="0"/>
          <w:highlight w:val="none"/>
        </w:rPr>
        <w:t>附表2</w:t>
      </w:r>
    </w:p>
    <w:p>
      <w:pPr>
        <w:ind w:firstLine="3689" w:firstLineChars="1750"/>
        <w:rPr>
          <w:rFonts w:asciiTheme="minorEastAsia" w:hAnsiTheme="minorEastAsia" w:eastAsiaTheme="minorEastAsia"/>
          <w:b/>
          <w:kern w:val="0"/>
          <w:szCs w:val="21"/>
          <w:highlight w:val="none"/>
        </w:rPr>
      </w:pPr>
      <w:r>
        <w:rPr>
          <w:rFonts w:hint="eastAsia" w:asciiTheme="minorEastAsia" w:hAnsiTheme="minorEastAsia" w:eastAsiaTheme="minorEastAsia"/>
          <w:b/>
          <w:kern w:val="0"/>
          <w:szCs w:val="21"/>
          <w:highlight w:val="none"/>
        </w:rPr>
        <w:t>技术</w:t>
      </w:r>
      <w:r>
        <w:rPr>
          <w:rFonts w:hint="eastAsia" w:asciiTheme="minorEastAsia" w:hAnsiTheme="minorEastAsia" w:eastAsiaTheme="minorEastAsia"/>
          <w:b/>
          <w:kern w:val="0"/>
          <w:szCs w:val="21"/>
          <w:highlight w:val="none"/>
          <w:lang w:val="en-US" w:eastAsia="zh-CN"/>
        </w:rPr>
        <w:t>响应</w:t>
      </w:r>
      <w:r>
        <w:rPr>
          <w:rFonts w:hint="eastAsia" w:asciiTheme="minorEastAsia" w:hAnsiTheme="minorEastAsia" w:eastAsiaTheme="minorEastAsia"/>
          <w:b/>
          <w:kern w:val="0"/>
          <w:szCs w:val="21"/>
          <w:highlight w:val="none"/>
        </w:rPr>
        <w:t>偏差表</w:t>
      </w: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项目名称：                                                </w:t>
      </w: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投标人：</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2245"/>
        <w:gridCol w:w="2195"/>
        <w:gridCol w:w="2325"/>
        <w:gridCol w:w="16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842"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序号</w:t>
            </w:r>
          </w:p>
        </w:tc>
        <w:tc>
          <w:tcPr>
            <w:tcW w:w="2245"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名称</w:t>
            </w:r>
          </w:p>
        </w:tc>
        <w:tc>
          <w:tcPr>
            <w:tcW w:w="2195"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lang w:val="en-US" w:eastAsia="zh-CN"/>
              </w:rPr>
              <w:t>谈判文件</w:t>
            </w:r>
            <w:r>
              <w:rPr>
                <w:rFonts w:hint="eastAsia" w:cs="Times New Roman" w:asciiTheme="minorEastAsia" w:hAnsiTheme="minorEastAsia" w:eastAsiaTheme="minorEastAsia"/>
                <w:kern w:val="0"/>
                <w:highlight w:val="none"/>
              </w:rPr>
              <w:t>要 求</w:t>
            </w: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技 术 指 标</w:t>
            </w:r>
          </w:p>
        </w:tc>
        <w:tc>
          <w:tcPr>
            <w:tcW w:w="2325"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lang w:val="en-US" w:eastAsia="zh-CN"/>
              </w:rPr>
              <w:t>谈判</w:t>
            </w:r>
            <w:r>
              <w:rPr>
                <w:rFonts w:hint="eastAsia" w:cs="Times New Roman" w:asciiTheme="minorEastAsia" w:hAnsiTheme="minorEastAsia" w:eastAsiaTheme="minorEastAsia"/>
                <w:kern w:val="0"/>
                <w:highlight w:val="none"/>
              </w:rPr>
              <w:t xml:space="preserve"> 响 应</w:t>
            </w: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技 术 指 标</w:t>
            </w:r>
          </w:p>
        </w:tc>
        <w:tc>
          <w:tcPr>
            <w:tcW w:w="1679"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vAlign w:val="center"/>
          </w:tcPr>
          <w:p>
            <w:pPr>
              <w:pStyle w:val="5"/>
              <w:rPr>
                <w:rFonts w:cs="Times New Roman" w:asciiTheme="minorEastAsia" w:hAnsiTheme="minorEastAsia" w:eastAsiaTheme="minorEastAsia"/>
                <w:kern w:val="0"/>
                <w:highlight w:val="none"/>
              </w:rPr>
            </w:pPr>
          </w:p>
        </w:tc>
        <w:tc>
          <w:tcPr>
            <w:tcW w:w="2325" w:type="dxa"/>
            <w:vAlign w:val="center"/>
          </w:tcPr>
          <w:p>
            <w:pPr>
              <w:pStyle w:val="5"/>
              <w:rPr>
                <w:rFonts w:cs="Times New Roman" w:asciiTheme="minorEastAsia" w:hAnsiTheme="minorEastAsia" w:eastAsiaTheme="minorEastAsia"/>
                <w:kern w:val="0"/>
                <w:highlight w:val="none"/>
              </w:rPr>
            </w:pPr>
          </w:p>
        </w:tc>
        <w:tc>
          <w:tcPr>
            <w:tcW w:w="1679" w:type="dxa"/>
            <w:vAlign w:val="center"/>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bl>
    <w:p>
      <w:pPr>
        <w:pStyle w:val="5"/>
        <w:rPr>
          <w:rFonts w:cs="Times New Roman" w:asciiTheme="minorEastAsia" w:hAnsiTheme="minorEastAsia" w:eastAsiaTheme="minorEastAsia"/>
          <w:color w:val="FF0000"/>
          <w:kern w:val="0"/>
          <w:highlight w:val="none"/>
        </w:rPr>
      </w:pPr>
    </w:p>
    <w:p>
      <w:pPr>
        <w:pStyle w:val="5"/>
        <w:rPr>
          <w:rFonts w:cs="Times New Roman" w:asciiTheme="minorEastAsia" w:hAnsiTheme="minorEastAsia" w:eastAsiaTheme="minorEastAsia"/>
          <w:color w:val="FF0000"/>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 投标人（公章）：                  法定代表人或被授权人（签字或盖章）：                                                        </w:t>
      </w:r>
    </w:p>
    <w:p>
      <w:pPr>
        <w:pStyle w:val="5"/>
        <w:rPr>
          <w:rFonts w:hint="eastAsia"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                                                               </w:t>
      </w:r>
    </w:p>
    <w:p>
      <w:pPr>
        <w:pStyle w:val="5"/>
        <w:rPr>
          <w:rFonts w:hint="eastAsia" w:cs="Times New Roman" w:asciiTheme="minorEastAsia" w:hAnsiTheme="minorEastAsia" w:eastAsiaTheme="minorEastAsia"/>
          <w:kern w:val="0"/>
          <w:highlight w:val="none"/>
        </w:rPr>
      </w:pPr>
    </w:p>
    <w:p>
      <w:pPr>
        <w:pStyle w:val="5"/>
        <w:rPr>
          <w:rFonts w:hint="eastAsia" w:cs="Times New Roman" w:asciiTheme="minorEastAsia" w:hAnsiTheme="minorEastAsia" w:eastAsiaTheme="minorEastAsia"/>
          <w:kern w:val="0"/>
          <w:highlight w:val="none"/>
        </w:rPr>
      </w:pPr>
    </w:p>
    <w:p>
      <w:pPr>
        <w:pStyle w:val="5"/>
        <w:rPr>
          <w:rFonts w:hint="eastAsia" w:cs="Times New Roman" w:asciiTheme="minorEastAsia" w:hAnsiTheme="minorEastAsia" w:eastAsiaTheme="minorEastAsia"/>
          <w:kern w:val="0"/>
          <w:highlight w:val="none"/>
        </w:rPr>
      </w:pPr>
    </w:p>
    <w:p>
      <w:pPr>
        <w:pStyle w:val="5"/>
        <w:rPr>
          <w:rFonts w:hint="eastAsia" w:cs="Times New Roman" w:asciiTheme="minorEastAsia" w:hAnsiTheme="minorEastAsia" w:eastAsiaTheme="minorEastAsia"/>
          <w:kern w:val="0"/>
          <w:highlight w:val="none"/>
        </w:rPr>
      </w:pPr>
    </w:p>
    <w:p>
      <w:pPr>
        <w:pStyle w:val="5"/>
        <w:ind w:firstLine="7350" w:firstLineChars="3500"/>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 年   月   日</w:t>
      </w:r>
    </w:p>
    <w:p>
      <w:pPr>
        <w:ind w:firstLine="3870" w:firstLineChars="2150"/>
        <w:rPr>
          <w:rFonts w:asciiTheme="minorEastAsia" w:hAnsiTheme="minorEastAsia" w:eastAsiaTheme="minorEastAsia"/>
          <w:b/>
          <w:kern w:val="0"/>
          <w:szCs w:val="21"/>
          <w:highlight w:val="none"/>
        </w:rPr>
      </w:pPr>
      <w:r>
        <w:rPr>
          <w:rFonts w:hint="eastAsia" w:asciiTheme="minorEastAsia" w:hAnsiTheme="minorEastAsia" w:eastAsiaTheme="minorEastAsia"/>
          <w:color w:val="000000"/>
          <w:sz w:val="18"/>
          <w:szCs w:val="18"/>
          <w:highlight w:val="none"/>
          <w:u w:val="single"/>
        </w:rPr>
        <w:br w:type="page"/>
      </w:r>
      <w:r>
        <w:rPr>
          <w:rFonts w:hint="eastAsia" w:asciiTheme="minorEastAsia" w:hAnsiTheme="minorEastAsia" w:eastAsiaTheme="minorEastAsia"/>
          <w:b/>
          <w:kern w:val="0"/>
          <w:szCs w:val="21"/>
          <w:highlight w:val="none"/>
        </w:rPr>
        <w:t>商务响应偏离表</w:t>
      </w: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项目名称：                                                </w:t>
      </w: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投标人：</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2245"/>
        <w:gridCol w:w="2195"/>
        <w:gridCol w:w="2325"/>
        <w:gridCol w:w="16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842"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序号</w:t>
            </w:r>
          </w:p>
        </w:tc>
        <w:tc>
          <w:tcPr>
            <w:tcW w:w="2245"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名称</w:t>
            </w:r>
          </w:p>
        </w:tc>
        <w:tc>
          <w:tcPr>
            <w:tcW w:w="2195"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lang w:val="en-US" w:eastAsia="zh-CN"/>
              </w:rPr>
              <w:t>谈判</w:t>
            </w:r>
            <w:r>
              <w:rPr>
                <w:rFonts w:hint="eastAsia" w:cs="Times New Roman" w:asciiTheme="minorEastAsia" w:hAnsiTheme="minorEastAsia" w:eastAsiaTheme="minorEastAsia"/>
                <w:kern w:val="0"/>
                <w:highlight w:val="none"/>
              </w:rPr>
              <w:t>文件</w:t>
            </w:r>
          </w:p>
          <w:p>
            <w:pPr>
              <w:pStyle w:val="5"/>
              <w:rPr>
                <w:rFonts w:cs="Times New Roman" w:asciiTheme="minorEastAsia" w:hAnsiTheme="minorEastAsia" w:eastAsiaTheme="minorEastAsia"/>
                <w:kern w:val="0"/>
                <w:highlight w:val="none"/>
              </w:rPr>
            </w:pPr>
            <w:r>
              <w:rPr>
                <w:rFonts w:cs="Times New Roman" w:asciiTheme="minorEastAsia" w:hAnsiTheme="minorEastAsia" w:eastAsiaTheme="minorEastAsia"/>
                <w:kern w:val="0"/>
                <w:highlight w:val="none"/>
              </w:rPr>
              <w:t>商务要求</w:t>
            </w:r>
          </w:p>
        </w:tc>
        <w:tc>
          <w:tcPr>
            <w:tcW w:w="2325"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lang w:val="en-US" w:eastAsia="zh-CN"/>
              </w:rPr>
              <w:t>谈判响应</w:t>
            </w:r>
            <w:r>
              <w:rPr>
                <w:rFonts w:hint="eastAsia" w:cs="Times New Roman" w:asciiTheme="minorEastAsia" w:hAnsiTheme="minorEastAsia" w:eastAsiaTheme="minorEastAsia"/>
                <w:kern w:val="0"/>
                <w:highlight w:val="none"/>
              </w:rPr>
              <w:t>文件</w:t>
            </w: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商务要求</w:t>
            </w:r>
          </w:p>
        </w:tc>
        <w:tc>
          <w:tcPr>
            <w:tcW w:w="1679"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vAlign w:val="center"/>
          </w:tcPr>
          <w:p>
            <w:pPr>
              <w:pStyle w:val="5"/>
              <w:rPr>
                <w:rFonts w:cs="Times New Roman" w:asciiTheme="minorEastAsia" w:hAnsiTheme="minorEastAsia" w:eastAsiaTheme="minorEastAsia"/>
                <w:kern w:val="0"/>
                <w:highlight w:val="none"/>
              </w:rPr>
            </w:pPr>
          </w:p>
        </w:tc>
        <w:tc>
          <w:tcPr>
            <w:tcW w:w="2325" w:type="dxa"/>
            <w:vAlign w:val="center"/>
          </w:tcPr>
          <w:p>
            <w:pPr>
              <w:pStyle w:val="5"/>
              <w:rPr>
                <w:rFonts w:cs="Times New Roman" w:asciiTheme="minorEastAsia" w:hAnsiTheme="minorEastAsia" w:eastAsiaTheme="minorEastAsia"/>
                <w:kern w:val="0"/>
                <w:highlight w:val="none"/>
              </w:rPr>
            </w:pPr>
          </w:p>
        </w:tc>
        <w:tc>
          <w:tcPr>
            <w:tcW w:w="1679" w:type="dxa"/>
            <w:vAlign w:val="center"/>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bl>
    <w:p>
      <w:pPr>
        <w:pStyle w:val="5"/>
        <w:rPr>
          <w:rFonts w:hint="eastAsia"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说明：如果完全响应可提交空白表，如有偏离必须列出。</w:t>
      </w:r>
    </w:p>
    <w:p>
      <w:pPr>
        <w:pStyle w:val="5"/>
        <w:rPr>
          <w:rFonts w:hint="eastAsia"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 投标人（公章）：                  法定代表人或被授权人（签字或盖章）：                                                        </w:t>
      </w:r>
    </w:p>
    <w:p>
      <w:pPr>
        <w:pStyle w:val="5"/>
        <w:rPr>
          <w:rFonts w:hint="eastAsia"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                                                         </w:t>
      </w:r>
    </w:p>
    <w:p>
      <w:pPr>
        <w:pStyle w:val="5"/>
        <w:rPr>
          <w:rFonts w:hint="eastAsia" w:cs="Times New Roman" w:asciiTheme="minorEastAsia" w:hAnsiTheme="minorEastAsia" w:eastAsiaTheme="minorEastAsia"/>
          <w:kern w:val="0"/>
          <w:highlight w:val="none"/>
        </w:rPr>
      </w:pPr>
    </w:p>
    <w:p>
      <w:pPr>
        <w:pStyle w:val="5"/>
        <w:rPr>
          <w:rFonts w:hint="eastAsia" w:cs="Times New Roman" w:asciiTheme="minorEastAsia" w:hAnsiTheme="minorEastAsia" w:eastAsiaTheme="minorEastAsia"/>
          <w:kern w:val="0"/>
          <w:highlight w:val="none"/>
        </w:rPr>
      </w:pPr>
    </w:p>
    <w:p>
      <w:pPr>
        <w:pStyle w:val="5"/>
        <w:rPr>
          <w:rFonts w:hint="eastAsia" w:cs="Times New Roman" w:asciiTheme="minorEastAsia" w:hAnsiTheme="minorEastAsia" w:eastAsiaTheme="minorEastAsia"/>
          <w:kern w:val="0"/>
          <w:highlight w:val="none"/>
        </w:rPr>
      </w:pPr>
    </w:p>
    <w:p>
      <w:pPr>
        <w:pStyle w:val="5"/>
        <w:rPr>
          <w:rFonts w:hint="eastAsia" w:cs="Times New Roman" w:asciiTheme="minorEastAsia" w:hAnsiTheme="minorEastAsia" w:eastAsiaTheme="minorEastAsia"/>
          <w:kern w:val="0"/>
          <w:highlight w:val="none"/>
        </w:rPr>
      </w:pPr>
    </w:p>
    <w:p>
      <w:pPr>
        <w:pStyle w:val="5"/>
        <w:rPr>
          <w:rFonts w:hint="eastAsia" w:cs="Times New Roman" w:asciiTheme="minorEastAsia" w:hAnsiTheme="minorEastAsia" w:eastAsiaTheme="minorEastAsia"/>
          <w:kern w:val="0"/>
          <w:highlight w:val="none"/>
        </w:rPr>
      </w:pPr>
    </w:p>
    <w:p>
      <w:pPr>
        <w:pStyle w:val="5"/>
        <w:ind w:firstLine="6300" w:firstLineChars="3000"/>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年   月   日</w:t>
      </w: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spacing w:line="360" w:lineRule="atLeast"/>
        <w:jc w:val="center"/>
        <w:rPr>
          <w:rFonts w:asciiTheme="minorEastAsia" w:hAnsiTheme="minorEastAsia" w:eastAsiaTheme="minorEastAsia"/>
          <w:b/>
          <w:color w:val="000000"/>
          <w:sz w:val="18"/>
          <w:szCs w:val="18"/>
          <w:highlight w:val="none"/>
        </w:rPr>
      </w:pPr>
    </w:p>
    <w:p>
      <w:pPr>
        <w:rPr>
          <w:rFonts w:asciiTheme="minorEastAsia" w:hAnsiTheme="minorEastAsia" w:eastAsiaTheme="minorEastAsia"/>
          <w:b/>
          <w:color w:val="000000"/>
          <w:sz w:val="18"/>
          <w:szCs w:val="18"/>
          <w:highlight w:val="none"/>
        </w:rPr>
      </w:pPr>
    </w:p>
    <w:p>
      <w:pPr>
        <w:ind w:firstLine="2549" w:firstLineChars="1209"/>
        <w:rPr>
          <w:rFonts w:hint="eastAsia" w:asciiTheme="minorEastAsia" w:hAnsiTheme="minorEastAsia" w:eastAsiaTheme="minorEastAsia"/>
          <w:b/>
          <w:kern w:val="0"/>
          <w:szCs w:val="21"/>
          <w:highlight w:val="none"/>
        </w:rPr>
      </w:pPr>
    </w:p>
    <w:p>
      <w:pPr>
        <w:ind w:firstLine="2549" w:firstLineChars="1209"/>
        <w:rPr>
          <w:rFonts w:asciiTheme="minorEastAsia" w:hAnsiTheme="minorEastAsia" w:eastAsiaTheme="minorEastAsia"/>
          <w:b/>
          <w:kern w:val="0"/>
          <w:szCs w:val="21"/>
          <w:highlight w:val="none"/>
        </w:rPr>
      </w:pPr>
      <w:r>
        <w:rPr>
          <w:rFonts w:hint="eastAsia" w:asciiTheme="minorEastAsia" w:hAnsiTheme="minorEastAsia" w:eastAsiaTheme="minorEastAsia"/>
          <w:b/>
          <w:kern w:val="0"/>
          <w:szCs w:val="21"/>
          <w:highlight w:val="none"/>
        </w:rPr>
        <w:t>法定代表人证明书与法定代表人授权书</w:t>
      </w:r>
    </w:p>
    <w:p>
      <w:pPr>
        <w:ind w:firstLine="3584" w:firstLineChars="1700"/>
        <w:rPr>
          <w:rFonts w:asciiTheme="minorEastAsia" w:hAnsiTheme="minorEastAsia" w:eastAsiaTheme="minorEastAsia"/>
          <w:b/>
          <w:kern w:val="0"/>
          <w:szCs w:val="21"/>
          <w:highlight w:val="none"/>
        </w:rPr>
      </w:pPr>
      <w:r>
        <w:rPr>
          <w:rFonts w:hint="eastAsia" w:asciiTheme="minorEastAsia" w:hAnsiTheme="minorEastAsia" w:eastAsiaTheme="minorEastAsia"/>
          <w:b/>
          <w:kern w:val="0"/>
          <w:szCs w:val="21"/>
          <w:highlight w:val="none"/>
        </w:rPr>
        <w:t>法定代表人证明书</w:t>
      </w:r>
    </w:p>
    <w:p>
      <w:pPr>
        <w:tabs>
          <w:tab w:val="left" w:pos="210"/>
        </w:tabs>
        <w:spacing w:line="320" w:lineRule="exact"/>
        <w:jc w:val="center"/>
        <w:rPr>
          <w:rFonts w:cs="Arial" w:asciiTheme="minorEastAsia" w:hAnsiTheme="minorEastAsia" w:eastAsiaTheme="minorEastAsia"/>
          <w:b/>
          <w:color w:val="000000"/>
          <w:kern w:val="0"/>
          <w:sz w:val="18"/>
          <w:szCs w:val="18"/>
          <w:highlight w:val="none"/>
        </w:rPr>
      </w:pP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2065"/>
        <w:gridCol w:w="2060"/>
        <w:gridCol w:w="176"/>
        <w:gridCol w:w="2061"/>
        <w:gridCol w:w="2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286" w:type="dxa"/>
            <w:gridSpan w:val="6"/>
            <w:vAlign w:val="center"/>
          </w:tcPr>
          <w:p>
            <w:pPr>
              <w:tabs>
                <w:tab w:val="left" w:pos="210"/>
              </w:tabs>
              <w:spacing w:line="32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致：咸阳市秦都区政府采购中心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企</w:t>
            </w:r>
          </w:p>
          <w:p>
            <w:pPr>
              <w:tabs>
                <w:tab w:val="left" w:pos="210"/>
              </w:tabs>
              <w:spacing w:line="320" w:lineRule="exact"/>
              <w:jc w:val="center"/>
              <w:rPr>
                <w:rFonts w:asciiTheme="minorEastAsia" w:hAnsiTheme="minorEastAsia" w:eastAsiaTheme="minorEastAsia"/>
                <w:kern w:val="0"/>
                <w:szCs w:val="21"/>
                <w:highlight w:val="none"/>
              </w:rPr>
            </w:pPr>
          </w:p>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业</w:t>
            </w:r>
          </w:p>
          <w:p>
            <w:pPr>
              <w:tabs>
                <w:tab w:val="left" w:pos="210"/>
              </w:tabs>
              <w:spacing w:line="320" w:lineRule="exact"/>
              <w:jc w:val="center"/>
              <w:rPr>
                <w:rFonts w:asciiTheme="minorEastAsia" w:hAnsiTheme="minorEastAsia" w:eastAsiaTheme="minorEastAsia"/>
                <w:kern w:val="0"/>
                <w:szCs w:val="21"/>
                <w:highlight w:val="none"/>
              </w:rPr>
            </w:pPr>
          </w:p>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法</w:t>
            </w:r>
          </w:p>
          <w:p>
            <w:pPr>
              <w:tabs>
                <w:tab w:val="left" w:pos="210"/>
              </w:tabs>
              <w:spacing w:line="320" w:lineRule="exact"/>
              <w:jc w:val="center"/>
              <w:rPr>
                <w:rFonts w:asciiTheme="minorEastAsia" w:hAnsiTheme="minorEastAsia" w:eastAsiaTheme="minorEastAsia"/>
                <w:kern w:val="0"/>
                <w:szCs w:val="21"/>
                <w:highlight w:val="none"/>
              </w:rPr>
            </w:pPr>
          </w:p>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人</w:t>
            </w:r>
          </w:p>
        </w:tc>
        <w:tc>
          <w:tcPr>
            <w:tcW w:w="2065"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企业名称</w:t>
            </w:r>
          </w:p>
        </w:tc>
        <w:tc>
          <w:tcPr>
            <w:tcW w:w="6360" w:type="dxa"/>
            <w:gridSpan w:val="4"/>
            <w:vAlign w:val="center"/>
          </w:tcPr>
          <w:p>
            <w:pPr>
              <w:tabs>
                <w:tab w:val="left" w:pos="210"/>
              </w:tabs>
              <w:spacing w:line="320" w:lineRule="exact"/>
              <w:jc w:val="center"/>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vAlign w:val="center"/>
          </w:tcPr>
          <w:p>
            <w:pPr>
              <w:rPr>
                <w:rFonts w:asciiTheme="minorEastAsia" w:hAnsiTheme="minorEastAsia" w:eastAsiaTheme="minorEastAsia"/>
                <w:kern w:val="0"/>
                <w:szCs w:val="21"/>
                <w:highlight w:val="none"/>
              </w:rPr>
            </w:pPr>
          </w:p>
        </w:tc>
        <w:tc>
          <w:tcPr>
            <w:tcW w:w="2065"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法定地址</w:t>
            </w:r>
          </w:p>
        </w:tc>
        <w:tc>
          <w:tcPr>
            <w:tcW w:w="6360" w:type="dxa"/>
            <w:gridSpan w:val="4"/>
            <w:vAlign w:val="center"/>
          </w:tcPr>
          <w:p>
            <w:pPr>
              <w:tabs>
                <w:tab w:val="left" w:pos="210"/>
              </w:tabs>
              <w:spacing w:line="320" w:lineRule="exact"/>
              <w:jc w:val="center"/>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vAlign w:val="center"/>
          </w:tcPr>
          <w:p>
            <w:pPr>
              <w:rPr>
                <w:rFonts w:asciiTheme="minorEastAsia" w:hAnsiTheme="minorEastAsia" w:eastAsiaTheme="minorEastAsia"/>
                <w:kern w:val="0"/>
                <w:szCs w:val="21"/>
                <w:highlight w:val="none"/>
              </w:rPr>
            </w:pPr>
          </w:p>
        </w:tc>
        <w:tc>
          <w:tcPr>
            <w:tcW w:w="2065"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邮政编码</w:t>
            </w:r>
          </w:p>
        </w:tc>
        <w:tc>
          <w:tcPr>
            <w:tcW w:w="6360" w:type="dxa"/>
            <w:gridSpan w:val="4"/>
            <w:vAlign w:val="center"/>
          </w:tcPr>
          <w:p>
            <w:pPr>
              <w:tabs>
                <w:tab w:val="left" w:pos="210"/>
              </w:tabs>
              <w:spacing w:line="320" w:lineRule="exact"/>
              <w:jc w:val="center"/>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vAlign w:val="center"/>
          </w:tcPr>
          <w:p>
            <w:pPr>
              <w:rPr>
                <w:rFonts w:asciiTheme="minorEastAsia" w:hAnsiTheme="minorEastAsia" w:eastAsiaTheme="minorEastAsia"/>
                <w:kern w:val="0"/>
                <w:szCs w:val="21"/>
                <w:highlight w:val="none"/>
              </w:rPr>
            </w:pPr>
          </w:p>
        </w:tc>
        <w:tc>
          <w:tcPr>
            <w:tcW w:w="2065"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工商登记机关</w:t>
            </w:r>
          </w:p>
        </w:tc>
        <w:tc>
          <w:tcPr>
            <w:tcW w:w="6360" w:type="dxa"/>
            <w:gridSpan w:val="4"/>
            <w:vAlign w:val="center"/>
          </w:tcPr>
          <w:p>
            <w:pPr>
              <w:tabs>
                <w:tab w:val="left" w:pos="210"/>
              </w:tabs>
              <w:spacing w:line="320" w:lineRule="exact"/>
              <w:jc w:val="center"/>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61" w:type="dxa"/>
            <w:vMerge w:val="continue"/>
            <w:vAlign w:val="center"/>
          </w:tcPr>
          <w:p>
            <w:pPr>
              <w:rPr>
                <w:rFonts w:asciiTheme="minorEastAsia" w:hAnsiTheme="minorEastAsia" w:eastAsiaTheme="minorEastAsia"/>
                <w:kern w:val="0"/>
                <w:szCs w:val="21"/>
                <w:highlight w:val="none"/>
              </w:rPr>
            </w:pPr>
          </w:p>
        </w:tc>
        <w:tc>
          <w:tcPr>
            <w:tcW w:w="2065"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税务登记机关</w:t>
            </w:r>
          </w:p>
        </w:tc>
        <w:tc>
          <w:tcPr>
            <w:tcW w:w="6360" w:type="dxa"/>
            <w:gridSpan w:val="4"/>
            <w:vAlign w:val="center"/>
          </w:tcPr>
          <w:p>
            <w:pPr>
              <w:tabs>
                <w:tab w:val="left" w:pos="210"/>
              </w:tabs>
              <w:spacing w:line="320" w:lineRule="exact"/>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vAlign w:val="center"/>
          </w:tcPr>
          <w:p>
            <w:pPr>
              <w:rPr>
                <w:rFonts w:asciiTheme="minorEastAsia" w:hAnsiTheme="minorEastAsia" w:eastAsiaTheme="minorEastAsia"/>
                <w:kern w:val="0"/>
                <w:szCs w:val="21"/>
                <w:highlight w:val="none"/>
              </w:rPr>
            </w:pPr>
          </w:p>
        </w:tc>
        <w:tc>
          <w:tcPr>
            <w:tcW w:w="2065"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机构代码证号</w:t>
            </w:r>
          </w:p>
        </w:tc>
        <w:tc>
          <w:tcPr>
            <w:tcW w:w="6360" w:type="dxa"/>
            <w:gridSpan w:val="4"/>
            <w:vAlign w:val="center"/>
          </w:tcPr>
          <w:p>
            <w:pPr>
              <w:tabs>
                <w:tab w:val="left" w:pos="210"/>
              </w:tabs>
              <w:spacing w:line="320" w:lineRule="exact"/>
              <w:jc w:val="center"/>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法定代表人</w:t>
            </w:r>
          </w:p>
        </w:tc>
        <w:tc>
          <w:tcPr>
            <w:tcW w:w="2065"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姓名</w:t>
            </w:r>
          </w:p>
        </w:tc>
        <w:tc>
          <w:tcPr>
            <w:tcW w:w="2236" w:type="dxa"/>
            <w:gridSpan w:val="2"/>
            <w:vAlign w:val="center"/>
          </w:tcPr>
          <w:p>
            <w:pPr>
              <w:tabs>
                <w:tab w:val="left" w:pos="210"/>
              </w:tabs>
              <w:spacing w:line="320" w:lineRule="exact"/>
              <w:jc w:val="center"/>
              <w:rPr>
                <w:rFonts w:asciiTheme="minorEastAsia" w:hAnsiTheme="minorEastAsia" w:eastAsiaTheme="minorEastAsia"/>
                <w:kern w:val="0"/>
                <w:szCs w:val="21"/>
                <w:highlight w:val="none"/>
              </w:rPr>
            </w:pPr>
          </w:p>
        </w:tc>
        <w:tc>
          <w:tcPr>
            <w:tcW w:w="2061"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性别</w:t>
            </w:r>
          </w:p>
        </w:tc>
        <w:tc>
          <w:tcPr>
            <w:tcW w:w="2063" w:type="dxa"/>
            <w:vAlign w:val="center"/>
          </w:tcPr>
          <w:p>
            <w:pPr>
              <w:tabs>
                <w:tab w:val="left" w:pos="210"/>
              </w:tabs>
              <w:spacing w:line="320" w:lineRule="exact"/>
              <w:jc w:val="center"/>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vAlign w:val="center"/>
          </w:tcPr>
          <w:p>
            <w:pPr>
              <w:rPr>
                <w:rFonts w:asciiTheme="minorEastAsia" w:hAnsiTheme="minorEastAsia" w:eastAsiaTheme="minorEastAsia"/>
                <w:kern w:val="0"/>
                <w:szCs w:val="21"/>
                <w:highlight w:val="none"/>
              </w:rPr>
            </w:pPr>
          </w:p>
        </w:tc>
        <w:tc>
          <w:tcPr>
            <w:tcW w:w="2065"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职务</w:t>
            </w:r>
          </w:p>
        </w:tc>
        <w:tc>
          <w:tcPr>
            <w:tcW w:w="2236" w:type="dxa"/>
            <w:gridSpan w:val="2"/>
            <w:vAlign w:val="center"/>
          </w:tcPr>
          <w:p>
            <w:pPr>
              <w:tabs>
                <w:tab w:val="left" w:pos="210"/>
              </w:tabs>
              <w:spacing w:line="320" w:lineRule="exact"/>
              <w:jc w:val="center"/>
              <w:rPr>
                <w:rFonts w:asciiTheme="minorEastAsia" w:hAnsiTheme="minorEastAsia" w:eastAsiaTheme="minorEastAsia"/>
                <w:kern w:val="0"/>
                <w:szCs w:val="21"/>
                <w:highlight w:val="none"/>
              </w:rPr>
            </w:pPr>
          </w:p>
        </w:tc>
        <w:tc>
          <w:tcPr>
            <w:tcW w:w="2061"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联系电话</w:t>
            </w:r>
          </w:p>
        </w:tc>
        <w:tc>
          <w:tcPr>
            <w:tcW w:w="2063" w:type="dxa"/>
            <w:vAlign w:val="center"/>
          </w:tcPr>
          <w:p>
            <w:pPr>
              <w:tabs>
                <w:tab w:val="left" w:pos="210"/>
              </w:tabs>
              <w:spacing w:line="320" w:lineRule="exact"/>
              <w:jc w:val="center"/>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vAlign w:val="center"/>
          </w:tcPr>
          <w:p>
            <w:pPr>
              <w:rPr>
                <w:rFonts w:asciiTheme="minorEastAsia" w:hAnsiTheme="minorEastAsia" w:eastAsiaTheme="minorEastAsia"/>
                <w:kern w:val="0"/>
                <w:szCs w:val="21"/>
                <w:highlight w:val="none"/>
              </w:rPr>
            </w:pPr>
          </w:p>
        </w:tc>
        <w:tc>
          <w:tcPr>
            <w:tcW w:w="2065"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传真</w:t>
            </w:r>
          </w:p>
        </w:tc>
        <w:tc>
          <w:tcPr>
            <w:tcW w:w="6360" w:type="dxa"/>
            <w:gridSpan w:val="4"/>
            <w:vAlign w:val="center"/>
          </w:tcPr>
          <w:p>
            <w:pPr>
              <w:tabs>
                <w:tab w:val="left" w:pos="210"/>
              </w:tabs>
              <w:spacing w:line="320" w:lineRule="exact"/>
              <w:jc w:val="center"/>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861" w:type="dxa"/>
            <w:vMerge w:val="restart"/>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法定代表人身份证复印件</w:t>
            </w:r>
          </w:p>
        </w:tc>
        <w:tc>
          <w:tcPr>
            <w:tcW w:w="4125" w:type="dxa"/>
            <w:gridSpan w:val="2"/>
            <w:vMerge w:val="restart"/>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（正反面粘贴处）</w:t>
            </w:r>
          </w:p>
        </w:tc>
        <w:tc>
          <w:tcPr>
            <w:tcW w:w="4300" w:type="dxa"/>
            <w:gridSpan w:val="3"/>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法定代表人（签字或盖章）：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861" w:type="dxa"/>
            <w:vMerge w:val="continue"/>
            <w:vAlign w:val="center"/>
          </w:tcPr>
          <w:p>
            <w:pPr>
              <w:rPr>
                <w:rFonts w:asciiTheme="minorEastAsia" w:hAnsiTheme="minorEastAsia" w:eastAsiaTheme="minorEastAsia"/>
                <w:kern w:val="0"/>
                <w:szCs w:val="21"/>
                <w:highlight w:val="none"/>
              </w:rPr>
            </w:pPr>
          </w:p>
        </w:tc>
        <w:tc>
          <w:tcPr>
            <w:tcW w:w="4125" w:type="dxa"/>
            <w:gridSpan w:val="2"/>
            <w:vMerge w:val="continue"/>
            <w:vAlign w:val="center"/>
          </w:tcPr>
          <w:p>
            <w:pPr>
              <w:rPr>
                <w:rFonts w:asciiTheme="minorEastAsia" w:hAnsiTheme="minorEastAsia" w:eastAsiaTheme="minorEastAsia"/>
                <w:kern w:val="0"/>
                <w:szCs w:val="21"/>
                <w:highlight w:val="none"/>
              </w:rPr>
            </w:pPr>
          </w:p>
        </w:tc>
        <w:tc>
          <w:tcPr>
            <w:tcW w:w="4300" w:type="dxa"/>
            <w:gridSpan w:val="3"/>
            <w:vAlign w:val="bottom"/>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（公章）</w:t>
            </w:r>
          </w:p>
          <w:p>
            <w:pPr>
              <w:tabs>
                <w:tab w:val="left" w:pos="210"/>
              </w:tabs>
              <w:spacing w:line="320" w:lineRule="exact"/>
              <w:jc w:val="center"/>
              <w:rPr>
                <w:rFonts w:asciiTheme="minorEastAsia" w:hAnsiTheme="minorEastAsia" w:eastAsiaTheme="minorEastAsia"/>
                <w:kern w:val="0"/>
                <w:szCs w:val="21"/>
                <w:highlight w:val="none"/>
              </w:rPr>
            </w:pPr>
          </w:p>
          <w:p>
            <w:pPr>
              <w:tabs>
                <w:tab w:val="left" w:pos="210"/>
              </w:tabs>
              <w:spacing w:line="320" w:lineRule="exact"/>
              <w:jc w:val="center"/>
              <w:rPr>
                <w:rFonts w:asciiTheme="minorEastAsia" w:hAnsiTheme="minorEastAsia" w:eastAsiaTheme="minorEastAsia"/>
                <w:kern w:val="0"/>
                <w:szCs w:val="21"/>
                <w:highlight w:val="none"/>
              </w:rPr>
            </w:pPr>
          </w:p>
          <w:p>
            <w:pPr>
              <w:tabs>
                <w:tab w:val="left" w:pos="210"/>
              </w:tabs>
              <w:spacing w:line="320" w:lineRule="exact"/>
              <w:jc w:val="center"/>
              <w:rPr>
                <w:rFonts w:asciiTheme="minorEastAsia" w:hAnsiTheme="minorEastAsia" w:eastAsiaTheme="minorEastAsia"/>
                <w:kern w:val="0"/>
                <w:szCs w:val="21"/>
                <w:highlight w:val="none"/>
              </w:rPr>
            </w:pPr>
          </w:p>
          <w:p>
            <w:pPr>
              <w:tabs>
                <w:tab w:val="left" w:pos="210"/>
              </w:tabs>
              <w:spacing w:line="320" w:lineRule="exact"/>
              <w:jc w:val="righ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 xml:space="preserve">年  月  日 </w:t>
            </w:r>
          </w:p>
        </w:tc>
      </w:tr>
    </w:tbl>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br w:type="page"/>
      </w:r>
    </w:p>
    <w:p>
      <w:pPr>
        <w:keepNext w:val="0"/>
        <w:keepLines w:val="0"/>
        <w:pageBreakBefore w:val="0"/>
        <w:kinsoku/>
        <w:wordWrap/>
        <w:overflowPunct/>
        <w:topLinePunct w:val="0"/>
        <w:autoSpaceDE/>
        <w:autoSpaceDN/>
        <w:bidi w:val="0"/>
        <w:adjustRightInd/>
        <w:snapToGrid/>
        <w:spacing w:line="440" w:lineRule="exact"/>
        <w:ind w:firstLine="3373" w:firstLineChars="14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法定代表人授权书</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咸阳市秦都区政府采购中心：</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本授权书声明：注册于（ 工商行政管理局名称）之（委托单位全称） 的法定代表人（姓名、性别）授权本公司的（被授权人姓名、性别、职务）为合法代理人，就贵方组织的有关（招标项目名称）（项目编号：）的投标、洽谈、执行等具体事务，签署全部有关文件、文书、协议、合同，本公司对被授权人在本项目中的签名承担全部法律责任。本授权书自开标大会之日起计算有效期为    天。</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委托单位：    （公章）                  法定代表人（签字或盖章）：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签发日期：年月日</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附：被授权人（签字或盖章）：性别：职务：</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联系地址：</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联系电话：传真：</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法定代表人/被授权人身份证复印件</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213"/>
        <w:gridCol w:w="42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54" w:hRule="atLeast"/>
          <w:jc w:val="center"/>
        </w:trPr>
        <w:tc>
          <w:tcPr>
            <w:tcW w:w="4213" w:type="dxa"/>
            <w:shd w:val="clear" w:color="auto" w:fill="E0E0E0"/>
            <w:vAlign w:val="center"/>
          </w:tcPr>
          <w:p>
            <w:pPr>
              <w:tabs>
                <w:tab w:val="left" w:pos="210"/>
              </w:tabs>
              <w:spacing w:line="32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法定代表人身份证复印件（粘贴处）</w:t>
            </w:r>
          </w:p>
        </w:tc>
        <w:tc>
          <w:tcPr>
            <w:tcW w:w="4213" w:type="dxa"/>
            <w:shd w:val="clear" w:color="auto" w:fill="E0E0E0"/>
            <w:vAlign w:val="center"/>
          </w:tcPr>
          <w:p>
            <w:pPr>
              <w:tabs>
                <w:tab w:val="left" w:pos="210"/>
              </w:tabs>
              <w:spacing w:line="32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被授权人身份证复印件（粘贴处）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792" w:hRule="atLeast"/>
          <w:jc w:val="center"/>
        </w:trPr>
        <w:tc>
          <w:tcPr>
            <w:tcW w:w="4213" w:type="dxa"/>
            <w:shd w:val="clear" w:color="auto" w:fill="E0E0E0"/>
            <w:vAlign w:val="center"/>
          </w:tcPr>
          <w:p>
            <w:pPr>
              <w:tabs>
                <w:tab w:val="left" w:pos="210"/>
              </w:tabs>
              <w:spacing w:line="32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法定代表人身份证复印件（粘贴处）</w:t>
            </w:r>
          </w:p>
        </w:tc>
        <w:tc>
          <w:tcPr>
            <w:tcW w:w="4213" w:type="dxa"/>
            <w:shd w:val="clear" w:color="auto" w:fill="E0E0E0"/>
            <w:vAlign w:val="center"/>
          </w:tcPr>
          <w:p>
            <w:pPr>
              <w:tabs>
                <w:tab w:val="left" w:pos="210"/>
              </w:tabs>
              <w:spacing w:line="32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被授权人身份证复印件（粘贴处）</w:t>
            </w:r>
          </w:p>
        </w:tc>
      </w:tr>
    </w:tbl>
    <w:p>
      <w:pPr>
        <w:tabs>
          <w:tab w:val="left" w:pos="210"/>
        </w:tabs>
        <w:spacing w:line="32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说明：本授权书有效期</w:t>
      </w:r>
      <w:r>
        <w:rPr>
          <w:rFonts w:hint="eastAsia" w:asciiTheme="minorEastAsia" w:hAnsiTheme="minorEastAsia" w:eastAsiaTheme="minorEastAsia"/>
          <w:kern w:val="0"/>
          <w:szCs w:val="21"/>
          <w:highlight w:val="none"/>
          <w:lang w:val="en-US" w:eastAsia="zh-CN"/>
        </w:rPr>
        <w:t>为</w:t>
      </w:r>
      <w:r>
        <w:rPr>
          <w:rFonts w:hint="eastAsia" w:asciiTheme="minorEastAsia" w:hAnsiTheme="minorEastAsia" w:eastAsiaTheme="minorEastAsia"/>
          <w:kern w:val="0"/>
          <w:szCs w:val="21"/>
          <w:highlight w:val="none"/>
        </w:rPr>
        <w:t>自开标之日</w:t>
      </w:r>
      <w:r>
        <w:rPr>
          <w:rFonts w:hint="eastAsia" w:asciiTheme="minorEastAsia" w:hAnsiTheme="minorEastAsia" w:eastAsiaTheme="minorEastAsia"/>
          <w:kern w:val="0"/>
          <w:szCs w:val="21"/>
          <w:highlight w:val="none"/>
          <w:lang w:val="en-US" w:eastAsia="zh-CN"/>
        </w:rPr>
        <w:t>起</w:t>
      </w:r>
      <w:r>
        <w:rPr>
          <w:rFonts w:hint="eastAsia" w:asciiTheme="minorEastAsia" w:hAnsiTheme="minorEastAsia" w:eastAsiaTheme="minorEastAsia"/>
          <w:kern w:val="0"/>
          <w:szCs w:val="21"/>
          <w:highlight w:val="none"/>
        </w:rPr>
        <w:t>不得少于九十</w:t>
      </w:r>
      <w:r>
        <w:rPr>
          <w:rFonts w:hint="eastAsia" w:asciiTheme="minorEastAsia" w:hAnsiTheme="minorEastAsia" w:eastAsiaTheme="minorEastAsia"/>
          <w:kern w:val="0"/>
          <w:szCs w:val="21"/>
          <w:highlight w:val="none"/>
          <w:lang w:val="en-US" w:eastAsia="zh-CN"/>
        </w:rPr>
        <w:t>日历日</w:t>
      </w:r>
      <w:r>
        <w:rPr>
          <w:rFonts w:hint="eastAsia" w:asciiTheme="minorEastAsia" w:hAnsiTheme="minorEastAsia" w:eastAsiaTheme="minorEastAsia"/>
          <w:kern w:val="0"/>
          <w:szCs w:val="21"/>
          <w:highlight w:val="none"/>
        </w:rPr>
        <w:t>。</w:t>
      </w:r>
    </w:p>
    <w:p>
      <w:pPr>
        <w:ind w:firstLine="3702" w:firstLineChars="2057"/>
        <w:rPr>
          <w:rFonts w:asciiTheme="minorEastAsia" w:hAnsiTheme="minorEastAsia" w:eastAsiaTheme="minorEastAsia"/>
          <w:b/>
          <w:kern w:val="0"/>
          <w:szCs w:val="21"/>
          <w:highlight w:val="none"/>
        </w:rPr>
      </w:pPr>
      <w:r>
        <w:rPr>
          <w:rFonts w:hint="eastAsia" w:asciiTheme="minorEastAsia" w:hAnsiTheme="minorEastAsia" w:eastAsiaTheme="minorEastAsia"/>
          <w:color w:val="000000"/>
          <w:sz w:val="18"/>
          <w:szCs w:val="18"/>
          <w:highlight w:val="none"/>
        </w:rPr>
        <w:br w:type="page"/>
      </w:r>
      <w:r>
        <w:rPr>
          <w:rFonts w:hint="eastAsia" w:ascii="Times New Roman" w:hAnsi="Times New Roman" w:cs="Times New Roman"/>
          <w:b/>
          <w:bCs/>
          <w:color w:val="auto"/>
          <w:sz w:val="24"/>
          <w:szCs w:val="24"/>
          <w:highlight w:val="none"/>
        </w:rPr>
        <w:t>投标人资质证明文件</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1、具有独立承担民事责任能力，提供供应商合法注册的法人或其他组织的营业执照/事业单位法人证书/非企业专业服务机构执业许可证/民办非企业单位登记证书；</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2、财务状况报告：提供 202</w:t>
      </w:r>
      <w:r>
        <w:rPr>
          <w:rFonts w:hint="eastAsia" w:ascii="Times New Roman" w:hAnsi="Times New Roman" w:cs="Times New Roman"/>
          <w:color w:val="auto"/>
          <w:sz w:val="24"/>
          <w:szCs w:val="24"/>
          <w:highlight w:val="none"/>
          <w:lang w:val="en-US" w:eastAsia="zh-CN"/>
        </w:rPr>
        <w:t>4</w:t>
      </w:r>
      <w:r>
        <w:rPr>
          <w:rFonts w:hint="eastAsia" w:ascii="Times New Roman" w:hAnsi="Times New Roman" w:cs="Times New Roman"/>
          <w:color w:val="auto"/>
          <w:sz w:val="24"/>
          <w:szCs w:val="24"/>
          <w:highlight w:val="none"/>
        </w:rPr>
        <w:t>年</w:t>
      </w:r>
      <w:r>
        <w:rPr>
          <w:rFonts w:hint="eastAsia" w:ascii="Times New Roman" w:hAnsi="Times New Roman" w:cs="Times New Roman"/>
          <w:color w:val="auto"/>
          <w:sz w:val="24"/>
          <w:szCs w:val="24"/>
          <w:highlight w:val="none"/>
          <w:lang w:val="en-US" w:eastAsia="zh-CN"/>
        </w:rPr>
        <w:t>或2025年</w:t>
      </w:r>
      <w:r>
        <w:rPr>
          <w:rFonts w:hint="eastAsia" w:ascii="Times New Roman" w:hAnsi="Times New Roman" w:cs="Times New Roman"/>
          <w:color w:val="auto"/>
          <w:sz w:val="24"/>
          <w:szCs w:val="24"/>
          <w:highlight w:val="none"/>
        </w:rPr>
        <w:t>度经审计的财务会计报告（至少包括审计报告、资产负债表和利润表，成立时间至提交投标文件截止时间不足一年的可提供成立后任意时段的资产负债表）；或提供供应商基本存款账户信息及开标日期前三个月内其基本存款账户开户银行出具的资信证明；或信用担保机构出具的投标担保函（复印件加盖供应商公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3、税收缴纳证明：提供截止投标时间前一年内任意一个月的纳税凭据（依法免税的供应商应提供相关文件证明）；</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4、社会保障资金缴纳证明：提供截止投标时间前一年内任意一个月的社保缴费凭据或社保机构开具的社会保险参保缴费情况证明（依法不需要缴纳社会保障资金的供应商应提供相关证明）；</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5、提供具有履行本合同所必需的设备和专业技术能力的说明及承诺（提供书面说明及承诺，加盖供应商公章）；</w:t>
      </w:r>
    </w:p>
    <w:p>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pacing w:val="0"/>
          <w:sz w:val="24"/>
          <w:szCs w:val="24"/>
          <w:highlight w:val="none"/>
          <w:lang w:val="en-US" w:eastAsia="zh-CN"/>
        </w:rPr>
        <w:t>6、</w:t>
      </w:r>
      <w:r>
        <w:rPr>
          <w:rFonts w:hint="eastAsia" w:ascii="Times New Roman" w:hAnsi="Times New Roman" w:cs="Times New Roman"/>
          <w:color w:val="auto"/>
          <w:spacing w:val="0"/>
          <w:sz w:val="24"/>
          <w:szCs w:val="24"/>
          <w:highlight w:val="none"/>
        </w:rPr>
        <w:t>提供截止投标时间前三年内在经营活动中没有重大违法记录的书面声明；成立时间至提交投标文件截止时间不足三年的提供成立日截止投标文件日在经营活动中没有重大违法记录的书面声明。（提供书面声明，格式见第</w:t>
      </w:r>
      <w:r>
        <w:rPr>
          <w:rFonts w:hint="eastAsia" w:ascii="Times New Roman" w:hAnsi="Times New Roman" w:cs="Times New Roman"/>
          <w:color w:val="auto"/>
          <w:spacing w:val="0"/>
          <w:sz w:val="24"/>
          <w:szCs w:val="24"/>
          <w:highlight w:val="none"/>
          <w:lang w:val="en-US" w:eastAsia="zh-CN"/>
        </w:rPr>
        <w:t>六</w:t>
      </w:r>
      <w:r>
        <w:rPr>
          <w:rFonts w:hint="eastAsia" w:ascii="Times New Roman" w:hAnsi="Times New Roman" w:cs="Times New Roman"/>
          <w:color w:val="auto"/>
          <w:spacing w:val="0"/>
          <w:sz w:val="24"/>
          <w:szCs w:val="24"/>
          <w:highlight w:val="none"/>
        </w:rPr>
        <w:t>部分，加盖供应商公章）；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7、</w:t>
      </w:r>
      <w:r>
        <w:rPr>
          <w:rFonts w:hint="eastAsia" w:ascii="Times New Roman" w:hAnsi="Times New Roman" w:cs="Times New Roman"/>
          <w:color w:val="auto"/>
          <w:sz w:val="24"/>
          <w:szCs w:val="24"/>
          <w:highlight w:val="none"/>
          <w:lang w:val="en-US" w:eastAsia="zh-CN"/>
        </w:rPr>
        <w:t>被</w:t>
      </w:r>
      <w:r>
        <w:rPr>
          <w:rFonts w:hint="eastAsia" w:ascii="Times New Roman" w:hAnsi="Times New Roman" w:cs="Times New Roman"/>
          <w:color w:val="auto"/>
          <w:sz w:val="24"/>
          <w:szCs w:val="24"/>
          <w:highlight w:val="none"/>
        </w:rPr>
        <w:t>授权人参加投标需提供法定代表人或负责人授权</w:t>
      </w:r>
      <w:r>
        <w:rPr>
          <w:rFonts w:hint="eastAsia" w:ascii="Times New Roman" w:hAnsi="Times New Roman" w:cs="Times New Roman"/>
          <w:color w:val="auto"/>
          <w:sz w:val="24"/>
          <w:szCs w:val="24"/>
          <w:highlight w:val="none"/>
          <w:lang w:val="en-US" w:eastAsia="zh-CN"/>
        </w:rPr>
        <w:t>委托</w:t>
      </w:r>
      <w:r>
        <w:rPr>
          <w:rFonts w:hint="eastAsia" w:ascii="Times New Roman" w:hAnsi="Times New Roman" w:cs="Times New Roman"/>
          <w:color w:val="auto"/>
          <w:sz w:val="24"/>
          <w:szCs w:val="24"/>
          <w:highlight w:val="none"/>
        </w:rPr>
        <w:t>书（附法定代表人或负责人身份证复印件）及被授权人身份证原件及复印件加盖公章；法定代表人或负责人直接参加投标的只须提供法定代表人或负责人身份证原价及复印件加盖公章，法人身份证、负责人或被授权人身份证可由本人持有；</w:t>
      </w:r>
    </w:p>
    <w:p>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8、未被列入“信用中国”网站(http://</w:t>
      </w:r>
      <w:r>
        <w:rPr>
          <w:rFonts w:hint="eastAsia" w:ascii="Times New Roman" w:hAnsi="Times New Roman" w:cs="Times New Roman"/>
          <w:color w:val="auto"/>
          <w:sz w:val="24"/>
          <w:szCs w:val="24"/>
          <w:highlight w:val="none"/>
        </w:rPr>
        <w:fldChar w:fldCharType="begin"/>
      </w:r>
      <w:r>
        <w:rPr>
          <w:rFonts w:hint="eastAsia" w:ascii="Times New Roman" w:hAnsi="Times New Roman" w:cs="Times New Roman"/>
          <w:color w:val="auto"/>
          <w:sz w:val="24"/>
          <w:szCs w:val="24"/>
          <w:highlight w:val="none"/>
        </w:rPr>
        <w:instrText xml:space="preserve"> HYPERLINK "http://www.creditchina.gov.cn/" </w:instrText>
      </w:r>
      <w:r>
        <w:rPr>
          <w:rFonts w:hint="eastAsia" w:ascii="Times New Roman" w:hAnsi="Times New Roman" w:cs="Times New Roman"/>
          <w:color w:val="auto"/>
          <w:sz w:val="24"/>
          <w:szCs w:val="24"/>
          <w:highlight w:val="none"/>
        </w:rPr>
        <w:fldChar w:fldCharType="separate"/>
      </w:r>
      <w:r>
        <w:rPr>
          <w:rFonts w:hint="eastAsia" w:ascii="Times New Roman" w:hAnsi="Times New Roman" w:cs="Times New Roman"/>
          <w:color w:val="auto"/>
          <w:sz w:val="24"/>
          <w:szCs w:val="24"/>
          <w:highlight w:val="none"/>
        </w:rPr>
        <w:t>www.creditchina.gov.cn</w:t>
      </w:r>
      <w:r>
        <w:rPr>
          <w:rFonts w:hint="eastAsia" w:ascii="Times New Roman" w:hAnsi="Times New Roman" w:cs="Times New Roman"/>
          <w:color w:val="auto"/>
          <w:sz w:val="24"/>
          <w:szCs w:val="24"/>
          <w:highlight w:val="none"/>
        </w:rPr>
        <w:fldChar w:fldCharType="end"/>
      </w:r>
      <w:r>
        <w:rPr>
          <w:rFonts w:hint="eastAsia" w:ascii="Times New Roman" w:hAnsi="Times New Roman" w:cs="Times New Roman"/>
          <w:color w:val="auto"/>
          <w:sz w:val="24"/>
          <w:szCs w:val="24"/>
          <w:highlight w:val="none"/>
        </w:rPr>
        <w:t>)”失信被执行人或重大税收违法案件当事人名单或政府采购严重违法失信行为记录名单”的供应商；未被列入中国政府采购网(http://</w:t>
      </w:r>
      <w:r>
        <w:rPr>
          <w:rFonts w:hint="eastAsia" w:ascii="Times New Roman" w:hAnsi="Times New Roman" w:cs="Times New Roman"/>
          <w:color w:val="auto"/>
          <w:sz w:val="24"/>
          <w:szCs w:val="24"/>
          <w:highlight w:val="none"/>
        </w:rPr>
        <w:fldChar w:fldCharType="begin"/>
      </w:r>
      <w:r>
        <w:rPr>
          <w:rFonts w:hint="eastAsia" w:ascii="Times New Roman" w:hAnsi="Times New Roman" w:cs="Times New Roman"/>
          <w:color w:val="auto"/>
          <w:sz w:val="24"/>
          <w:szCs w:val="24"/>
          <w:highlight w:val="none"/>
        </w:rPr>
        <w:instrText xml:space="preserve"> HYPERLINK "http://www.ccgp.gov.cn/" </w:instrText>
      </w:r>
      <w:r>
        <w:rPr>
          <w:rFonts w:hint="eastAsia" w:ascii="Times New Roman" w:hAnsi="Times New Roman" w:cs="Times New Roman"/>
          <w:color w:val="auto"/>
          <w:sz w:val="24"/>
          <w:szCs w:val="24"/>
          <w:highlight w:val="none"/>
        </w:rPr>
        <w:fldChar w:fldCharType="separate"/>
      </w:r>
      <w:r>
        <w:rPr>
          <w:rFonts w:hint="eastAsia" w:ascii="Times New Roman" w:hAnsi="Times New Roman" w:cs="Times New Roman"/>
          <w:color w:val="auto"/>
          <w:sz w:val="24"/>
          <w:szCs w:val="24"/>
          <w:highlight w:val="none"/>
        </w:rPr>
        <w:t>www.ccgp.gov.cn</w:t>
      </w:r>
      <w:r>
        <w:rPr>
          <w:rFonts w:hint="eastAsia" w:ascii="Times New Roman" w:hAnsi="Times New Roman" w:cs="Times New Roman"/>
          <w:color w:val="auto"/>
          <w:sz w:val="24"/>
          <w:szCs w:val="24"/>
          <w:highlight w:val="none"/>
        </w:rPr>
        <w:fldChar w:fldCharType="end"/>
      </w:r>
      <w:r>
        <w:rPr>
          <w:rFonts w:hint="eastAsia" w:ascii="Times New Roman" w:hAnsi="Times New Roman" w:cs="Times New Roman"/>
          <w:color w:val="auto"/>
          <w:sz w:val="24"/>
          <w:szCs w:val="24"/>
          <w:highlight w:val="none"/>
        </w:rPr>
        <w:t>)“政府采购严重违法失信行为记录名单”中的供应商，提供网站截图，加盖供应商公章；</w:t>
      </w:r>
    </w:p>
    <w:p>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9</w:t>
      </w:r>
      <w:r>
        <w:rPr>
          <w:rFonts w:hint="eastAsia"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 xml:space="preserve"> 本项目不接受联合体投标</w:t>
      </w:r>
      <w:r>
        <w:rPr>
          <w:rFonts w:hint="eastAsia" w:ascii="Times New Roman" w:hAnsi="Times New Roman" w:cs="Times New Roman"/>
          <w:color w:val="auto"/>
          <w:sz w:val="24"/>
          <w:szCs w:val="24"/>
          <w:highlight w:val="none"/>
        </w:rPr>
        <w:t>。</w:t>
      </w:r>
    </w:p>
    <w:p>
      <w:pPr>
        <w:pStyle w:val="33"/>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以上资质文件均加盖投标单位公章</w:t>
      </w:r>
    </w:p>
    <w:p>
      <w:pPr>
        <w:pStyle w:val="33"/>
        <w:keepNext w:val="0"/>
        <w:keepLines w:val="0"/>
        <w:pageBreakBefore w:val="0"/>
        <w:kinsoku/>
        <w:wordWrap/>
        <w:overflowPunct/>
        <w:topLinePunct w:val="0"/>
        <w:autoSpaceDE/>
        <w:autoSpaceDN/>
        <w:bidi w:val="0"/>
        <w:adjustRightInd/>
        <w:snapToGrid/>
        <w:spacing w:line="560" w:lineRule="exact"/>
        <w:ind w:left="0" w:leftChars="0" w:firstLine="3360" w:firstLineChars="1400"/>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614" w:firstLineChars="1500"/>
        <w:textAlignment w:val="auto"/>
        <w:rPr>
          <w:rFonts w:hint="default"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614" w:firstLineChars="1500"/>
        <w:textAlignment w:val="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投标方案说明</w:t>
      </w:r>
    </w:p>
    <w:p>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1、投标设备的技术性能、指标等概述；</w:t>
      </w:r>
    </w:p>
    <w:p>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2、软硬件系统功能、开发技术等方面说明；</w:t>
      </w:r>
    </w:p>
    <w:p>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3、货物安装调试和启动运行采取的技术和组织措施；</w:t>
      </w:r>
    </w:p>
    <w:p>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4、质量标准</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监测标准</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符合国家规范及相关认证等；</w:t>
      </w:r>
    </w:p>
    <w:p>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5、质量保证措施</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人员培训</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售后服务承诺等；</w:t>
      </w:r>
    </w:p>
    <w:p>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6、供应商认为有必要说明的事项。</w:t>
      </w:r>
    </w:p>
    <w:p>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5040" w:firstLineChars="21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投标供应商</w:t>
      </w:r>
      <w:r>
        <w:rPr>
          <w:rFonts w:hint="default"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公章</w:t>
      </w:r>
      <w:r>
        <w:rPr>
          <w:rFonts w:hint="eastAsia" w:ascii="Times New Roman" w:hAnsi="Times New Roman" w:cs="Times New Roman"/>
          <w:color w:val="auto"/>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5040" w:firstLineChars="21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日期：</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pStyle w:val="3"/>
        <w:rPr>
          <w:rFonts w:hint="eastAsia"/>
        </w:rPr>
      </w:pPr>
    </w:p>
    <w:p>
      <w:pPr>
        <w:spacing w:line="420" w:lineRule="exact"/>
        <w:rPr>
          <w:rFonts w:cs="Courier New" w:asciiTheme="minorEastAsia" w:hAnsiTheme="minorEastAsia" w:eastAsiaTheme="minorEastAsia"/>
          <w:sz w:val="18"/>
          <w:szCs w:val="18"/>
          <w:highlight w:val="none"/>
        </w:rPr>
      </w:pPr>
    </w:p>
    <w:p>
      <w:pPr>
        <w:kinsoku w:val="0"/>
        <w:spacing w:line="500" w:lineRule="exact"/>
        <w:ind w:firstLine="570"/>
        <w:rPr>
          <w:rFonts w:cs="Courier New" w:asciiTheme="minorEastAsia" w:hAnsiTheme="minorEastAsia" w:eastAsiaTheme="minorEastAsia"/>
          <w:sz w:val="18"/>
          <w:szCs w:val="18"/>
          <w:highlight w:val="none"/>
        </w:rPr>
      </w:pPr>
    </w:p>
    <w:p>
      <w:pPr>
        <w:keepNext w:val="0"/>
        <w:keepLines w:val="0"/>
        <w:pageBreakBefore w:val="0"/>
        <w:kinsoku/>
        <w:wordWrap/>
        <w:overflowPunct/>
        <w:topLinePunct w:val="0"/>
        <w:autoSpaceDE/>
        <w:autoSpaceDN/>
        <w:bidi w:val="0"/>
        <w:adjustRightInd/>
        <w:snapToGrid/>
        <w:spacing w:line="440" w:lineRule="exact"/>
        <w:ind w:firstLine="1446" w:firstLineChars="600"/>
        <w:textAlignment w:val="auto"/>
        <w:rPr>
          <w:rFonts w:hint="eastAsia" w:ascii="Times New Roman" w:hAnsi="Times New Roman" w:cs="Times New Roman"/>
          <w:b/>
          <w:bCs/>
          <w:color w:val="auto"/>
          <w:sz w:val="24"/>
          <w:szCs w:val="24"/>
          <w:highlight w:val="none"/>
        </w:rPr>
      </w:pPr>
    </w:p>
    <w:p>
      <w:pPr>
        <w:keepNext w:val="0"/>
        <w:keepLines w:val="0"/>
        <w:pageBreakBefore w:val="0"/>
        <w:widowControl/>
        <w:kinsoku/>
        <w:wordWrap/>
        <w:overflowPunct/>
        <w:topLinePunct w:val="0"/>
        <w:autoSpaceDE/>
        <w:autoSpaceDN/>
        <w:bidi w:val="0"/>
        <w:adjustRightInd/>
        <w:snapToGrid/>
        <w:spacing w:after="157" w:afterLines="50" w:line="500" w:lineRule="exact"/>
        <w:jc w:val="center"/>
        <w:textAlignment w:val="auto"/>
        <w:rPr>
          <w:rFonts w:hint="eastAsia" w:ascii="楷体_GB2312" w:hAnsi="楷体_GB2312" w:eastAsia="楷体_GB2312" w:cs="楷体_GB2312"/>
          <w:b/>
          <w:bCs/>
          <w:kern w:val="0"/>
          <w:sz w:val="24"/>
          <w:szCs w:val="24"/>
        </w:rPr>
      </w:pPr>
    </w:p>
    <w:p>
      <w:pPr>
        <w:keepNext w:val="0"/>
        <w:keepLines w:val="0"/>
        <w:pageBreakBefore w:val="0"/>
        <w:widowControl/>
        <w:kinsoku/>
        <w:wordWrap/>
        <w:overflowPunct/>
        <w:topLinePunct w:val="0"/>
        <w:autoSpaceDE/>
        <w:autoSpaceDN/>
        <w:bidi w:val="0"/>
        <w:adjustRightInd/>
        <w:snapToGrid/>
        <w:spacing w:after="157" w:afterLines="50" w:line="500" w:lineRule="exact"/>
        <w:jc w:val="center"/>
        <w:textAlignment w:val="auto"/>
        <w:rPr>
          <w:rFonts w:hint="eastAsia" w:ascii="楷体_GB2312" w:hAnsi="楷体_GB2312" w:eastAsia="楷体_GB2312" w:cs="楷体_GB2312"/>
          <w:b/>
          <w:bCs/>
          <w:kern w:val="0"/>
          <w:sz w:val="24"/>
          <w:szCs w:val="24"/>
        </w:rPr>
      </w:pPr>
    </w:p>
    <w:p>
      <w:pPr>
        <w:keepNext w:val="0"/>
        <w:keepLines w:val="0"/>
        <w:pageBreakBefore w:val="0"/>
        <w:widowControl/>
        <w:kinsoku/>
        <w:wordWrap/>
        <w:overflowPunct/>
        <w:topLinePunct w:val="0"/>
        <w:autoSpaceDE/>
        <w:autoSpaceDN/>
        <w:bidi w:val="0"/>
        <w:adjustRightInd/>
        <w:snapToGrid/>
        <w:spacing w:after="157" w:afterLines="50" w:line="500" w:lineRule="exact"/>
        <w:jc w:val="center"/>
        <w:textAlignment w:val="auto"/>
        <w:rPr>
          <w:rFonts w:hint="eastAsia" w:ascii="楷体_GB2312" w:hAnsi="楷体_GB2312" w:eastAsia="楷体_GB2312" w:cs="楷体_GB2312"/>
          <w:b/>
          <w:bCs/>
          <w:kern w:val="0"/>
          <w:sz w:val="24"/>
          <w:szCs w:val="24"/>
        </w:rPr>
      </w:pPr>
    </w:p>
    <w:p>
      <w:pPr>
        <w:keepNext w:val="0"/>
        <w:keepLines w:val="0"/>
        <w:pageBreakBefore w:val="0"/>
        <w:widowControl/>
        <w:kinsoku/>
        <w:wordWrap/>
        <w:overflowPunct/>
        <w:topLinePunct w:val="0"/>
        <w:autoSpaceDE/>
        <w:autoSpaceDN/>
        <w:bidi w:val="0"/>
        <w:adjustRightInd/>
        <w:snapToGrid/>
        <w:spacing w:after="157" w:afterLines="50" w:line="500" w:lineRule="exact"/>
        <w:jc w:val="center"/>
        <w:textAlignment w:val="auto"/>
        <w:rPr>
          <w:rFonts w:hint="eastAsia" w:ascii="楷体_GB2312" w:hAnsi="楷体_GB2312" w:eastAsia="楷体_GB2312" w:cs="楷体_GB2312"/>
          <w:b/>
          <w:bCs/>
          <w:kern w:val="0"/>
          <w:sz w:val="24"/>
          <w:szCs w:val="24"/>
        </w:rPr>
      </w:pPr>
    </w:p>
    <w:p>
      <w:pPr>
        <w:keepNext w:val="0"/>
        <w:keepLines w:val="0"/>
        <w:pageBreakBefore w:val="0"/>
        <w:widowControl/>
        <w:kinsoku/>
        <w:wordWrap/>
        <w:overflowPunct/>
        <w:topLinePunct w:val="0"/>
        <w:autoSpaceDE/>
        <w:autoSpaceDN/>
        <w:bidi w:val="0"/>
        <w:adjustRightInd/>
        <w:snapToGrid/>
        <w:spacing w:after="157" w:afterLines="50" w:line="500" w:lineRule="exact"/>
        <w:jc w:val="center"/>
        <w:textAlignment w:val="auto"/>
        <w:rPr>
          <w:rFonts w:hint="eastAsia" w:ascii="楷体_GB2312" w:hAnsi="楷体_GB2312" w:eastAsia="楷体_GB2312" w:cs="楷体_GB2312"/>
          <w:b/>
          <w:bCs/>
          <w:kern w:val="0"/>
          <w:sz w:val="24"/>
          <w:szCs w:val="24"/>
        </w:rPr>
      </w:pPr>
    </w:p>
    <w:p>
      <w:pPr>
        <w:keepNext w:val="0"/>
        <w:keepLines w:val="0"/>
        <w:pageBreakBefore w:val="0"/>
        <w:widowControl/>
        <w:kinsoku/>
        <w:wordWrap/>
        <w:overflowPunct/>
        <w:topLinePunct w:val="0"/>
        <w:autoSpaceDE/>
        <w:autoSpaceDN/>
        <w:bidi w:val="0"/>
        <w:adjustRightInd/>
        <w:snapToGrid/>
        <w:spacing w:after="157" w:afterLines="50" w:line="500" w:lineRule="exact"/>
        <w:jc w:val="center"/>
        <w:textAlignment w:val="auto"/>
        <w:rPr>
          <w:rFonts w:hint="eastAsia" w:ascii="楷体_GB2312" w:hAnsi="楷体_GB2312" w:eastAsia="楷体_GB2312" w:cs="楷体_GB2312"/>
          <w:b/>
          <w:bCs/>
          <w:kern w:val="0"/>
          <w:sz w:val="24"/>
          <w:szCs w:val="24"/>
        </w:rPr>
      </w:pPr>
    </w:p>
    <w:p>
      <w:pPr>
        <w:keepNext w:val="0"/>
        <w:keepLines w:val="0"/>
        <w:pageBreakBefore w:val="0"/>
        <w:widowControl/>
        <w:kinsoku/>
        <w:wordWrap/>
        <w:overflowPunct/>
        <w:topLinePunct w:val="0"/>
        <w:autoSpaceDE/>
        <w:autoSpaceDN/>
        <w:bidi w:val="0"/>
        <w:adjustRightInd/>
        <w:snapToGrid/>
        <w:spacing w:after="157" w:afterLines="50" w:line="500" w:lineRule="exact"/>
        <w:jc w:val="center"/>
        <w:textAlignment w:val="auto"/>
        <w:rPr>
          <w:rFonts w:hint="eastAsia" w:ascii="楷体_GB2312" w:hAnsi="楷体_GB2312" w:eastAsia="楷体_GB2312" w:cs="楷体_GB2312"/>
          <w:b/>
          <w:bCs/>
          <w:kern w:val="0"/>
          <w:sz w:val="24"/>
          <w:szCs w:val="24"/>
        </w:rPr>
      </w:pPr>
    </w:p>
    <w:p>
      <w:pPr>
        <w:keepNext w:val="0"/>
        <w:keepLines w:val="0"/>
        <w:pageBreakBefore w:val="0"/>
        <w:widowControl/>
        <w:kinsoku/>
        <w:wordWrap/>
        <w:overflowPunct/>
        <w:topLinePunct w:val="0"/>
        <w:autoSpaceDE/>
        <w:autoSpaceDN/>
        <w:bidi w:val="0"/>
        <w:adjustRightInd/>
        <w:snapToGrid/>
        <w:spacing w:after="157" w:afterLines="50" w:line="500" w:lineRule="exact"/>
        <w:jc w:val="center"/>
        <w:textAlignment w:val="auto"/>
        <w:rPr>
          <w:rFonts w:hint="eastAsia" w:ascii="楷体_GB2312" w:hAnsi="楷体_GB2312" w:eastAsia="楷体_GB2312" w:cs="楷体_GB2312"/>
          <w:b/>
          <w:bCs/>
          <w:kern w:val="0"/>
          <w:sz w:val="24"/>
          <w:szCs w:val="24"/>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1446" w:firstLineChars="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1446" w:firstLineChars="6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投标人对本项目所必需的设备和专业技术能力承诺书</w:t>
      </w:r>
    </w:p>
    <w:p>
      <w:pPr>
        <w:tabs>
          <w:tab w:val="left" w:pos="210"/>
        </w:tabs>
        <w:spacing w:line="320" w:lineRule="exact"/>
        <w:rPr>
          <w:rFonts w:hint="eastAsia" w:asciiTheme="minorEastAsia" w:hAnsiTheme="minorEastAsia" w:eastAsiaTheme="minorEastAsia"/>
          <w:kern w:val="0"/>
          <w:szCs w:val="21"/>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咸阳市秦都区政府采购中心：</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公司名称   郑重承诺参与       （项目名称）         采购项目所必需的设备和专业技术能力。</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特此承诺！</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投标人：全称（公章）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法定代表人或被授权人（签字或盖章）：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6720" w:firstLineChars="28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年   月   日</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p>
    <w:p>
      <w:pPr>
        <w:pStyle w:val="3"/>
        <w:rPr>
          <w:rFonts w:asciiTheme="minorEastAsia" w:hAnsiTheme="minorEastAsia" w:eastAsiaTheme="minorEastAsia"/>
          <w:sz w:val="18"/>
          <w:szCs w:val="18"/>
          <w:highlight w:val="none"/>
        </w:rPr>
      </w:pPr>
    </w:p>
    <w:p>
      <w:pPr>
        <w:rPr>
          <w:rFonts w:asciiTheme="minorEastAsia" w:hAnsiTheme="minorEastAsia" w:eastAsiaTheme="minorEastAsia"/>
          <w:sz w:val="18"/>
          <w:szCs w:val="18"/>
          <w:highlight w:val="none"/>
        </w:rPr>
      </w:pPr>
    </w:p>
    <w:p>
      <w:pPr>
        <w:ind w:firstLine="4337" w:firstLineChars="2057"/>
        <w:rPr>
          <w:rFonts w:asciiTheme="minorEastAsia" w:hAnsiTheme="minorEastAsia" w:eastAsiaTheme="minorEastAsia"/>
          <w:b/>
          <w:kern w:val="0"/>
          <w:szCs w:val="21"/>
          <w:highlight w:val="none"/>
        </w:rPr>
      </w:pPr>
    </w:p>
    <w:p>
      <w:pPr>
        <w:ind w:firstLine="4337" w:firstLineChars="2057"/>
        <w:rPr>
          <w:rFonts w:asciiTheme="minorEastAsia" w:hAnsiTheme="minorEastAsia" w:eastAsiaTheme="minorEastAsia"/>
          <w:b/>
          <w:kern w:val="0"/>
          <w:szCs w:val="21"/>
          <w:highlight w:val="none"/>
        </w:rPr>
      </w:pPr>
    </w:p>
    <w:p>
      <w:pPr>
        <w:ind w:firstLine="4337" w:firstLineChars="2057"/>
        <w:rPr>
          <w:rFonts w:asciiTheme="minorEastAsia" w:hAnsiTheme="minorEastAsia" w:eastAsiaTheme="minorEastAsia"/>
          <w:b/>
          <w:kern w:val="0"/>
          <w:szCs w:val="21"/>
          <w:highlight w:val="none"/>
        </w:rPr>
      </w:pPr>
    </w:p>
    <w:p>
      <w:pPr>
        <w:ind w:firstLine="4337" w:firstLineChars="2057"/>
        <w:rPr>
          <w:rFonts w:hint="eastAsia" w:asciiTheme="minorEastAsia" w:hAnsiTheme="minorEastAsia" w:eastAsiaTheme="minorEastAsia"/>
          <w:b/>
          <w:kern w:val="0"/>
          <w:szCs w:val="21"/>
          <w:highlight w:val="none"/>
          <w:lang w:val="en-US" w:eastAsia="zh-CN"/>
        </w:rPr>
      </w:pPr>
    </w:p>
    <w:p>
      <w:pPr>
        <w:ind w:firstLine="4337" w:firstLineChars="2057"/>
        <w:rPr>
          <w:rFonts w:hint="eastAsia" w:asciiTheme="minorEastAsia" w:hAnsiTheme="minorEastAsia" w:eastAsiaTheme="minorEastAsia"/>
          <w:b/>
          <w:kern w:val="0"/>
          <w:szCs w:val="21"/>
          <w:highlight w:val="none"/>
          <w:lang w:val="en-US" w:eastAsia="zh-CN"/>
        </w:rPr>
      </w:pPr>
    </w:p>
    <w:p>
      <w:pPr>
        <w:ind w:firstLine="4337" w:firstLineChars="2057"/>
        <w:rPr>
          <w:rFonts w:hint="eastAsia" w:asciiTheme="minorEastAsia" w:hAnsiTheme="minorEastAsia" w:eastAsiaTheme="minorEastAsia"/>
          <w:b/>
          <w:kern w:val="0"/>
          <w:szCs w:val="21"/>
          <w:highlight w:val="none"/>
          <w:lang w:val="en-US" w:eastAsia="zh-CN"/>
        </w:rPr>
      </w:pPr>
    </w:p>
    <w:p>
      <w:pPr>
        <w:ind w:firstLine="4337" w:firstLineChars="2057"/>
        <w:rPr>
          <w:rFonts w:hint="eastAsia" w:asciiTheme="minorEastAsia" w:hAnsiTheme="minorEastAsia" w:eastAsiaTheme="minorEastAsia"/>
          <w:b/>
          <w:kern w:val="0"/>
          <w:szCs w:val="21"/>
          <w:highlight w:val="none"/>
          <w:lang w:val="en-US" w:eastAsia="zh-CN"/>
        </w:rPr>
      </w:pPr>
    </w:p>
    <w:p>
      <w:pPr>
        <w:ind w:firstLine="4337" w:firstLineChars="2057"/>
        <w:rPr>
          <w:rFonts w:hint="eastAsia" w:asciiTheme="minorEastAsia" w:hAnsiTheme="minorEastAsia" w:eastAsiaTheme="minorEastAsia"/>
          <w:b/>
          <w:kern w:val="0"/>
          <w:szCs w:val="21"/>
          <w:highlight w:val="none"/>
          <w:lang w:val="en-US" w:eastAsia="zh-CN"/>
        </w:rPr>
      </w:pPr>
    </w:p>
    <w:p>
      <w:pPr>
        <w:keepNext w:val="0"/>
        <w:keepLines w:val="0"/>
        <w:pageBreakBefore w:val="0"/>
        <w:kinsoku/>
        <w:wordWrap/>
        <w:overflowPunct/>
        <w:topLinePunct w:val="0"/>
        <w:autoSpaceDE/>
        <w:autoSpaceDN/>
        <w:bidi w:val="0"/>
        <w:adjustRightInd/>
        <w:snapToGrid/>
        <w:spacing w:line="440" w:lineRule="exact"/>
        <w:ind w:firstLine="1687" w:firstLineChars="700"/>
        <w:textAlignment w:val="auto"/>
        <w:rPr>
          <w:rFonts w:hint="eastAsia" w:ascii="Times New Roman" w:hAnsi="Times New Roman" w:cs="Times New Roman"/>
          <w:b/>
          <w:bCs/>
          <w:color w:val="auto"/>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440" w:lineRule="exact"/>
        <w:ind w:firstLine="1687" w:firstLineChars="700"/>
        <w:textAlignment w:val="auto"/>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非联合体承诺书（格式自拟）</w:t>
      </w:r>
    </w:p>
    <w:p>
      <w:pPr>
        <w:keepNext w:val="0"/>
        <w:keepLines w:val="0"/>
        <w:pageBreakBefore w:val="0"/>
        <w:kinsoku/>
        <w:wordWrap/>
        <w:overflowPunct/>
        <w:topLinePunct w:val="0"/>
        <w:autoSpaceDE/>
        <w:autoSpaceDN/>
        <w:bidi w:val="0"/>
        <w:adjustRightInd/>
        <w:snapToGrid/>
        <w:spacing w:line="440" w:lineRule="exact"/>
        <w:ind w:firstLine="1687" w:firstLineChars="700"/>
        <w:textAlignment w:val="auto"/>
        <w:rPr>
          <w:rFonts w:hint="eastAsia" w:ascii="Times New Roman" w:hAnsi="Times New Roman" w:cs="Times New Roman"/>
          <w:b/>
          <w:bCs/>
          <w:color w:val="auto"/>
          <w:sz w:val="24"/>
          <w:szCs w:val="24"/>
          <w:highlight w:val="none"/>
        </w:rPr>
      </w:pPr>
    </w:p>
    <w:p>
      <w:pPr>
        <w:ind w:firstLine="4337" w:firstLineChars="2057"/>
        <w:rPr>
          <w:rFonts w:asciiTheme="minorEastAsia" w:hAnsiTheme="minorEastAsia" w:eastAsiaTheme="minorEastAsia"/>
          <w:b/>
          <w:kern w:val="0"/>
          <w:szCs w:val="21"/>
          <w:highlight w:val="none"/>
        </w:rPr>
      </w:pPr>
    </w:p>
    <w:p>
      <w:pPr>
        <w:ind w:firstLine="4337" w:firstLineChars="2057"/>
        <w:rPr>
          <w:rFonts w:asciiTheme="minorEastAsia" w:hAnsiTheme="minorEastAsia" w:eastAsiaTheme="minorEastAsia"/>
          <w:b/>
          <w:kern w:val="0"/>
          <w:szCs w:val="21"/>
          <w:highlight w:val="none"/>
        </w:rPr>
      </w:pPr>
    </w:p>
    <w:p>
      <w:pPr>
        <w:ind w:firstLine="4337" w:firstLineChars="2057"/>
        <w:rPr>
          <w:rFonts w:asciiTheme="minorEastAsia" w:hAnsiTheme="minorEastAsia" w:eastAsiaTheme="minorEastAsia"/>
          <w:b/>
          <w:kern w:val="0"/>
          <w:szCs w:val="21"/>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1928" w:firstLineChars="8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1928" w:firstLineChars="8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投标人拒绝招投标领域商业贿赂承诺书</w:t>
      </w:r>
    </w:p>
    <w:p>
      <w:pPr>
        <w:keepNext w:val="0"/>
        <w:keepLines w:val="0"/>
        <w:pageBreakBefore w:val="0"/>
        <w:kinsoku/>
        <w:wordWrap/>
        <w:overflowPunct/>
        <w:topLinePunct w:val="0"/>
        <w:autoSpaceDE/>
        <w:autoSpaceDN/>
        <w:bidi w:val="0"/>
        <w:adjustRightInd/>
        <w:snapToGrid/>
        <w:spacing w:line="440" w:lineRule="exact"/>
        <w:ind w:firstLine="1687" w:firstLineChars="7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为响应党中央、国务院关于治理招投标领域商业贿赂行为的号召，我公司在此庄严承诺：</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1、在参与招投标活动中遵纪守法、诚信经营、公平竞标。</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2、不向招标人、招标代理机构和评审专家进行任何形式的商业贿赂以谋取交易机会。</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3、不向招标代理机构和招标人提供虚假资质文件或采用虚假应标方式参与招投标市场竞争并谋取中标。</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4、不采取“围标、陪标”等商业欺诈手段谋取中标。</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5、不采取不正当手段诋毁、排挤其他投标人。</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6、不在提供商品和服务时“偷梁换柱、以次充好”损害招标人的合法权益。</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7、不与招标人、招标代理机构、评审专家或其它投标人恶意串通，进行质疑和投诉，维护招投标市场秩序。</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8、尊重和接受相关监督管理部门的监督和招标代理机构招标文件要求，承担因违约行为给招标人造成的损失。</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9、不发生其他有悖于招投标公开、公平、公正和诚信原则的行为。</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承诺单位：（盖章）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法定代表人或被授权人（签字或盖章）：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地址：                              邮编：</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电话：</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rPr>
        <w:t xml:space="preserve">                                          </w:t>
      </w:r>
      <w:r>
        <w:rPr>
          <w:rFonts w:hint="eastAsia" w:ascii="Times New Roman" w:hAnsi="Times New Roman" w:cs="Times New Roman"/>
          <w:color w:val="auto"/>
          <w:sz w:val="24"/>
          <w:szCs w:val="24"/>
          <w:highlight w:val="none"/>
          <w:lang w:val="en-US" w:eastAsia="zh-CN"/>
        </w:rPr>
        <w:t xml:space="preserve">              </w:t>
      </w:r>
    </w:p>
    <w:p>
      <w:pPr>
        <w:keepNext w:val="0"/>
        <w:keepLines w:val="0"/>
        <w:pageBreakBefore w:val="0"/>
        <w:kinsoku/>
        <w:wordWrap/>
        <w:overflowPunct/>
        <w:topLinePunct w:val="0"/>
        <w:autoSpaceDE/>
        <w:autoSpaceDN/>
        <w:bidi w:val="0"/>
        <w:adjustRightInd/>
        <w:snapToGrid/>
        <w:spacing w:line="440" w:lineRule="exact"/>
        <w:ind w:firstLine="6960" w:firstLineChars="29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年  月  日</w:t>
      </w:r>
    </w:p>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p>
    <w:p>
      <w:pPr>
        <w:keepNext w:val="0"/>
        <w:keepLines w:val="0"/>
        <w:pageBreakBefore w:val="0"/>
        <w:kinsoku/>
        <w:wordWrap/>
        <w:overflowPunct/>
        <w:topLinePunct w:val="0"/>
        <w:autoSpaceDE/>
        <w:autoSpaceDN/>
        <w:bidi w:val="0"/>
        <w:adjustRightInd/>
        <w:snapToGrid/>
        <w:spacing w:line="440" w:lineRule="exact"/>
        <w:ind w:firstLine="4096" w:firstLineChars="17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4096" w:firstLineChars="17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声明</w:t>
      </w:r>
    </w:p>
    <w:p>
      <w:pPr>
        <w:spacing w:line="360" w:lineRule="auto"/>
        <w:ind w:firstLine="420" w:firstLineChars="200"/>
        <w:rPr>
          <w:rFonts w:asciiTheme="minorEastAsia" w:hAnsiTheme="minorEastAsia" w:eastAsiaTheme="minorEastAsia"/>
          <w:kern w:val="0"/>
          <w:szCs w:val="21"/>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咸阳市秦都区政府采购中心：</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我单位在此郑重声明：我单位及相关主体在参加本政府采购活动前三年内在经营活动中无重大违法违规记录。以上情况若有不实，我单位愿承担相应的法律责任。</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特此声明！</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4800" w:firstLineChars="20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声明单位：（盖章）</w:t>
      </w:r>
    </w:p>
    <w:p>
      <w:pPr>
        <w:keepNext w:val="0"/>
        <w:keepLines w:val="0"/>
        <w:pageBreakBefore w:val="0"/>
        <w:kinsoku/>
        <w:wordWrap/>
        <w:overflowPunct/>
        <w:topLinePunct w:val="0"/>
        <w:autoSpaceDE/>
        <w:autoSpaceDN/>
        <w:bidi w:val="0"/>
        <w:adjustRightInd/>
        <w:snapToGrid/>
        <w:spacing w:line="440" w:lineRule="exact"/>
        <w:ind w:firstLine="4800" w:firstLineChars="20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法定代表人或被授权人（签字或盖章）：</w:t>
      </w:r>
    </w:p>
    <w:p>
      <w:pPr>
        <w:keepNext w:val="0"/>
        <w:keepLines w:val="0"/>
        <w:pageBreakBefore w:val="0"/>
        <w:kinsoku/>
        <w:wordWrap/>
        <w:overflowPunct/>
        <w:topLinePunct w:val="0"/>
        <w:autoSpaceDE/>
        <w:autoSpaceDN/>
        <w:bidi w:val="0"/>
        <w:adjustRightInd/>
        <w:snapToGrid/>
        <w:spacing w:line="440" w:lineRule="exact"/>
        <w:ind w:firstLine="4800" w:firstLineChars="20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时   间：</w:t>
      </w: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rPr>
          <w:rFonts w:asciiTheme="minorEastAsia" w:hAnsiTheme="minorEastAsia" w:eastAsiaTheme="minorEastAsia"/>
          <w:b/>
          <w:kern w:val="0"/>
          <w:szCs w:val="21"/>
          <w:highlight w:val="none"/>
        </w:rPr>
      </w:pPr>
    </w:p>
    <w:p>
      <w:pPr>
        <w:ind w:firstLine="3162" w:firstLineChars="1500"/>
        <w:rPr>
          <w:rFonts w:hint="eastAsia" w:asciiTheme="minorEastAsia" w:hAnsiTheme="minorEastAsia" w:eastAsiaTheme="minorEastAsia"/>
          <w:b/>
          <w:kern w:val="0"/>
          <w:szCs w:val="21"/>
          <w:highlight w:val="none"/>
        </w:rPr>
      </w:pPr>
    </w:p>
    <w:p>
      <w:pPr>
        <w:ind w:firstLine="3162" w:firstLineChars="1500"/>
        <w:rPr>
          <w:rFonts w:hint="eastAsia" w:asciiTheme="minorEastAsia" w:hAnsiTheme="minorEastAsia" w:eastAsiaTheme="minorEastAsia"/>
          <w:b/>
          <w:kern w:val="0"/>
          <w:szCs w:val="21"/>
          <w:highlight w:val="none"/>
        </w:rPr>
      </w:pPr>
    </w:p>
    <w:p>
      <w:pPr>
        <w:ind w:firstLine="3162" w:firstLineChars="1500"/>
        <w:rPr>
          <w:rFonts w:hint="eastAsia" w:asciiTheme="minorEastAsia" w:hAnsiTheme="minorEastAsia" w:eastAsiaTheme="minorEastAsia"/>
          <w:b/>
          <w:kern w:val="0"/>
          <w:szCs w:val="21"/>
          <w:highlight w:val="none"/>
        </w:rPr>
      </w:pPr>
    </w:p>
    <w:p>
      <w:pPr>
        <w:ind w:firstLine="3162" w:firstLineChars="1500"/>
        <w:rPr>
          <w:rFonts w:hint="eastAsia" w:asciiTheme="minorEastAsia" w:hAnsiTheme="minorEastAsia" w:eastAsiaTheme="minorEastAsia"/>
          <w:b/>
          <w:kern w:val="0"/>
          <w:szCs w:val="21"/>
          <w:highlight w:val="none"/>
        </w:rPr>
      </w:pPr>
    </w:p>
    <w:p>
      <w:pPr>
        <w:ind w:firstLine="3162" w:firstLineChars="1500"/>
        <w:rPr>
          <w:rFonts w:hint="eastAsia" w:asciiTheme="minorEastAsia" w:hAnsiTheme="minorEastAsia" w:eastAsiaTheme="minorEastAsia"/>
          <w:b/>
          <w:kern w:val="0"/>
          <w:szCs w:val="21"/>
          <w:highlight w:val="none"/>
        </w:rPr>
      </w:pPr>
    </w:p>
    <w:p>
      <w:pPr>
        <w:keepNext w:val="0"/>
        <w:keepLines w:val="0"/>
        <w:pageBreakBefore w:val="0"/>
        <w:kinsoku/>
        <w:wordWrap/>
        <w:overflowPunct/>
        <w:topLinePunct w:val="0"/>
        <w:autoSpaceDE/>
        <w:autoSpaceDN/>
        <w:bidi w:val="0"/>
        <w:adjustRightInd/>
        <w:snapToGrid/>
        <w:spacing w:line="440" w:lineRule="exact"/>
        <w:ind w:firstLine="2650" w:firstLineChars="11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确保知识产权不侵权书面保证</w:t>
      </w:r>
    </w:p>
    <w:p>
      <w:pPr>
        <w:ind w:firstLine="2916" w:firstLineChars="1383"/>
        <w:rPr>
          <w:rFonts w:asciiTheme="minorEastAsia" w:hAnsiTheme="minorEastAsia" w:eastAsiaTheme="minorEastAsia"/>
          <w:b/>
          <w:kern w:val="0"/>
          <w:szCs w:val="21"/>
          <w:highlight w:val="none"/>
        </w:rPr>
      </w:pP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本公司承担因侵权造成的产品知识产权纠纷引起的全部法律责任和经济赔偿！</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特此保证！</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投标人：全称（公章）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法定代表人（签字或盖章）：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年   月   日</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widowControl/>
        <w:spacing w:before="100" w:beforeAutospacing="1" w:after="100" w:afterAutospacing="1" w:line="435" w:lineRule="atLeast"/>
        <w:ind w:firstLine="3382" w:firstLineChars="1604"/>
        <w:jc w:val="left"/>
        <w:rPr>
          <w:rFonts w:asciiTheme="minorEastAsia" w:hAnsiTheme="minorEastAsia" w:eastAsiaTheme="minorEastAsia"/>
          <w:b/>
          <w:szCs w:val="21"/>
          <w:highlight w:val="none"/>
        </w:rPr>
      </w:pPr>
    </w:p>
    <w:p>
      <w:pPr>
        <w:widowControl/>
        <w:spacing w:before="100" w:beforeAutospacing="1" w:after="100" w:afterAutospacing="1" w:line="435" w:lineRule="atLeast"/>
        <w:ind w:firstLine="3382" w:firstLineChars="1604"/>
        <w:jc w:val="left"/>
        <w:rPr>
          <w:rFonts w:asciiTheme="minorEastAsia" w:hAnsiTheme="minorEastAsia" w:eastAsiaTheme="minorEastAsia"/>
          <w:b/>
          <w:szCs w:val="21"/>
          <w:highlight w:val="none"/>
        </w:rPr>
      </w:pPr>
    </w:p>
    <w:p>
      <w:pPr>
        <w:widowControl/>
        <w:spacing w:before="100" w:beforeAutospacing="1" w:after="100" w:afterAutospacing="1" w:line="435" w:lineRule="atLeast"/>
        <w:ind w:firstLine="3382" w:firstLineChars="1604"/>
        <w:jc w:val="left"/>
        <w:rPr>
          <w:rFonts w:asciiTheme="minorEastAsia" w:hAnsiTheme="minorEastAsia" w:eastAsiaTheme="minorEastAsia"/>
          <w:b/>
          <w:szCs w:val="21"/>
          <w:highlight w:val="none"/>
        </w:rPr>
      </w:pPr>
    </w:p>
    <w:p>
      <w:pPr>
        <w:widowControl/>
        <w:spacing w:before="100" w:beforeAutospacing="1" w:after="100" w:afterAutospacing="1" w:line="435" w:lineRule="atLeast"/>
        <w:ind w:firstLine="3162" w:firstLineChars="1500"/>
        <w:jc w:val="left"/>
        <w:rPr>
          <w:rFonts w:hint="eastAsia" w:asciiTheme="minorEastAsia" w:hAnsiTheme="minorEastAsia" w:eastAsiaTheme="minorEastAsia"/>
          <w:b/>
          <w:szCs w:val="21"/>
          <w:highlight w:val="none"/>
        </w:rPr>
      </w:pPr>
    </w:p>
    <w:p>
      <w:pPr>
        <w:spacing w:line="440" w:lineRule="exact"/>
        <w:ind w:firstLine="3132" w:firstLineChars="1300"/>
        <w:rPr>
          <w:rFonts w:hint="default" w:ascii="Times New Roman" w:hAnsi="Times New Roman" w:eastAsia="宋体" w:cs="Times New Roman"/>
          <w:b/>
          <w:bCs/>
          <w:sz w:val="24"/>
        </w:rPr>
      </w:pPr>
      <w:r>
        <w:rPr>
          <w:rFonts w:hint="default" w:ascii="Times New Roman" w:hAnsi="Times New Roman" w:eastAsia="宋体" w:cs="Times New Roman"/>
          <w:b/>
          <w:bCs/>
          <w:sz w:val="24"/>
        </w:rPr>
        <w:t>供应商概况及性质</w:t>
      </w:r>
    </w:p>
    <w:p>
      <w:pPr>
        <w:widowControl/>
        <w:spacing w:before="100" w:beforeAutospacing="1" w:after="100" w:afterAutospacing="1" w:line="435" w:lineRule="atLeast"/>
        <w:ind w:firstLine="2951" w:firstLineChars="1400"/>
        <w:jc w:val="left"/>
        <w:rPr>
          <w:rFonts w:ascii="宋体" w:hAnsi="宋体"/>
          <w:kern w:val="0"/>
          <w:szCs w:val="21"/>
        </w:rPr>
      </w:pPr>
      <w:r>
        <w:rPr>
          <w:rFonts w:hint="eastAsia" w:ascii="宋体" w:hAnsi="宋体"/>
          <w:b/>
          <w:szCs w:val="21"/>
        </w:rPr>
        <w:t xml:space="preserve">1、中小企业声明函  </w:t>
      </w:r>
    </w:p>
    <w:p>
      <w:pPr>
        <w:widowControl/>
        <w:spacing w:before="100" w:beforeAutospacing="1" w:after="100" w:afterAutospacing="1" w:line="435" w:lineRule="atLeast"/>
        <w:ind w:firstLine="480"/>
        <w:jc w:val="left"/>
        <w:rPr>
          <w:rFonts w:ascii="宋体" w:hAnsi="宋体"/>
          <w:kern w:val="0"/>
          <w:szCs w:val="21"/>
        </w:rPr>
      </w:pPr>
      <w:r>
        <w:rPr>
          <w:rFonts w:hint="eastAsia" w:ascii="宋体" w:hAnsi="宋体"/>
          <w:kern w:val="0"/>
          <w:szCs w:val="21"/>
        </w:rPr>
        <w:t>本公司（联合体）郑重声明，根据《政府采购促进中小企业发展管理办法》（财库﹝2020﹞46 号）的规定，本公司（联合体）参加     （单位名称）的    （项目名称）采购活动，提供的货物全部由符合政策要求的中小企业服务。相关企业（含联合体中的中小企业、签订分包意向协议的中小企业）的具体情况如下：</w:t>
      </w:r>
    </w:p>
    <w:p>
      <w:pPr>
        <w:widowControl/>
        <w:spacing w:before="100" w:beforeAutospacing="1" w:after="100" w:afterAutospacing="1" w:line="435" w:lineRule="atLeast"/>
        <w:ind w:firstLine="480"/>
        <w:jc w:val="left"/>
        <w:rPr>
          <w:rFonts w:ascii="宋体" w:hAnsi="宋体"/>
          <w:kern w:val="0"/>
          <w:szCs w:val="21"/>
        </w:rPr>
      </w:pPr>
      <w:r>
        <w:rPr>
          <w:rFonts w:hint="eastAsia" w:ascii="宋体" w:hAnsi="宋体"/>
          <w:kern w:val="0"/>
          <w:szCs w:val="21"/>
        </w:rPr>
        <w:t>1.     （标的名称），属于     （采购文件中明确的所属行业）行业；服务商为       （企业名称），从业人员    人，营业收入为    万元，资产总额为   万元</w:t>
      </w:r>
      <w:r>
        <w:rPr>
          <w:rFonts w:hint="eastAsia" w:ascii="宋体" w:hAnsi="宋体"/>
          <w:kern w:val="0"/>
          <w:position w:val="14"/>
          <w:szCs w:val="21"/>
        </w:rPr>
        <w:t>1</w:t>
      </w:r>
      <w:r>
        <w:rPr>
          <w:rFonts w:hint="eastAsia" w:ascii="宋体" w:hAnsi="宋体"/>
          <w:kern w:val="0"/>
          <w:szCs w:val="21"/>
        </w:rPr>
        <w:t>，属于     （中型企业、小型企业、微型企业）；</w:t>
      </w:r>
    </w:p>
    <w:p>
      <w:pPr>
        <w:widowControl/>
        <w:spacing w:before="100" w:beforeAutospacing="1" w:after="100" w:afterAutospacing="1" w:line="435" w:lineRule="atLeast"/>
        <w:ind w:firstLine="480"/>
        <w:jc w:val="left"/>
        <w:rPr>
          <w:rFonts w:ascii="宋体" w:hAnsi="宋体"/>
          <w:kern w:val="0"/>
          <w:position w:val="7"/>
          <w:szCs w:val="21"/>
        </w:rPr>
      </w:pPr>
      <w:r>
        <w:rPr>
          <w:rFonts w:hint="eastAsia" w:ascii="宋体" w:hAnsi="宋体"/>
          <w:kern w:val="0"/>
          <w:szCs w:val="21"/>
        </w:rPr>
        <w:t>2.     （标的名称），属于     （采购文件中明确的所属行业）行业；服务商为       （企业名称），从业人员    人，营业收入为    万元，资产总额为   万元</w:t>
      </w:r>
      <w:r>
        <w:rPr>
          <w:rFonts w:hint="eastAsia" w:ascii="宋体" w:hAnsi="宋体"/>
          <w:kern w:val="0"/>
          <w:position w:val="14"/>
          <w:szCs w:val="21"/>
        </w:rPr>
        <w:t>1</w:t>
      </w:r>
      <w:r>
        <w:rPr>
          <w:rFonts w:hint="eastAsia" w:ascii="宋体" w:hAnsi="宋体"/>
          <w:kern w:val="0"/>
          <w:szCs w:val="21"/>
        </w:rPr>
        <w:t>，属于     （中型企业、小型企业、微型企业）；</w:t>
      </w:r>
    </w:p>
    <w:p>
      <w:pPr>
        <w:widowControl/>
        <w:spacing w:before="100" w:beforeAutospacing="1" w:after="100" w:afterAutospacing="1" w:line="435" w:lineRule="atLeast"/>
        <w:ind w:firstLine="480"/>
        <w:jc w:val="left"/>
        <w:rPr>
          <w:rFonts w:ascii="宋体" w:hAnsi="宋体"/>
          <w:kern w:val="0"/>
          <w:szCs w:val="21"/>
        </w:rPr>
      </w:pPr>
      <w:r>
        <w:rPr>
          <w:rFonts w:hint="eastAsia" w:ascii="宋体" w:hAnsi="宋体"/>
          <w:kern w:val="0"/>
          <w:szCs w:val="21"/>
        </w:rPr>
        <w:t>……</w:t>
      </w:r>
    </w:p>
    <w:p>
      <w:pPr>
        <w:widowControl/>
        <w:spacing w:before="100" w:beforeAutospacing="1" w:after="100" w:afterAutospacing="1" w:line="435" w:lineRule="atLeast"/>
        <w:ind w:firstLine="480"/>
        <w:jc w:val="left"/>
        <w:rPr>
          <w:rFonts w:ascii="宋体" w:hAnsi="宋体"/>
          <w:kern w:val="0"/>
          <w:szCs w:val="21"/>
        </w:rPr>
      </w:pPr>
      <w:r>
        <w:rPr>
          <w:rFonts w:hint="eastAsia" w:ascii="宋体" w:hAnsi="宋体"/>
          <w:kern w:val="0"/>
          <w:szCs w:val="21"/>
        </w:rPr>
        <w:t>以上企业，不属于大企业的分支机构，不存在控股股东为大企业的情形，也不存在与大企业的负责人为同一人的情形。</w:t>
      </w:r>
    </w:p>
    <w:p>
      <w:pPr>
        <w:widowControl/>
        <w:spacing w:before="100" w:beforeAutospacing="1" w:after="100" w:afterAutospacing="1" w:line="435" w:lineRule="atLeast"/>
        <w:ind w:firstLine="480"/>
        <w:jc w:val="left"/>
        <w:rPr>
          <w:rFonts w:ascii="宋体" w:hAnsi="宋体"/>
          <w:kern w:val="0"/>
          <w:szCs w:val="21"/>
        </w:rPr>
      </w:pPr>
      <w:r>
        <w:rPr>
          <w:rFonts w:hint="eastAsia" w:ascii="宋体" w:hAnsi="宋体"/>
          <w:kern w:val="0"/>
          <w:szCs w:val="21"/>
        </w:rPr>
        <w:t>本企业对上述声明内容的真实性负责。如有虚假，将依法承担相应责任。</w:t>
      </w:r>
    </w:p>
    <w:p>
      <w:pPr>
        <w:widowControl/>
        <w:spacing w:before="100" w:beforeAutospacing="1" w:after="100" w:afterAutospacing="1" w:line="435" w:lineRule="atLeast"/>
        <w:ind w:firstLine="480"/>
        <w:jc w:val="left"/>
        <w:rPr>
          <w:rFonts w:ascii="宋体" w:hAnsi="宋体"/>
          <w:kern w:val="0"/>
          <w:szCs w:val="21"/>
        </w:rPr>
      </w:pPr>
    </w:p>
    <w:p>
      <w:pPr>
        <w:widowControl/>
        <w:spacing w:before="100" w:beforeAutospacing="1" w:after="100" w:afterAutospacing="1" w:line="435" w:lineRule="atLeast"/>
        <w:ind w:firstLine="480"/>
        <w:jc w:val="left"/>
        <w:rPr>
          <w:rFonts w:ascii="宋体" w:hAnsi="宋体"/>
          <w:kern w:val="0"/>
          <w:szCs w:val="21"/>
        </w:rPr>
      </w:pPr>
      <w:r>
        <w:rPr>
          <w:rFonts w:hint="eastAsia" w:ascii="宋体" w:hAnsi="宋体"/>
          <w:kern w:val="0"/>
          <w:szCs w:val="21"/>
        </w:rPr>
        <w:t xml:space="preserve">                                         企业名称（盖章）：</w:t>
      </w:r>
    </w:p>
    <w:p>
      <w:pPr>
        <w:widowControl/>
        <w:spacing w:before="100" w:beforeAutospacing="1" w:after="100" w:afterAutospacing="1" w:line="435" w:lineRule="atLeast"/>
        <w:jc w:val="left"/>
        <w:rPr>
          <w:rFonts w:ascii="宋体" w:hAnsi="宋体"/>
          <w:kern w:val="0"/>
          <w:szCs w:val="21"/>
        </w:rPr>
      </w:pPr>
      <w:r>
        <w:rPr>
          <w:rFonts w:hint="eastAsia" w:ascii="宋体" w:hAnsi="宋体"/>
          <w:kern w:val="0"/>
          <w:szCs w:val="21"/>
        </w:rPr>
        <w:t xml:space="preserve">                                              日 期：</w:t>
      </w:r>
    </w:p>
    <w:p>
      <w:pPr>
        <w:widowControl/>
        <w:spacing w:before="100" w:beforeAutospacing="1" w:after="100" w:afterAutospacing="1" w:line="435" w:lineRule="atLeast"/>
        <w:jc w:val="left"/>
        <w:rPr>
          <w:rFonts w:hint="eastAsia" w:ascii="宋体" w:hAnsi="宋体"/>
          <w:kern w:val="0"/>
          <w:szCs w:val="21"/>
        </w:rPr>
      </w:pPr>
      <w:r>
        <w:rPr>
          <w:rFonts w:hint="eastAsia" w:ascii="宋体" w:hAnsi="宋体"/>
          <w:kern w:val="0"/>
          <w:szCs w:val="21"/>
        </w:rPr>
        <w:t>1</w:t>
      </w:r>
      <w:r>
        <w:rPr>
          <w:rFonts w:hint="eastAsia" w:ascii="宋体" w:hAnsi="宋体"/>
          <w:kern w:val="0"/>
          <w:szCs w:val="21"/>
          <w:lang w:eastAsia="zh-CN"/>
        </w:rPr>
        <w:t>.</w:t>
      </w:r>
      <w:r>
        <w:rPr>
          <w:rFonts w:hint="eastAsia" w:ascii="宋体" w:hAnsi="宋体"/>
          <w:kern w:val="0"/>
          <w:szCs w:val="21"/>
        </w:rPr>
        <w:t>从业人员、营业收入、资产总额填报上一年度数据，无上一年度数据的新成立企业可不填报。</w:t>
      </w:r>
    </w:p>
    <w:p>
      <w:pPr>
        <w:pStyle w:val="3"/>
        <w:rPr>
          <w:rFonts w:hint="eastAsia" w:ascii="宋体" w:hAnsi="宋体" w:eastAsia="宋体" w:cs="Times New Roman"/>
          <w:kern w:val="0"/>
          <w:sz w:val="21"/>
          <w:szCs w:val="21"/>
          <w:lang w:val="en-US" w:eastAsia="zh-CN" w:bidi="ar-SA"/>
        </w:rPr>
      </w:pPr>
      <w:r>
        <w:rPr>
          <w:rFonts w:hint="eastAsia" w:ascii="宋体" w:hAnsi="宋体" w:cs="Times New Roman"/>
          <w:kern w:val="0"/>
          <w:sz w:val="21"/>
          <w:szCs w:val="21"/>
          <w:lang w:val="en-US" w:eastAsia="zh-CN" w:bidi="ar-SA"/>
        </w:rPr>
        <w:t>2.</w:t>
      </w:r>
      <w:r>
        <w:rPr>
          <w:rFonts w:hint="eastAsia" w:ascii="宋体" w:hAnsi="宋体" w:eastAsia="宋体" w:cs="Times New Roman"/>
          <w:kern w:val="0"/>
          <w:sz w:val="21"/>
          <w:szCs w:val="21"/>
          <w:lang w:val="en-US" w:eastAsia="zh-CN" w:bidi="ar-SA"/>
        </w:rPr>
        <w:t>标的名称：按投标产品逐项填列</w:t>
      </w:r>
    </w:p>
    <w:p>
      <w:pPr>
        <w:spacing w:line="460" w:lineRule="exact"/>
        <w:ind w:firstLine="2891" w:firstLineChars="1200"/>
        <w:rPr>
          <w:rFonts w:hint="eastAsia" w:ascii="宋体" w:hAnsi="宋体" w:cs="宋体"/>
          <w:b/>
          <w:bCs/>
          <w:sz w:val="24"/>
        </w:rPr>
      </w:pPr>
    </w:p>
    <w:p>
      <w:pPr>
        <w:spacing w:line="460" w:lineRule="exact"/>
        <w:ind w:firstLine="2891" w:firstLineChars="1200"/>
        <w:rPr>
          <w:rFonts w:hint="eastAsia" w:ascii="宋体" w:hAnsi="宋体" w:cs="宋体"/>
          <w:b/>
          <w:bCs/>
          <w:sz w:val="24"/>
        </w:rPr>
      </w:pPr>
    </w:p>
    <w:p>
      <w:pPr>
        <w:spacing w:line="460" w:lineRule="exact"/>
        <w:ind w:firstLine="2891" w:firstLineChars="1200"/>
        <w:rPr>
          <w:rFonts w:hint="eastAsia" w:ascii="宋体" w:hAnsi="宋体" w:cs="宋体"/>
          <w:b/>
          <w:bCs/>
          <w:sz w:val="24"/>
        </w:rPr>
      </w:pPr>
      <w:r>
        <w:rPr>
          <w:rFonts w:hint="eastAsia" w:ascii="宋体" w:hAnsi="宋体" w:cs="宋体"/>
          <w:b/>
          <w:bCs/>
          <w:sz w:val="24"/>
        </w:rPr>
        <w:t>2、残疾人福利性单位声明函</w:t>
      </w:r>
    </w:p>
    <w:p>
      <w:pPr>
        <w:spacing w:line="460" w:lineRule="exact"/>
        <w:ind w:firstLine="480" w:firstLineChars="200"/>
        <w:rPr>
          <w:rFonts w:hint="eastAsia" w:ascii="宋体" w:hAnsi="宋体" w:cs="宋体"/>
          <w:sz w:val="24"/>
        </w:rPr>
      </w:pPr>
      <w:r>
        <w:rPr>
          <w:rFonts w:hint="eastAsia" w:ascii="宋体" w:hAnsi="宋体" w:cs="宋体"/>
          <w:sz w:val="24"/>
        </w:rPr>
        <w:t>本单位郑重声明，根据《财政部 民政部 中国残疾人联合会关于促进残疾人就业政府采购政策的通知》（财库〔2017〕141号）的规定，本单位为符合条件的残疾人福利性单位，且本单位参加项目名称（项目编号：____）第___标段采购活动提供本单位制造的货物（由本单位承担工程/提供服务），或者提供其他残疾人福利性单位制造的货物（不包括使用非残疾人福利性单位注册商标的货物）。</w:t>
      </w:r>
    </w:p>
    <w:p>
      <w:pPr>
        <w:spacing w:line="460" w:lineRule="exact"/>
        <w:ind w:firstLine="480" w:firstLineChars="200"/>
        <w:rPr>
          <w:rFonts w:hint="eastAsia" w:ascii="宋体" w:hAnsi="宋体" w:cs="宋体"/>
          <w:sz w:val="24"/>
        </w:rPr>
      </w:pPr>
      <w:r>
        <w:rPr>
          <w:rFonts w:hint="eastAsia" w:ascii="宋体" w:hAnsi="宋体" w:cs="宋体"/>
          <w:sz w:val="24"/>
        </w:rPr>
        <w:t>本单位对上述声明的真实性负责。如有虚假，将依法承担相应责任。</w:t>
      </w:r>
    </w:p>
    <w:p>
      <w:pPr>
        <w:spacing w:line="460" w:lineRule="exact"/>
        <w:ind w:firstLine="480" w:firstLineChars="200"/>
        <w:rPr>
          <w:rFonts w:hint="eastAsia" w:ascii="宋体" w:hAnsi="宋体" w:cs="宋体"/>
          <w:sz w:val="24"/>
        </w:rPr>
      </w:pPr>
    </w:p>
    <w:p>
      <w:pPr>
        <w:spacing w:line="460" w:lineRule="exact"/>
        <w:ind w:firstLine="480" w:firstLineChars="200"/>
        <w:rPr>
          <w:rFonts w:hint="eastAsia" w:ascii="宋体" w:hAnsi="宋体" w:cs="宋体"/>
          <w:sz w:val="24"/>
        </w:rPr>
      </w:pPr>
      <w:r>
        <w:rPr>
          <w:rFonts w:hint="eastAsia" w:ascii="宋体" w:hAnsi="宋体" w:cs="宋体"/>
          <w:sz w:val="24"/>
        </w:rPr>
        <w:t>供应商（加盖公章）：</w:t>
      </w:r>
    </w:p>
    <w:p>
      <w:pPr>
        <w:spacing w:line="460" w:lineRule="exact"/>
        <w:ind w:firstLine="480" w:firstLineChars="200"/>
        <w:rPr>
          <w:rFonts w:hint="eastAsia" w:ascii="宋体" w:hAnsi="宋体" w:cs="宋体"/>
          <w:sz w:val="24"/>
        </w:rPr>
      </w:pPr>
      <w:r>
        <w:rPr>
          <w:rFonts w:hint="eastAsia" w:ascii="宋体" w:hAnsi="宋体" w:cs="宋体"/>
          <w:sz w:val="24"/>
        </w:rPr>
        <w:t>法定代表人或授权代表（签字或盖章）：</w:t>
      </w:r>
    </w:p>
    <w:p>
      <w:pPr>
        <w:spacing w:line="460" w:lineRule="exact"/>
        <w:ind w:firstLine="480" w:firstLineChars="200"/>
        <w:rPr>
          <w:rFonts w:hint="eastAsia" w:ascii="宋体" w:hAnsi="宋体" w:cs="宋体"/>
          <w:sz w:val="24"/>
        </w:rPr>
      </w:pPr>
      <w:r>
        <w:rPr>
          <w:rFonts w:hint="eastAsia" w:ascii="宋体" w:hAnsi="宋体" w:cs="宋体"/>
          <w:sz w:val="24"/>
        </w:rPr>
        <w:t>日　期：　　年　月　日</w:t>
      </w:r>
    </w:p>
    <w:p>
      <w:pPr>
        <w:spacing w:line="460" w:lineRule="exact"/>
        <w:ind w:firstLine="480" w:firstLineChars="200"/>
        <w:rPr>
          <w:rFonts w:hint="eastAsia" w:ascii="宋体" w:hAnsi="宋体" w:cs="宋体"/>
          <w:sz w:val="24"/>
        </w:rPr>
      </w:pPr>
    </w:p>
    <w:p>
      <w:pPr>
        <w:spacing w:line="460" w:lineRule="exact"/>
        <w:ind w:firstLine="480" w:firstLineChars="200"/>
        <w:rPr>
          <w:rFonts w:hint="eastAsia" w:ascii="宋体" w:hAnsi="宋体" w:cs="宋体"/>
          <w:sz w:val="24"/>
        </w:rPr>
      </w:pPr>
      <w:r>
        <w:rPr>
          <w:rFonts w:hint="eastAsia" w:ascii="宋体" w:hAnsi="宋体" w:cs="宋体"/>
          <w:sz w:val="24"/>
        </w:rPr>
        <w:t>备注：中标、成交供应商为残疾人福利性单位的，采购人或者其委托的采购代理机构应当随中标、成交结果同时公告其《残疾人福利性单位声明函》，接受社会监督。</w:t>
      </w:r>
    </w:p>
    <w:p>
      <w:pPr>
        <w:widowControl/>
        <w:tabs>
          <w:tab w:val="left" w:pos="5670"/>
        </w:tabs>
        <w:spacing w:line="500" w:lineRule="exact"/>
        <w:jc w:val="left"/>
        <w:rPr>
          <w:rFonts w:ascii="Calibri Light" w:hAnsi="Calibri Light" w:eastAsia="华文仿宋" w:cs="Calibri Light"/>
          <w:kern w:val="0"/>
          <w:sz w:val="28"/>
          <w:szCs w:val="28"/>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rPr>
          <w:rFonts w:hint="eastAsia" w:ascii="宋体" w:hAnsi="宋体" w:cs="Calibri Light"/>
          <w:b/>
          <w:kern w:val="0"/>
          <w:sz w:val="30"/>
          <w:szCs w:val="30"/>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409" w:firstLineChars="800"/>
        <w:rPr>
          <w:rFonts w:hint="eastAsia" w:ascii="宋体" w:hAnsi="宋体" w:cs="Calibri Light"/>
          <w:b/>
          <w:kern w:val="0"/>
          <w:sz w:val="30"/>
          <w:szCs w:val="30"/>
        </w:rPr>
      </w:pPr>
    </w:p>
    <w:p>
      <w:pPr>
        <w:widowControl/>
        <w:spacing w:line="500" w:lineRule="exact"/>
        <w:ind w:firstLine="2409" w:firstLineChars="800"/>
        <w:rPr>
          <w:rFonts w:hint="eastAsia" w:ascii="宋体" w:hAnsi="宋体" w:cs="Calibri Light"/>
          <w:b/>
          <w:kern w:val="0"/>
          <w:sz w:val="30"/>
          <w:szCs w:val="30"/>
        </w:rPr>
      </w:pPr>
    </w:p>
    <w:p>
      <w:pPr>
        <w:widowControl/>
        <w:spacing w:line="500" w:lineRule="exact"/>
        <w:ind w:firstLine="2409" w:firstLineChars="800"/>
        <w:rPr>
          <w:rFonts w:hint="eastAsia" w:ascii="宋体" w:hAnsi="宋体" w:cs="Calibri Light"/>
          <w:b/>
          <w:kern w:val="0"/>
          <w:sz w:val="30"/>
          <w:szCs w:val="30"/>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711" w:firstLineChars="900"/>
        <w:rPr>
          <w:rFonts w:ascii="宋体" w:hAnsi="宋体" w:cs="Calibri Light"/>
          <w:b/>
          <w:kern w:val="0"/>
          <w:sz w:val="30"/>
          <w:szCs w:val="30"/>
        </w:rPr>
      </w:pPr>
      <w:r>
        <w:rPr>
          <w:rFonts w:hint="eastAsia" w:ascii="宋体" w:hAnsi="宋体" w:cs="Calibri Light"/>
          <w:b/>
          <w:kern w:val="0"/>
          <w:sz w:val="30"/>
          <w:szCs w:val="30"/>
        </w:rPr>
        <w:t>3、监狱企业证明函</w:t>
      </w:r>
    </w:p>
    <w:p>
      <w:pPr>
        <w:widowControl/>
        <w:spacing w:line="500" w:lineRule="exact"/>
        <w:jc w:val="center"/>
        <w:rPr>
          <w:rFonts w:ascii="Calibri Light" w:hAnsi="Calibri Light" w:eastAsia="华文仿宋" w:cs="Calibri Light"/>
          <w:b/>
          <w:kern w:val="0"/>
          <w:sz w:val="30"/>
          <w:szCs w:val="30"/>
        </w:rPr>
      </w:pPr>
    </w:p>
    <w:p>
      <w:pPr>
        <w:widowControl/>
        <w:spacing w:line="500" w:lineRule="exact"/>
        <w:ind w:firstLine="480" w:firstLineChars="200"/>
        <w:jc w:val="left"/>
        <w:rPr>
          <w:rFonts w:hint="eastAsia" w:ascii="宋体" w:hAnsi="宋体" w:cs="Calibri Light"/>
          <w:kern w:val="0"/>
          <w:sz w:val="24"/>
        </w:rPr>
      </w:pPr>
      <w:r>
        <w:rPr>
          <w:rFonts w:hint="eastAsia" w:ascii="宋体" w:hAnsi="宋体" w:cs="Calibri Light"/>
          <w:kern w:val="0"/>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widowControl/>
        <w:spacing w:line="500" w:lineRule="exact"/>
        <w:ind w:firstLine="480" w:firstLineChars="200"/>
        <w:jc w:val="left"/>
        <w:rPr>
          <w:rFonts w:ascii="宋体" w:hAnsi="宋体" w:cs="Calibri Light"/>
          <w:kern w:val="0"/>
          <w:sz w:val="24"/>
        </w:rPr>
      </w:pPr>
    </w:p>
    <w:p>
      <w:pPr>
        <w:widowControl/>
        <w:shd w:val="clear" w:color="auto" w:fill="FFFFFF"/>
        <w:spacing w:before="100" w:beforeAutospacing="1" w:after="100" w:afterAutospacing="1" w:line="560" w:lineRule="atLeast"/>
        <w:ind w:firstLine="720" w:firstLineChars="300"/>
        <w:jc w:val="left"/>
        <w:rPr>
          <w:rFonts w:ascii="宋体" w:hAnsi="宋体"/>
          <w:sz w:val="24"/>
        </w:rPr>
      </w:pPr>
      <w:r>
        <w:rPr>
          <w:rFonts w:hint="eastAsia" w:ascii="宋体" w:hAnsi="宋体" w:cs="Calibri Light"/>
          <w:kern w:val="0"/>
          <w:sz w:val="24"/>
        </w:rPr>
        <w:t>监狱企业参加政府采购活动时，应当提供由省级以上监狱管理局、戒毒管理局（含新疆生产建设兵团）出具的属于监狱企业的证明文件。</w:t>
      </w:r>
    </w:p>
    <w:p>
      <w:pPr>
        <w:jc w:val="center"/>
        <w:rPr>
          <w:sz w:val="24"/>
        </w:rPr>
      </w:pPr>
    </w:p>
    <w:p>
      <w:pPr>
        <w:jc w:val="center"/>
        <w:rPr>
          <w:b/>
          <w:bCs/>
          <w:kern w:val="0"/>
          <w:sz w:val="24"/>
        </w:rPr>
      </w:pPr>
    </w:p>
    <w:p>
      <w:pPr>
        <w:jc w:val="center"/>
        <w:rPr>
          <w:b/>
          <w:bCs/>
          <w:kern w:val="0"/>
          <w:sz w:val="24"/>
        </w:rPr>
      </w:pPr>
    </w:p>
    <w:p>
      <w:pPr>
        <w:jc w:val="center"/>
        <w:rPr>
          <w:b/>
          <w:bCs/>
          <w:kern w:val="0"/>
          <w:sz w:val="24"/>
        </w:rPr>
      </w:pPr>
    </w:p>
    <w:p>
      <w:pPr>
        <w:ind w:firstLine="2650" w:firstLineChars="1200"/>
        <w:rPr>
          <w:b/>
          <w:bCs/>
          <w:kern w:val="0"/>
          <w:sz w:val="22"/>
          <w:szCs w:val="22"/>
        </w:rPr>
      </w:pPr>
      <w:r>
        <w:rPr>
          <w:b/>
          <w:bCs/>
          <w:kern w:val="0"/>
          <w:sz w:val="22"/>
          <w:szCs w:val="22"/>
        </w:rPr>
        <w:t>（格式自拟，附证明文件）</w:t>
      </w:r>
    </w:p>
    <w:p>
      <w:pPr>
        <w:jc w:val="center"/>
        <w:rPr>
          <w:b/>
          <w:bCs/>
          <w:kern w:val="0"/>
          <w:sz w:val="22"/>
          <w:szCs w:val="22"/>
        </w:rPr>
      </w:pPr>
    </w:p>
    <w:p>
      <w:pPr>
        <w:jc w:val="center"/>
        <w:rPr>
          <w:b/>
          <w:bCs/>
          <w:kern w:val="0"/>
          <w:sz w:val="22"/>
          <w:szCs w:val="22"/>
        </w:rPr>
      </w:pPr>
    </w:p>
    <w:p>
      <w:pPr>
        <w:jc w:val="center"/>
        <w:rPr>
          <w:b/>
          <w:bCs/>
          <w:kern w:val="0"/>
          <w:sz w:val="22"/>
          <w:szCs w:val="22"/>
        </w:rPr>
      </w:pPr>
    </w:p>
    <w:p>
      <w:pPr>
        <w:jc w:val="center"/>
        <w:rPr>
          <w:b/>
          <w:bCs/>
          <w:kern w:val="0"/>
          <w:sz w:val="22"/>
          <w:szCs w:val="22"/>
        </w:rPr>
      </w:pPr>
    </w:p>
    <w:p>
      <w:pPr>
        <w:widowControl/>
        <w:tabs>
          <w:tab w:val="left" w:pos="5670"/>
        </w:tabs>
        <w:spacing w:line="500" w:lineRule="exact"/>
        <w:ind w:firstLine="4840" w:firstLineChars="2200"/>
        <w:jc w:val="left"/>
        <w:rPr>
          <w:rFonts w:ascii="宋体" w:hAnsi="宋体" w:cs="Calibri Light"/>
          <w:kern w:val="0"/>
          <w:sz w:val="22"/>
          <w:szCs w:val="22"/>
        </w:rPr>
      </w:pPr>
      <w:r>
        <w:rPr>
          <w:rFonts w:hint="eastAsia" w:ascii="宋体" w:hAnsi="宋体" w:cs="Calibri Light"/>
          <w:kern w:val="0"/>
          <w:sz w:val="22"/>
          <w:szCs w:val="22"/>
        </w:rPr>
        <w:t>供应商（加盖公章）：</w:t>
      </w:r>
    </w:p>
    <w:p>
      <w:pPr>
        <w:widowControl/>
        <w:spacing w:line="500" w:lineRule="exact"/>
        <w:ind w:firstLine="4840" w:firstLineChars="2200"/>
        <w:rPr>
          <w:rFonts w:ascii="宋体" w:hAnsi="宋体" w:cs="Calibri Light"/>
          <w:kern w:val="0"/>
          <w:sz w:val="22"/>
          <w:szCs w:val="22"/>
        </w:rPr>
      </w:pPr>
      <w:r>
        <w:rPr>
          <w:rFonts w:ascii="宋体" w:hAnsi="宋体" w:cs="Calibri Light"/>
          <w:kern w:val="0"/>
          <w:sz w:val="22"/>
          <w:szCs w:val="22"/>
        </w:rPr>
        <w:t>法定代表人或授权</w:t>
      </w:r>
      <w:r>
        <w:rPr>
          <w:rFonts w:hint="eastAsia" w:ascii="宋体" w:hAnsi="宋体" w:cs="Calibri Light"/>
          <w:kern w:val="0"/>
          <w:sz w:val="22"/>
          <w:szCs w:val="22"/>
        </w:rPr>
        <w:t>代表</w:t>
      </w:r>
      <w:r>
        <w:rPr>
          <w:rFonts w:ascii="宋体" w:hAnsi="宋体" w:cs="Calibri Light"/>
          <w:kern w:val="0"/>
          <w:sz w:val="22"/>
          <w:szCs w:val="22"/>
        </w:rPr>
        <w:t>（签字或盖章）：</w:t>
      </w:r>
    </w:p>
    <w:p>
      <w:pPr>
        <w:widowControl/>
        <w:tabs>
          <w:tab w:val="left" w:pos="5670"/>
        </w:tabs>
        <w:spacing w:line="500" w:lineRule="exact"/>
        <w:ind w:firstLine="4840" w:firstLineChars="2200"/>
        <w:jc w:val="left"/>
        <w:rPr>
          <w:rFonts w:ascii="宋体" w:hAnsi="宋体" w:cs="Calibri Light"/>
          <w:kern w:val="0"/>
          <w:sz w:val="22"/>
          <w:szCs w:val="22"/>
        </w:rPr>
      </w:pPr>
      <w:r>
        <w:rPr>
          <w:rFonts w:hint="eastAsia" w:ascii="宋体" w:hAnsi="宋体" w:cs="Calibri Light"/>
          <w:kern w:val="0"/>
          <w:sz w:val="22"/>
          <w:szCs w:val="22"/>
        </w:rPr>
        <w:t>日　期：　　年　月　日</w:t>
      </w:r>
    </w:p>
    <w:p>
      <w:pPr>
        <w:jc w:val="center"/>
        <w:rPr>
          <w:b/>
          <w:bCs/>
          <w:kern w:val="0"/>
          <w:sz w:val="24"/>
          <w:szCs w:val="22"/>
        </w:rPr>
      </w:pPr>
    </w:p>
    <w:p>
      <w:pPr>
        <w:jc w:val="center"/>
        <w:rPr>
          <w:b/>
          <w:bCs/>
          <w:kern w:val="0"/>
          <w:sz w:val="24"/>
          <w:szCs w:val="22"/>
        </w:rPr>
      </w:pPr>
    </w:p>
    <w:p>
      <w:pPr>
        <w:jc w:val="center"/>
        <w:rPr>
          <w:b/>
          <w:bCs/>
          <w:kern w:val="0"/>
          <w:sz w:val="24"/>
          <w:szCs w:val="22"/>
        </w:rPr>
      </w:pPr>
    </w:p>
    <w:p>
      <w:pPr>
        <w:jc w:val="center"/>
        <w:rPr>
          <w:b/>
          <w:bCs/>
          <w:kern w:val="0"/>
          <w:sz w:val="24"/>
          <w:szCs w:val="22"/>
        </w:rPr>
      </w:pPr>
    </w:p>
    <w:p>
      <w:pPr>
        <w:spacing w:line="460" w:lineRule="exact"/>
        <w:ind w:firstLine="2891" w:firstLineChars="1200"/>
        <w:rPr>
          <w:rFonts w:hint="eastAsia" w:ascii="宋体" w:hAnsi="宋体" w:cs="宋体"/>
          <w:b/>
          <w:bCs/>
          <w:sz w:val="24"/>
        </w:rPr>
      </w:pPr>
    </w:p>
    <w:p>
      <w:pPr>
        <w:spacing w:line="460" w:lineRule="exact"/>
        <w:ind w:firstLine="2891" w:firstLineChars="1200"/>
        <w:rPr>
          <w:rFonts w:hint="eastAsia" w:ascii="宋体" w:hAnsi="宋体" w:cs="宋体"/>
          <w:b/>
          <w:bCs/>
          <w:sz w:val="24"/>
        </w:rPr>
      </w:pPr>
    </w:p>
    <w:p>
      <w:pPr>
        <w:spacing w:line="460" w:lineRule="exact"/>
        <w:ind w:firstLine="2891" w:firstLineChars="1200"/>
        <w:rPr>
          <w:rFonts w:hint="eastAsia" w:ascii="宋体" w:hAnsi="宋体" w:cs="宋体"/>
          <w:b/>
          <w:bCs/>
          <w:sz w:val="24"/>
        </w:rPr>
      </w:pPr>
    </w:p>
    <w:p>
      <w:pPr>
        <w:keepNext w:val="0"/>
        <w:keepLines w:val="0"/>
        <w:pageBreakBefore w:val="0"/>
        <w:widowControl w:val="0"/>
        <w:kinsoku/>
        <w:wordWrap/>
        <w:overflowPunct/>
        <w:topLinePunct w:val="0"/>
        <w:autoSpaceDE/>
        <w:autoSpaceDN/>
        <w:bidi w:val="0"/>
        <w:adjustRightInd/>
        <w:snapToGrid/>
        <w:spacing w:after="157" w:afterLines="50" w:line="500" w:lineRule="exact"/>
        <w:ind w:firstLine="480" w:firstLineChars="200"/>
        <w:jc w:val="center"/>
        <w:textAlignment w:val="auto"/>
        <w:rPr>
          <w:rFonts w:hint="default" w:ascii="Times New Roman" w:hAnsi="Times New Roman" w:eastAsia="宋体" w:cs="Times New Roman"/>
          <w:b/>
          <w:bCs/>
          <w:color w:val="auto"/>
          <w:spacing w:val="0"/>
          <w:kern w:val="0"/>
          <w:sz w:val="26"/>
          <w:szCs w:val="26"/>
          <w:highlight w:val="none"/>
        </w:rPr>
      </w:pPr>
      <w:r>
        <w:rPr>
          <w:rFonts w:hint="default" w:ascii="Times New Roman" w:hAnsi="Times New Roman" w:eastAsia="宋体" w:cs="Times New Roman"/>
          <w:sz w:val="24"/>
        </w:rPr>
        <w:br w:type="page"/>
      </w:r>
      <w:r>
        <w:rPr>
          <w:rFonts w:hint="eastAsia" w:ascii="Times New Roman" w:hAnsi="Times New Roman" w:cs="Times New Roman"/>
          <w:b/>
          <w:bCs/>
          <w:color w:val="auto"/>
          <w:sz w:val="24"/>
          <w:szCs w:val="24"/>
          <w:highlight w:val="none"/>
        </w:rPr>
        <w:t>投标人认为有必要提供的其他资料</w:t>
      </w:r>
    </w:p>
    <w:p>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eastAsia="zh-CN"/>
        </w:rPr>
        <w:t>1、投标供应商类似项目业绩</w:t>
      </w:r>
      <w:r>
        <w:rPr>
          <w:rFonts w:hint="eastAsia" w:ascii="Times New Roman" w:hAnsi="Times New Roman" w:cs="Times New Roman"/>
          <w:color w:val="auto"/>
          <w:sz w:val="22"/>
          <w:szCs w:val="22"/>
          <w:highlight w:val="none"/>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default" w:ascii="Times New Roman" w:hAnsi="Times New Roman" w:eastAsia="宋体" w:cs="Times New Roman"/>
          <w:color w:val="auto"/>
          <w:sz w:val="22"/>
          <w:szCs w:val="22"/>
          <w:highlight w:val="none"/>
          <w:lang w:eastAsia="zh-CN"/>
        </w:rPr>
      </w:pPr>
      <w:r>
        <w:rPr>
          <w:rFonts w:hint="default" w:ascii="Times New Roman" w:hAnsi="Times New Roman" w:eastAsia="宋体" w:cs="Times New Roman"/>
          <w:color w:val="auto"/>
          <w:sz w:val="22"/>
          <w:szCs w:val="22"/>
          <w:highlight w:val="none"/>
          <w:lang w:eastAsia="zh-CN"/>
        </w:rPr>
        <w:t>2、投标供应商需要说明的其它证明文件。</w:t>
      </w: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spacing w:beforeLines="50" w:afterLines="100"/>
        <w:rPr>
          <w:rFonts w:hint="eastAsia" w:ascii="宋体"/>
          <w:b/>
          <w:bCs/>
          <w:color w:val="000000"/>
          <w:sz w:val="30"/>
          <w:szCs w:val="30"/>
          <w:highlight w:val="none"/>
        </w:rPr>
      </w:pPr>
    </w:p>
    <w:p>
      <w:pPr>
        <w:spacing w:beforeLines="50" w:afterLines="100"/>
        <w:rPr>
          <w:rFonts w:ascii="宋体"/>
          <w:color w:val="000000"/>
          <w:sz w:val="30"/>
          <w:szCs w:val="30"/>
          <w:highlight w:val="none"/>
        </w:rPr>
      </w:pPr>
      <w:r>
        <w:rPr>
          <w:rFonts w:hint="eastAsia" w:ascii="宋体"/>
          <w:b/>
          <w:bCs/>
          <w:color w:val="000000"/>
          <w:sz w:val="30"/>
          <w:szCs w:val="30"/>
          <w:highlight w:val="none"/>
        </w:rPr>
        <w:t>附件：封袋正面标识式样</w:t>
      </w:r>
    </w:p>
    <w:p>
      <w:pPr>
        <w:spacing w:line="460" w:lineRule="exact"/>
        <w:ind w:firstLine="482" w:firstLineChars="200"/>
        <w:rPr>
          <w:rFonts w:ascii="宋体"/>
          <w:b/>
          <w:color w:val="000000"/>
          <w:sz w:val="24"/>
          <w:highlight w:val="none"/>
        </w:rPr>
      </w:pPr>
      <w:r>
        <w:rPr>
          <w:rFonts w:ascii="宋体"/>
          <w:b/>
          <w:color w:val="000000"/>
          <w:sz w:val="24"/>
          <w:highlight w:val="none"/>
        </w:rPr>
        <mc:AlternateContent>
          <mc:Choice Requires="wps">
            <w:drawing>
              <wp:anchor distT="0" distB="0" distL="114300" distR="114300" simplePos="0" relativeHeight="251659264" behindDoc="0" locked="0" layoutInCell="1" allowOverlap="1">
                <wp:simplePos x="0" y="0"/>
                <wp:positionH relativeFrom="column">
                  <wp:posOffset>-65405</wp:posOffset>
                </wp:positionH>
                <wp:positionV relativeFrom="paragraph">
                  <wp:posOffset>36195</wp:posOffset>
                </wp:positionV>
                <wp:extent cx="5856605" cy="3208655"/>
                <wp:effectExtent l="4445" t="4445" r="6350" b="6350"/>
                <wp:wrapNone/>
                <wp:docPr id="3" name="文本框 3"/>
                <wp:cNvGraphicFramePr/>
                <a:graphic xmlns:a="http://schemas.openxmlformats.org/drawingml/2006/main">
                  <a:graphicData uri="http://schemas.microsoft.com/office/word/2010/wordprocessingShape">
                    <wps:wsp>
                      <wps:cNvSpPr txBox="1"/>
                      <wps:spPr>
                        <a:xfrm>
                          <a:off x="0" y="0"/>
                          <a:ext cx="5856605" cy="320865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rPr>
                                <w:rFonts w:ascii="宋体"/>
                                <w:sz w:val="28"/>
                                <w:szCs w:val="28"/>
                              </w:rPr>
                            </w:pPr>
                            <w:r>
                              <w:rPr>
                                <w:rFonts w:hint="eastAsia" w:ascii="宋体"/>
                                <w:sz w:val="28"/>
                                <w:szCs w:val="28"/>
                              </w:rPr>
                              <w:t xml:space="preserve">致： </w:t>
                            </w:r>
                          </w:p>
                          <w:p>
                            <w:pPr>
                              <w:rPr>
                                <w:rFonts w:ascii="宋体"/>
                                <w:color w:val="FF0000"/>
                                <w:sz w:val="28"/>
                                <w:szCs w:val="28"/>
                              </w:rPr>
                            </w:pPr>
                            <w:r>
                              <w:rPr>
                                <w:rFonts w:hint="eastAsia" w:ascii="宋体"/>
                                <w:sz w:val="28"/>
                                <w:szCs w:val="28"/>
                              </w:rPr>
                              <w:t xml:space="preserve">项目编号：                                        </w:t>
                            </w:r>
                          </w:p>
                          <w:p>
                            <w:pPr>
                              <w:rPr>
                                <w:rFonts w:ascii="宋体"/>
                                <w:color w:val="FF0000"/>
                                <w:sz w:val="28"/>
                                <w:szCs w:val="28"/>
                              </w:rPr>
                            </w:pPr>
                            <w:r>
                              <w:rPr>
                                <w:rFonts w:hint="eastAsia" w:ascii="宋体"/>
                                <w:sz w:val="28"/>
                                <w:szCs w:val="28"/>
                              </w:rPr>
                              <w:t xml:space="preserve">项目名称：                             </w:t>
                            </w:r>
                          </w:p>
                          <w:p>
                            <w:pPr>
                              <w:jc w:val="center"/>
                              <w:rPr>
                                <w:rFonts w:ascii="宋体"/>
                                <w:b/>
                                <w:sz w:val="44"/>
                                <w:szCs w:val="44"/>
                              </w:rPr>
                            </w:pPr>
                            <w:r>
                              <w:rPr>
                                <w:rFonts w:hint="eastAsia" w:ascii="宋体"/>
                                <w:b/>
                                <w:sz w:val="44"/>
                                <w:szCs w:val="44"/>
                              </w:rPr>
                              <w:t>投标文件（正本或副本）</w:t>
                            </w:r>
                          </w:p>
                          <w:p>
                            <w:pPr>
                              <w:jc w:val="center"/>
                              <w:rPr>
                                <w:rFonts w:ascii="宋体"/>
                                <w:sz w:val="28"/>
                                <w:szCs w:val="28"/>
                              </w:rPr>
                            </w:pPr>
                            <w:r>
                              <w:rPr>
                                <w:rFonts w:hint="eastAsia" w:ascii="宋体"/>
                                <w:sz w:val="28"/>
                                <w:szCs w:val="28"/>
                              </w:rPr>
                              <w:t>（非招标大会不得启封）</w:t>
                            </w:r>
                          </w:p>
                          <w:p>
                            <w:pPr>
                              <w:rPr>
                                <w:rFonts w:ascii="宋体"/>
                                <w:sz w:val="28"/>
                                <w:szCs w:val="28"/>
                              </w:rPr>
                            </w:pPr>
                          </w:p>
                          <w:p>
                            <w:pPr>
                              <w:rPr>
                                <w:rFonts w:ascii="宋体"/>
                                <w:sz w:val="28"/>
                                <w:szCs w:val="28"/>
                              </w:rPr>
                            </w:pPr>
                            <w:r>
                              <w:rPr>
                                <w:rFonts w:hint="eastAsia" w:ascii="宋体"/>
                                <w:sz w:val="28"/>
                                <w:szCs w:val="28"/>
                              </w:rPr>
                              <w:t>投标人名称：            （公章）</w:t>
                            </w:r>
                          </w:p>
                          <w:p>
                            <w:pPr>
                              <w:rPr>
                                <w:rFonts w:ascii="宋体"/>
                                <w:sz w:val="28"/>
                                <w:szCs w:val="28"/>
                              </w:rPr>
                            </w:pPr>
                          </w:p>
                        </w:txbxContent>
                      </wps:txbx>
                      <wps:bodyPr upright="1"/>
                    </wps:wsp>
                  </a:graphicData>
                </a:graphic>
              </wp:anchor>
            </w:drawing>
          </mc:Choice>
          <mc:Fallback>
            <w:pict>
              <v:shape id="_x0000_s1026" o:spid="_x0000_s1026" o:spt="202" type="#_x0000_t202" style="position:absolute;left:0pt;margin-left:-5.15pt;margin-top:2.85pt;height:252.65pt;width:461.15pt;z-index:251659264;mso-width-relative:page;mso-height-relative:page;" fillcolor="#FFFFFF" filled="t" stroked="t" coordsize="21600,21600" o:gfxdata="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MxJg+HYAAAACQEAAA8AAAAAAAAA&#10;AQAgAAAAIgAAAGRycy9kb3ducmV2LnhtbFBLAQIUABQAAAAIAIdO4kDEYJwYEQIAAEUEAAAOAAAA&#10;AAAAAAEAIAAAACcBAABkcnMvZTJvRG9jLnhtbFBLBQYAAAAABgAGAFkBAACqBQAAAAA=&#10;">
                <v:fill on="t" focussize="0,0"/>
                <v:stroke color="#000000" joinstyle="miter"/>
                <v:imagedata o:title=""/>
                <o:lock v:ext="edit" aspectratio="f"/>
                <v:textbox>
                  <w:txbxContent>
                    <w:p>
                      <w:pPr>
                        <w:rPr>
                          <w:rFonts w:ascii="宋体"/>
                          <w:sz w:val="28"/>
                          <w:szCs w:val="28"/>
                        </w:rPr>
                      </w:pPr>
                      <w:r>
                        <w:rPr>
                          <w:rFonts w:hint="eastAsia" w:ascii="宋体"/>
                          <w:sz w:val="28"/>
                          <w:szCs w:val="28"/>
                        </w:rPr>
                        <w:t xml:space="preserve">致： </w:t>
                      </w:r>
                    </w:p>
                    <w:p>
                      <w:pPr>
                        <w:rPr>
                          <w:rFonts w:ascii="宋体"/>
                          <w:color w:val="FF0000"/>
                          <w:sz w:val="28"/>
                          <w:szCs w:val="28"/>
                        </w:rPr>
                      </w:pPr>
                      <w:r>
                        <w:rPr>
                          <w:rFonts w:hint="eastAsia" w:ascii="宋体"/>
                          <w:sz w:val="28"/>
                          <w:szCs w:val="28"/>
                        </w:rPr>
                        <w:t xml:space="preserve">项目编号：                                        </w:t>
                      </w:r>
                    </w:p>
                    <w:p>
                      <w:pPr>
                        <w:rPr>
                          <w:rFonts w:ascii="宋体"/>
                          <w:color w:val="FF0000"/>
                          <w:sz w:val="28"/>
                          <w:szCs w:val="28"/>
                        </w:rPr>
                      </w:pPr>
                      <w:r>
                        <w:rPr>
                          <w:rFonts w:hint="eastAsia" w:ascii="宋体"/>
                          <w:sz w:val="28"/>
                          <w:szCs w:val="28"/>
                        </w:rPr>
                        <w:t xml:space="preserve">项目名称：                             </w:t>
                      </w:r>
                    </w:p>
                    <w:p>
                      <w:pPr>
                        <w:jc w:val="center"/>
                        <w:rPr>
                          <w:rFonts w:ascii="宋体"/>
                          <w:b/>
                          <w:sz w:val="44"/>
                          <w:szCs w:val="44"/>
                        </w:rPr>
                      </w:pPr>
                      <w:r>
                        <w:rPr>
                          <w:rFonts w:hint="eastAsia" w:ascii="宋体"/>
                          <w:b/>
                          <w:sz w:val="44"/>
                          <w:szCs w:val="44"/>
                        </w:rPr>
                        <w:t>投标文件（正本或副本）</w:t>
                      </w:r>
                    </w:p>
                    <w:p>
                      <w:pPr>
                        <w:jc w:val="center"/>
                        <w:rPr>
                          <w:rFonts w:ascii="宋体"/>
                          <w:sz w:val="28"/>
                          <w:szCs w:val="28"/>
                        </w:rPr>
                      </w:pPr>
                      <w:r>
                        <w:rPr>
                          <w:rFonts w:hint="eastAsia" w:ascii="宋体"/>
                          <w:sz w:val="28"/>
                          <w:szCs w:val="28"/>
                        </w:rPr>
                        <w:t>（非招标大会不得启封）</w:t>
                      </w:r>
                    </w:p>
                    <w:p>
                      <w:pPr>
                        <w:rPr>
                          <w:rFonts w:ascii="宋体"/>
                          <w:sz w:val="28"/>
                          <w:szCs w:val="28"/>
                        </w:rPr>
                      </w:pPr>
                    </w:p>
                    <w:p>
                      <w:pPr>
                        <w:rPr>
                          <w:rFonts w:ascii="宋体"/>
                          <w:sz w:val="28"/>
                          <w:szCs w:val="28"/>
                        </w:rPr>
                      </w:pPr>
                      <w:r>
                        <w:rPr>
                          <w:rFonts w:hint="eastAsia" w:ascii="宋体"/>
                          <w:sz w:val="28"/>
                          <w:szCs w:val="28"/>
                        </w:rPr>
                        <w:t>投标人名称：            （公章）</w:t>
                      </w:r>
                    </w:p>
                    <w:p>
                      <w:pPr>
                        <w:rPr>
                          <w:rFonts w:ascii="宋体"/>
                          <w:sz w:val="28"/>
                          <w:szCs w:val="28"/>
                        </w:rPr>
                      </w:pPr>
                    </w:p>
                  </w:txbxContent>
                </v:textbox>
              </v:shape>
            </w:pict>
          </mc:Fallback>
        </mc:AlternateContent>
      </w:r>
    </w:p>
    <w:p>
      <w:pPr>
        <w:spacing w:line="460" w:lineRule="exact"/>
        <w:ind w:firstLine="482" w:firstLineChars="200"/>
        <w:rPr>
          <w:rFonts w:ascii="宋体"/>
          <w:b/>
          <w:color w:val="000000"/>
          <w:sz w:val="24"/>
          <w:highlight w:val="none"/>
        </w:rPr>
      </w:pPr>
    </w:p>
    <w:p>
      <w:pPr>
        <w:spacing w:line="460" w:lineRule="exact"/>
        <w:ind w:firstLine="482" w:firstLineChars="200"/>
        <w:rPr>
          <w:rFonts w:ascii="宋体"/>
          <w:b/>
          <w:color w:val="000000"/>
          <w:sz w:val="24"/>
          <w:highlight w:val="none"/>
        </w:rPr>
      </w:pPr>
    </w:p>
    <w:p>
      <w:pPr>
        <w:spacing w:line="360" w:lineRule="atLeast"/>
        <w:ind w:firstLine="2108" w:firstLineChars="500"/>
        <w:rPr>
          <w:rFonts w:ascii="宋体"/>
          <w:b/>
          <w:color w:val="000000"/>
          <w:sz w:val="42"/>
          <w:szCs w:val="42"/>
          <w:highlight w:val="none"/>
        </w:rPr>
      </w:pPr>
    </w:p>
    <w:p>
      <w:pPr>
        <w:spacing w:line="360" w:lineRule="atLeast"/>
        <w:ind w:firstLine="2108" w:firstLineChars="500"/>
        <w:rPr>
          <w:rFonts w:ascii="宋体"/>
          <w:b/>
          <w:color w:val="000000"/>
          <w:sz w:val="42"/>
          <w:szCs w:val="42"/>
          <w:highlight w:val="none"/>
        </w:rPr>
      </w:pPr>
    </w:p>
    <w:p>
      <w:pPr>
        <w:spacing w:line="360" w:lineRule="atLeast"/>
        <w:ind w:firstLine="2108" w:firstLineChars="500"/>
        <w:rPr>
          <w:rFonts w:ascii="宋体"/>
          <w:b/>
          <w:color w:val="000000"/>
          <w:sz w:val="42"/>
          <w:szCs w:val="42"/>
          <w:highlight w:val="none"/>
        </w:rPr>
      </w:pPr>
    </w:p>
    <w:p>
      <w:pPr>
        <w:spacing w:line="360" w:lineRule="atLeast"/>
        <w:ind w:firstLine="2108" w:firstLineChars="500"/>
        <w:rPr>
          <w:rFonts w:ascii="宋体"/>
          <w:b/>
          <w:color w:val="000000"/>
          <w:sz w:val="42"/>
          <w:szCs w:val="42"/>
          <w:highlight w:val="none"/>
        </w:rPr>
      </w:pPr>
    </w:p>
    <w:p>
      <w:pPr>
        <w:spacing w:line="360" w:lineRule="atLeast"/>
        <w:ind w:firstLine="2108" w:firstLineChars="500"/>
        <w:rPr>
          <w:rFonts w:ascii="宋体"/>
          <w:b/>
          <w:color w:val="000000"/>
          <w:sz w:val="42"/>
          <w:szCs w:val="42"/>
          <w:highlight w:val="none"/>
        </w:rPr>
      </w:pPr>
    </w:p>
    <w:p>
      <w:pPr>
        <w:spacing w:line="360" w:lineRule="atLeast"/>
        <w:ind w:firstLine="2108" w:firstLineChars="500"/>
        <w:rPr>
          <w:rFonts w:ascii="宋体"/>
          <w:b/>
          <w:color w:val="000000"/>
          <w:sz w:val="42"/>
          <w:szCs w:val="42"/>
          <w:highlight w:val="none"/>
        </w:rPr>
      </w:pPr>
    </w:p>
    <w:p>
      <w:pPr>
        <w:spacing w:line="360" w:lineRule="atLeast"/>
        <w:rPr>
          <w:rFonts w:ascii="宋体"/>
          <w:b/>
          <w:color w:val="000000"/>
          <w:sz w:val="24"/>
          <w:highlight w:val="none"/>
        </w:rPr>
      </w:pPr>
    </w:p>
    <w:p>
      <w:pPr>
        <w:spacing w:line="360" w:lineRule="auto"/>
        <w:ind w:right="456"/>
        <w:rPr>
          <w:rFonts w:ascii="宋体"/>
          <w:b/>
          <w:sz w:val="24"/>
          <w:highlight w:val="none"/>
        </w:rPr>
      </w:pPr>
    </w:p>
    <w:p>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default" w:ascii="Times New Roman" w:hAnsi="Times New Roman" w:cs="Times New Roman"/>
          <w:color w:val="auto"/>
          <w:sz w:val="22"/>
          <w:szCs w:val="22"/>
          <w:highlight w:val="none"/>
        </w:rPr>
      </w:pPr>
    </w:p>
    <w:sectPr>
      <w:pgSz w:w="11906" w:h="16838"/>
      <w:pgMar w:top="1417" w:right="1417" w:bottom="1417" w:left="141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pperplate Gothic Bold">
    <w:panose1 w:val="020E0705020206020404"/>
    <w:charset w:val="00"/>
    <w:family w:val="swiss"/>
    <w:pitch w:val="default"/>
    <w:sig w:usb0="00000003" w:usb1="00000000" w:usb2="00000000" w:usb3="00000000" w:csb0="20000001" w:csb1="00000000"/>
  </w:font>
  <w:font w:name="宋体fal">
    <w:altName w:val="宋体"/>
    <w:panose1 w:val="00000000000000000000"/>
    <w:charset w:val="86"/>
    <w:family w:val="auto"/>
    <w:pitch w:val="default"/>
    <w:sig w:usb0="00000000" w:usb1="00000000" w:usb2="00000010" w:usb3="00000000" w:csb0="00040000" w:csb1="00000000"/>
  </w:font>
  <w:font w:name="楷体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262" w:h="289" w:hRule="exact" w:wrap="around" w:vAnchor="text" w:hAnchor="margin" w:xAlign="center" w:y="-3"/>
      <w:rPr>
        <w:rStyle w:val="14"/>
        <w:rFonts w:ascii="Times New Roman" w:hAnsi="Times New Roman"/>
        <w:sz w:val="22"/>
      </w:rPr>
    </w:pPr>
    <w:r>
      <w:rPr>
        <w:rFonts w:ascii="Times New Roman" w:hAnsi="Times New Roman"/>
        <w:sz w:val="22"/>
      </w:rPr>
      <w:fldChar w:fldCharType="begin"/>
    </w:r>
    <w:r>
      <w:rPr>
        <w:rStyle w:val="14"/>
        <w:rFonts w:ascii="Times New Roman" w:hAnsi="Times New Roman"/>
        <w:sz w:val="22"/>
      </w:rPr>
      <w:instrText xml:space="preserve">PAGE  </w:instrText>
    </w:r>
    <w:r>
      <w:rPr>
        <w:rFonts w:ascii="Times New Roman" w:hAnsi="Times New Roman"/>
        <w:sz w:val="22"/>
      </w:rPr>
      <w:fldChar w:fldCharType="separate"/>
    </w:r>
    <w:r>
      <w:rPr>
        <w:rStyle w:val="14"/>
        <w:rFonts w:ascii="Times New Roman" w:hAnsi="Times New Roman"/>
        <w:sz w:val="22"/>
      </w:rPr>
      <w:t>17</w:t>
    </w:r>
    <w:r>
      <w:rPr>
        <w:rFonts w:ascii="Times New Roman" w:hAnsi="Times New Roman"/>
        <w:sz w:val="22"/>
      </w:rPr>
      <w:fldChar w:fldCharType="end"/>
    </w:r>
  </w:p>
  <w:p>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3C4B7D"/>
    <w:multiLevelType w:val="singleLevel"/>
    <w:tmpl w:val="0D3C4B7D"/>
    <w:lvl w:ilvl="0" w:tentative="0">
      <w:start w:val="5"/>
      <w:numFmt w:val="decimal"/>
      <w:suff w:val="nothing"/>
      <w:lvlText w:val="%1、"/>
      <w:lvlJc w:val="left"/>
    </w:lvl>
  </w:abstractNum>
  <w:abstractNum w:abstractNumId="1">
    <w:nsid w:val="1300282D"/>
    <w:multiLevelType w:val="singleLevel"/>
    <w:tmpl w:val="1300282D"/>
    <w:lvl w:ilvl="0" w:tentative="0">
      <w:start w:val="1"/>
      <w:numFmt w:val="decimal"/>
      <w:suff w:val="nothing"/>
      <w:lvlText w:val="%1、"/>
      <w:lvlJc w:val="left"/>
      <w:rPr>
        <w:rFonts w:hint="default"/>
        <w:color w:val="auto"/>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attachedTemplate r:id="rId1"/>
  <w:documentProtection w:enforcement="0"/>
  <w:defaultTabStop w:val="420"/>
  <w:drawingGridHorizontalSpacing w:val="105"/>
  <w:drawingGridVerticalSpacing w:val="156"/>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ZmOTg3Y2VlNTQ5OGFlZTkwZjg5NzIxM2JiZWViYjYifQ=="/>
  </w:docVars>
  <w:rsids>
    <w:rsidRoot w:val="00ED405B"/>
    <w:rsid w:val="00004704"/>
    <w:rsid w:val="00005BB0"/>
    <w:rsid w:val="00011F83"/>
    <w:rsid w:val="00012827"/>
    <w:rsid w:val="000129D3"/>
    <w:rsid w:val="00014106"/>
    <w:rsid w:val="00015016"/>
    <w:rsid w:val="00016733"/>
    <w:rsid w:val="0002212E"/>
    <w:rsid w:val="00025B14"/>
    <w:rsid w:val="000277F0"/>
    <w:rsid w:val="0003598B"/>
    <w:rsid w:val="00036BC6"/>
    <w:rsid w:val="00044C91"/>
    <w:rsid w:val="00046C96"/>
    <w:rsid w:val="00046D4C"/>
    <w:rsid w:val="00055591"/>
    <w:rsid w:val="00056F7D"/>
    <w:rsid w:val="000645C4"/>
    <w:rsid w:val="00075D64"/>
    <w:rsid w:val="000760E3"/>
    <w:rsid w:val="00076C94"/>
    <w:rsid w:val="000857E0"/>
    <w:rsid w:val="00086B87"/>
    <w:rsid w:val="00095F10"/>
    <w:rsid w:val="000A504B"/>
    <w:rsid w:val="000B40E1"/>
    <w:rsid w:val="000B47E2"/>
    <w:rsid w:val="000B74F9"/>
    <w:rsid w:val="000C32F7"/>
    <w:rsid w:val="000C374A"/>
    <w:rsid w:val="000D10DA"/>
    <w:rsid w:val="000D3181"/>
    <w:rsid w:val="000D4BD1"/>
    <w:rsid w:val="000D5268"/>
    <w:rsid w:val="000E158F"/>
    <w:rsid w:val="000E4684"/>
    <w:rsid w:val="000E4E1A"/>
    <w:rsid w:val="000F3C12"/>
    <w:rsid w:val="000F5842"/>
    <w:rsid w:val="001006B2"/>
    <w:rsid w:val="0010342E"/>
    <w:rsid w:val="00103C41"/>
    <w:rsid w:val="001053D7"/>
    <w:rsid w:val="0011092A"/>
    <w:rsid w:val="00120AE1"/>
    <w:rsid w:val="00123ACD"/>
    <w:rsid w:val="00124C2D"/>
    <w:rsid w:val="00126BD7"/>
    <w:rsid w:val="00143EFD"/>
    <w:rsid w:val="001537FA"/>
    <w:rsid w:val="001568CC"/>
    <w:rsid w:val="00160A19"/>
    <w:rsid w:val="0016791F"/>
    <w:rsid w:val="00173F0B"/>
    <w:rsid w:val="00180745"/>
    <w:rsid w:val="00190368"/>
    <w:rsid w:val="00190BA7"/>
    <w:rsid w:val="00196ED8"/>
    <w:rsid w:val="001A2EF6"/>
    <w:rsid w:val="001A55EF"/>
    <w:rsid w:val="001A5E19"/>
    <w:rsid w:val="001B0947"/>
    <w:rsid w:val="001C3670"/>
    <w:rsid w:val="001D0F67"/>
    <w:rsid w:val="001E2ED0"/>
    <w:rsid w:val="001E4434"/>
    <w:rsid w:val="001E51C6"/>
    <w:rsid w:val="001E5BDE"/>
    <w:rsid w:val="001F2F73"/>
    <w:rsid w:val="001F443F"/>
    <w:rsid w:val="001F58D4"/>
    <w:rsid w:val="002014BB"/>
    <w:rsid w:val="00204A01"/>
    <w:rsid w:val="0020529C"/>
    <w:rsid w:val="002052D8"/>
    <w:rsid w:val="002066FD"/>
    <w:rsid w:val="0021148B"/>
    <w:rsid w:val="00213448"/>
    <w:rsid w:val="00213D7C"/>
    <w:rsid w:val="0021643B"/>
    <w:rsid w:val="00217161"/>
    <w:rsid w:val="002174EF"/>
    <w:rsid w:val="00227F60"/>
    <w:rsid w:val="00243826"/>
    <w:rsid w:val="002456E0"/>
    <w:rsid w:val="0025010C"/>
    <w:rsid w:val="002908A2"/>
    <w:rsid w:val="00295DCB"/>
    <w:rsid w:val="002B4C68"/>
    <w:rsid w:val="002B5F27"/>
    <w:rsid w:val="002B6A80"/>
    <w:rsid w:val="002C0817"/>
    <w:rsid w:val="002C0CC6"/>
    <w:rsid w:val="002C278D"/>
    <w:rsid w:val="002C64E3"/>
    <w:rsid w:val="002D278D"/>
    <w:rsid w:val="002D5285"/>
    <w:rsid w:val="002E3B30"/>
    <w:rsid w:val="002E3C08"/>
    <w:rsid w:val="002E42CF"/>
    <w:rsid w:val="002E7861"/>
    <w:rsid w:val="002F0572"/>
    <w:rsid w:val="002F334C"/>
    <w:rsid w:val="00304CFB"/>
    <w:rsid w:val="003122A2"/>
    <w:rsid w:val="00316A24"/>
    <w:rsid w:val="0032432C"/>
    <w:rsid w:val="003376B1"/>
    <w:rsid w:val="003421C8"/>
    <w:rsid w:val="00342E89"/>
    <w:rsid w:val="0034388F"/>
    <w:rsid w:val="00345D12"/>
    <w:rsid w:val="00346E06"/>
    <w:rsid w:val="003514D9"/>
    <w:rsid w:val="0035172A"/>
    <w:rsid w:val="00361DF3"/>
    <w:rsid w:val="00364449"/>
    <w:rsid w:val="003750A2"/>
    <w:rsid w:val="00382114"/>
    <w:rsid w:val="00384014"/>
    <w:rsid w:val="003853C0"/>
    <w:rsid w:val="003876F6"/>
    <w:rsid w:val="003907C8"/>
    <w:rsid w:val="00393A07"/>
    <w:rsid w:val="003943FC"/>
    <w:rsid w:val="003974AC"/>
    <w:rsid w:val="003A059D"/>
    <w:rsid w:val="003A3750"/>
    <w:rsid w:val="003B54B0"/>
    <w:rsid w:val="003B69DF"/>
    <w:rsid w:val="003C1A01"/>
    <w:rsid w:val="003D0F10"/>
    <w:rsid w:val="003D0FB8"/>
    <w:rsid w:val="003D22C7"/>
    <w:rsid w:val="003D6313"/>
    <w:rsid w:val="003D6BCA"/>
    <w:rsid w:val="003E6E3F"/>
    <w:rsid w:val="003F1DA6"/>
    <w:rsid w:val="003F5896"/>
    <w:rsid w:val="00401187"/>
    <w:rsid w:val="0040296F"/>
    <w:rsid w:val="00405E4E"/>
    <w:rsid w:val="004125C9"/>
    <w:rsid w:val="00412FB3"/>
    <w:rsid w:val="004130F6"/>
    <w:rsid w:val="00420C0E"/>
    <w:rsid w:val="004217A0"/>
    <w:rsid w:val="00426787"/>
    <w:rsid w:val="00427D14"/>
    <w:rsid w:val="0043253E"/>
    <w:rsid w:val="00434E8F"/>
    <w:rsid w:val="00435322"/>
    <w:rsid w:val="0043578D"/>
    <w:rsid w:val="0043776B"/>
    <w:rsid w:val="004405AC"/>
    <w:rsid w:val="0045146D"/>
    <w:rsid w:val="00464BF9"/>
    <w:rsid w:val="0047645F"/>
    <w:rsid w:val="00477CC3"/>
    <w:rsid w:val="004803BB"/>
    <w:rsid w:val="00485395"/>
    <w:rsid w:val="00491FA8"/>
    <w:rsid w:val="00496656"/>
    <w:rsid w:val="004A2A88"/>
    <w:rsid w:val="004A3633"/>
    <w:rsid w:val="004A558D"/>
    <w:rsid w:val="004A625E"/>
    <w:rsid w:val="004C0DDF"/>
    <w:rsid w:val="004C5313"/>
    <w:rsid w:val="004C7445"/>
    <w:rsid w:val="004D2972"/>
    <w:rsid w:val="004D3E12"/>
    <w:rsid w:val="004D60EE"/>
    <w:rsid w:val="004D7663"/>
    <w:rsid w:val="004E1471"/>
    <w:rsid w:val="004F6E4E"/>
    <w:rsid w:val="00503BD7"/>
    <w:rsid w:val="005060AD"/>
    <w:rsid w:val="00506763"/>
    <w:rsid w:val="00506B54"/>
    <w:rsid w:val="0051669A"/>
    <w:rsid w:val="005213E4"/>
    <w:rsid w:val="00523FE4"/>
    <w:rsid w:val="00527AB1"/>
    <w:rsid w:val="005407A0"/>
    <w:rsid w:val="005453C7"/>
    <w:rsid w:val="00557ADB"/>
    <w:rsid w:val="00561549"/>
    <w:rsid w:val="00561D4A"/>
    <w:rsid w:val="00574B18"/>
    <w:rsid w:val="005805B1"/>
    <w:rsid w:val="00581AE1"/>
    <w:rsid w:val="005A01FF"/>
    <w:rsid w:val="005A39C8"/>
    <w:rsid w:val="005B0682"/>
    <w:rsid w:val="005B2CB4"/>
    <w:rsid w:val="005B5F08"/>
    <w:rsid w:val="005C0F6F"/>
    <w:rsid w:val="005C1688"/>
    <w:rsid w:val="005C2516"/>
    <w:rsid w:val="005C300B"/>
    <w:rsid w:val="005C5BD4"/>
    <w:rsid w:val="005D3B9C"/>
    <w:rsid w:val="005E1A1D"/>
    <w:rsid w:val="005E5F52"/>
    <w:rsid w:val="005F029A"/>
    <w:rsid w:val="005F18D5"/>
    <w:rsid w:val="005F3B7A"/>
    <w:rsid w:val="005F45D9"/>
    <w:rsid w:val="005F4BFC"/>
    <w:rsid w:val="00614ABA"/>
    <w:rsid w:val="006175E2"/>
    <w:rsid w:val="00620877"/>
    <w:rsid w:val="006214B4"/>
    <w:rsid w:val="00622516"/>
    <w:rsid w:val="00625150"/>
    <w:rsid w:val="006267B1"/>
    <w:rsid w:val="006278FF"/>
    <w:rsid w:val="006312C1"/>
    <w:rsid w:val="00632C49"/>
    <w:rsid w:val="00634F27"/>
    <w:rsid w:val="00635698"/>
    <w:rsid w:val="00641BFD"/>
    <w:rsid w:val="00643191"/>
    <w:rsid w:val="006479C5"/>
    <w:rsid w:val="006510A8"/>
    <w:rsid w:val="0065515C"/>
    <w:rsid w:val="0065726E"/>
    <w:rsid w:val="00662E93"/>
    <w:rsid w:val="006633DA"/>
    <w:rsid w:val="006747CB"/>
    <w:rsid w:val="00684BC0"/>
    <w:rsid w:val="00687C29"/>
    <w:rsid w:val="00691A17"/>
    <w:rsid w:val="006924BD"/>
    <w:rsid w:val="0069422E"/>
    <w:rsid w:val="00697AEF"/>
    <w:rsid w:val="006A309B"/>
    <w:rsid w:val="006B0F7A"/>
    <w:rsid w:val="006B1C7C"/>
    <w:rsid w:val="006B54AC"/>
    <w:rsid w:val="006B7021"/>
    <w:rsid w:val="006D27AD"/>
    <w:rsid w:val="006D3C46"/>
    <w:rsid w:val="006E2DB1"/>
    <w:rsid w:val="006E5DFF"/>
    <w:rsid w:val="006E6EEB"/>
    <w:rsid w:val="006F5C07"/>
    <w:rsid w:val="006F6A65"/>
    <w:rsid w:val="00712097"/>
    <w:rsid w:val="007150F4"/>
    <w:rsid w:val="00715CC3"/>
    <w:rsid w:val="00721D42"/>
    <w:rsid w:val="007236C8"/>
    <w:rsid w:val="00731DB5"/>
    <w:rsid w:val="00734D4C"/>
    <w:rsid w:val="00735FDE"/>
    <w:rsid w:val="007367BB"/>
    <w:rsid w:val="00737954"/>
    <w:rsid w:val="007425D9"/>
    <w:rsid w:val="0075296F"/>
    <w:rsid w:val="00753087"/>
    <w:rsid w:val="00757B58"/>
    <w:rsid w:val="00764D92"/>
    <w:rsid w:val="0076578F"/>
    <w:rsid w:val="00766EA4"/>
    <w:rsid w:val="00767876"/>
    <w:rsid w:val="00771383"/>
    <w:rsid w:val="00771A2B"/>
    <w:rsid w:val="00780366"/>
    <w:rsid w:val="00781CAA"/>
    <w:rsid w:val="00783651"/>
    <w:rsid w:val="0078515F"/>
    <w:rsid w:val="00785872"/>
    <w:rsid w:val="00785BB8"/>
    <w:rsid w:val="007B3EAF"/>
    <w:rsid w:val="007B56B5"/>
    <w:rsid w:val="007B5CEB"/>
    <w:rsid w:val="007C0EF2"/>
    <w:rsid w:val="007C5FEE"/>
    <w:rsid w:val="007D0F96"/>
    <w:rsid w:val="007D158B"/>
    <w:rsid w:val="007E7D97"/>
    <w:rsid w:val="007F0361"/>
    <w:rsid w:val="007F1636"/>
    <w:rsid w:val="007F3854"/>
    <w:rsid w:val="00811F62"/>
    <w:rsid w:val="00814C8A"/>
    <w:rsid w:val="008202FF"/>
    <w:rsid w:val="008221AF"/>
    <w:rsid w:val="008222DA"/>
    <w:rsid w:val="00825E94"/>
    <w:rsid w:val="008317C2"/>
    <w:rsid w:val="0083228F"/>
    <w:rsid w:val="00842D8C"/>
    <w:rsid w:val="0084726C"/>
    <w:rsid w:val="00856574"/>
    <w:rsid w:val="00861640"/>
    <w:rsid w:val="0086722E"/>
    <w:rsid w:val="00870E44"/>
    <w:rsid w:val="008727FA"/>
    <w:rsid w:val="00882EE9"/>
    <w:rsid w:val="00885EE0"/>
    <w:rsid w:val="008B7630"/>
    <w:rsid w:val="008C2FD5"/>
    <w:rsid w:val="008C3776"/>
    <w:rsid w:val="008D00C6"/>
    <w:rsid w:val="008D44A4"/>
    <w:rsid w:val="008D511D"/>
    <w:rsid w:val="008E1191"/>
    <w:rsid w:val="008E1631"/>
    <w:rsid w:val="008E24FE"/>
    <w:rsid w:val="008E2CEB"/>
    <w:rsid w:val="008F1F3E"/>
    <w:rsid w:val="008F72DA"/>
    <w:rsid w:val="00904DF0"/>
    <w:rsid w:val="0090520F"/>
    <w:rsid w:val="00906D2F"/>
    <w:rsid w:val="00912828"/>
    <w:rsid w:val="009141AE"/>
    <w:rsid w:val="00927238"/>
    <w:rsid w:val="00932FEB"/>
    <w:rsid w:val="0093471F"/>
    <w:rsid w:val="0093653B"/>
    <w:rsid w:val="00943F86"/>
    <w:rsid w:val="0096193C"/>
    <w:rsid w:val="00963873"/>
    <w:rsid w:val="0097581F"/>
    <w:rsid w:val="009839FE"/>
    <w:rsid w:val="0098725B"/>
    <w:rsid w:val="0098799E"/>
    <w:rsid w:val="00996FB3"/>
    <w:rsid w:val="00997A3C"/>
    <w:rsid w:val="009A31B7"/>
    <w:rsid w:val="009A7605"/>
    <w:rsid w:val="009B040E"/>
    <w:rsid w:val="009B599B"/>
    <w:rsid w:val="009C66D1"/>
    <w:rsid w:val="009C6FBE"/>
    <w:rsid w:val="009D00F1"/>
    <w:rsid w:val="009D1F60"/>
    <w:rsid w:val="009E43E5"/>
    <w:rsid w:val="009F55FC"/>
    <w:rsid w:val="00A00F21"/>
    <w:rsid w:val="00A04805"/>
    <w:rsid w:val="00A04E36"/>
    <w:rsid w:val="00A05F15"/>
    <w:rsid w:val="00A10371"/>
    <w:rsid w:val="00A17135"/>
    <w:rsid w:val="00A1714C"/>
    <w:rsid w:val="00A278ED"/>
    <w:rsid w:val="00A35B88"/>
    <w:rsid w:val="00A45FC4"/>
    <w:rsid w:val="00A46001"/>
    <w:rsid w:val="00A552ED"/>
    <w:rsid w:val="00A56F1B"/>
    <w:rsid w:val="00A61068"/>
    <w:rsid w:val="00A701D1"/>
    <w:rsid w:val="00A75A74"/>
    <w:rsid w:val="00A77DCC"/>
    <w:rsid w:val="00A80622"/>
    <w:rsid w:val="00A82064"/>
    <w:rsid w:val="00A8287C"/>
    <w:rsid w:val="00A84255"/>
    <w:rsid w:val="00A90507"/>
    <w:rsid w:val="00A956B3"/>
    <w:rsid w:val="00AA0BAF"/>
    <w:rsid w:val="00AA248A"/>
    <w:rsid w:val="00AC2618"/>
    <w:rsid w:val="00AC4490"/>
    <w:rsid w:val="00AC685B"/>
    <w:rsid w:val="00AD2C15"/>
    <w:rsid w:val="00AD32B3"/>
    <w:rsid w:val="00AD4AC9"/>
    <w:rsid w:val="00AE18FC"/>
    <w:rsid w:val="00AE48CD"/>
    <w:rsid w:val="00AF2A20"/>
    <w:rsid w:val="00AF4A67"/>
    <w:rsid w:val="00AF58B1"/>
    <w:rsid w:val="00B11E04"/>
    <w:rsid w:val="00B15041"/>
    <w:rsid w:val="00B17218"/>
    <w:rsid w:val="00B219F7"/>
    <w:rsid w:val="00B21B3E"/>
    <w:rsid w:val="00B240D1"/>
    <w:rsid w:val="00B31F8A"/>
    <w:rsid w:val="00B35C89"/>
    <w:rsid w:val="00B407BC"/>
    <w:rsid w:val="00B42956"/>
    <w:rsid w:val="00B45FB7"/>
    <w:rsid w:val="00B52A1F"/>
    <w:rsid w:val="00B55963"/>
    <w:rsid w:val="00B56190"/>
    <w:rsid w:val="00B601E2"/>
    <w:rsid w:val="00B6066A"/>
    <w:rsid w:val="00B60B41"/>
    <w:rsid w:val="00B67249"/>
    <w:rsid w:val="00B82F7C"/>
    <w:rsid w:val="00B85B69"/>
    <w:rsid w:val="00B927AF"/>
    <w:rsid w:val="00B93A86"/>
    <w:rsid w:val="00B93EDE"/>
    <w:rsid w:val="00BA215C"/>
    <w:rsid w:val="00BA2D2F"/>
    <w:rsid w:val="00BB59EC"/>
    <w:rsid w:val="00BB78E8"/>
    <w:rsid w:val="00BC10E4"/>
    <w:rsid w:val="00BC562A"/>
    <w:rsid w:val="00BC7E03"/>
    <w:rsid w:val="00BD229A"/>
    <w:rsid w:val="00BD3C4A"/>
    <w:rsid w:val="00BE2B88"/>
    <w:rsid w:val="00BE3EEF"/>
    <w:rsid w:val="00BE4D23"/>
    <w:rsid w:val="00BF320E"/>
    <w:rsid w:val="00BF3676"/>
    <w:rsid w:val="00BF417F"/>
    <w:rsid w:val="00BF6997"/>
    <w:rsid w:val="00BF6B8E"/>
    <w:rsid w:val="00C02118"/>
    <w:rsid w:val="00C059F1"/>
    <w:rsid w:val="00C10BC7"/>
    <w:rsid w:val="00C13FEC"/>
    <w:rsid w:val="00C14928"/>
    <w:rsid w:val="00C2781D"/>
    <w:rsid w:val="00C3087B"/>
    <w:rsid w:val="00C30DA7"/>
    <w:rsid w:val="00C34A04"/>
    <w:rsid w:val="00C34FC7"/>
    <w:rsid w:val="00C5182B"/>
    <w:rsid w:val="00C5247F"/>
    <w:rsid w:val="00C61433"/>
    <w:rsid w:val="00C63374"/>
    <w:rsid w:val="00C64582"/>
    <w:rsid w:val="00C65E6E"/>
    <w:rsid w:val="00C74C55"/>
    <w:rsid w:val="00C76FB4"/>
    <w:rsid w:val="00C773EA"/>
    <w:rsid w:val="00C80F68"/>
    <w:rsid w:val="00C84CF5"/>
    <w:rsid w:val="00C91D91"/>
    <w:rsid w:val="00C9468B"/>
    <w:rsid w:val="00CA0A28"/>
    <w:rsid w:val="00CA1593"/>
    <w:rsid w:val="00CA3FD9"/>
    <w:rsid w:val="00CB1DEC"/>
    <w:rsid w:val="00CB279E"/>
    <w:rsid w:val="00CC0173"/>
    <w:rsid w:val="00CC0A04"/>
    <w:rsid w:val="00CC27D0"/>
    <w:rsid w:val="00CC296E"/>
    <w:rsid w:val="00CC7F4C"/>
    <w:rsid w:val="00CD5796"/>
    <w:rsid w:val="00CE11B9"/>
    <w:rsid w:val="00CE3271"/>
    <w:rsid w:val="00CF085C"/>
    <w:rsid w:val="00CF5A35"/>
    <w:rsid w:val="00CF681C"/>
    <w:rsid w:val="00D073D2"/>
    <w:rsid w:val="00D1076F"/>
    <w:rsid w:val="00D1232A"/>
    <w:rsid w:val="00D125DB"/>
    <w:rsid w:val="00D138DF"/>
    <w:rsid w:val="00D172A5"/>
    <w:rsid w:val="00D254CF"/>
    <w:rsid w:val="00D27830"/>
    <w:rsid w:val="00D63C2D"/>
    <w:rsid w:val="00D6571D"/>
    <w:rsid w:val="00D65E5C"/>
    <w:rsid w:val="00D8020A"/>
    <w:rsid w:val="00D83510"/>
    <w:rsid w:val="00D83E55"/>
    <w:rsid w:val="00D84A27"/>
    <w:rsid w:val="00D85510"/>
    <w:rsid w:val="00D93E0F"/>
    <w:rsid w:val="00DA109B"/>
    <w:rsid w:val="00DA35B6"/>
    <w:rsid w:val="00DA5892"/>
    <w:rsid w:val="00DB18A4"/>
    <w:rsid w:val="00DB3E59"/>
    <w:rsid w:val="00DB741D"/>
    <w:rsid w:val="00DB75CF"/>
    <w:rsid w:val="00DC55AB"/>
    <w:rsid w:val="00DC697A"/>
    <w:rsid w:val="00DE0FE8"/>
    <w:rsid w:val="00DE32D3"/>
    <w:rsid w:val="00DF14E6"/>
    <w:rsid w:val="00DF60D9"/>
    <w:rsid w:val="00DF6AF1"/>
    <w:rsid w:val="00E16F81"/>
    <w:rsid w:val="00E17388"/>
    <w:rsid w:val="00E259F6"/>
    <w:rsid w:val="00E2798A"/>
    <w:rsid w:val="00E31B9A"/>
    <w:rsid w:val="00E45A0B"/>
    <w:rsid w:val="00E47275"/>
    <w:rsid w:val="00E47D3A"/>
    <w:rsid w:val="00E506A8"/>
    <w:rsid w:val="00E50DF6"/>
    <w:rsid w:val="00E52298"/>
    <w:rsid w:val="00E537AE"/>
    <w:rsid w:val="00E64491"/>
    <w:rsid w:val="00E71BF7"/>
    <w:rsid w:val="00E75B38"/>
    <w:rsid w:val="00E86D78"/>
    <w:rsid w:val="00E94FD7"/>
    <w:rsid w:val="00E95255"/>
    <w:rsid w:val="00EB1095"/>
    <w:rsid w:val="00EB29CA"/>
    <w:rsid w:val="00EB2FE1"/>
    <w:rsid w:val="00EB39C1"/>
    <w:rsid w:val="00ED0EEA"/>
    <w:rsid w:val="00ED1287"/>
    <w:rsid w:val="00ED393E"/>
    <w:rsid w:val="00ED405B"/>
    <w:rsid w:val="00ED50A7"/>
    <w:rsid w:val="00EE0213"/>
    <w:rsid w:val="00EE21A6"/>
    <w:rsid w:val="00EE2279"/>
    <w:rsid w:val="00EE30DC"/>
    <w:rsid w:val="00EF19A6"/>
    <w:rsid w:val="00F03AA1"/>
    <w:rsid w:val="00F05CA6"/>
    <w:rsid w:val="00F11924"/>
    <w:rsid w:val="00F1247D"/>
    <w:rsid w:val="00F12503"/>
    <w:rsid w:val="00F147A8"/>
    <w:rsid w:val="00F17EF8"/>
    <w:rsid w:val="00F2359A"/>
    <w:rsid w:val="00F262E3"/>
    <w:rsid w:val="00F26D02"/>
    <w:rsid w:val="00F26F3A"/>
    <w:rsid w:val="00F31756"/>
    <w:rsid w:val="00F3674A"/>
    <w:rsid w:val="00F45F19"/>
    <w:rsid w:val="00F53F6D"/>
    <w:rsid w:val="00F57B8A"/>
    <w:rsid w:val="00F617F2"/>
    <w:rsid w:val="00F61F69"/>
    <w:rsid w:val="00F6234A"/>
    <w:rsid w:val="00F63CB4"/>
    <w:rsid w:val="00F658AF"/>
    <w:rsid w:val="00F667ED"/>
    <w:rsid w:val="00F675B0"/>
    <w:rsid w:val="00F73114"/>
    <w:rsid w:val="00F818BA"/>
    <w:rsid w:val="00F92040"/>
    <w:rsid w:val="00F9518C"/>
    <w:rsid w:val="00FA2B29"/>
    <w:rsid w:val="00FA5C15"/>
    <w:rsid w:val="00FA793D"/>
    <w:rsid w:val="00FB1FD6"/>
    <w:rsid w:val="00FB5C27"/>
    <w:rsid w:val="00FC50FA"/>
    <w:rsid w:val="00FC569D"/>
    <w:rsid w:val="00FD067E"/>
    <w:rsid w:val="00FD1725"/>
    <w:rsid w:val="00FD6D07"/>
    <w:rsid w:val="00FD7733"/>
    <w:rsid w:val="00FF46A8"/>
    <w:rsid w:val="00FF5853"/>
    <w:rsid w:val="00FF7A30"/>
    <w:rsid w:val="014A102B"/>
    <w:rsid w:val="015B46DD"/>
    <w:rsid w:val="01AE3FD7"/>
    <w:rsid w:val="01EC1B5F"/>
    <w:rsid w:val="020B53E9"/>
    <w:rsid w:val="028137A7"/>
    <w:rsid w:val="029416F0"/>
    <w:rsid w:val="02D475A5"/>
    <w:rsid w:val="02DA6D20"/>
    <w:rsid w:val="030A0E76"/>
    <w:rsid w:val="03161605"/>
    <w:rsid w:val="03622016"/>
    <w:rsid w:val="036B5288"/>
    <w:rsid w:val="041B0A5C"/>
    <w:rsid w:val="041D0EB1"/>
    <w:rsid w:val="042605F1"/>
    <w:rsid w:val="04F65837"/>
    <w:rsid w:val="050A2EEF"/>
    <w:rsid w:val="053B3306"/>
    <w:rsid w:val="05B827B0"/>
    <w:rsid w:val="05C223D6"/>
    <w:rsid w:val="05DD6A30"/>
    <w:rsid w:val="06772E8A"/>
    <w:rsid w:val="069F7E87"/>
    <w:rsid w:val="06A50194"/>
    <w:rsid w:val="06D93B39"/>
    <w:rsid w:val="07116D94"/>
    <w:rsid w:val="07652090"/>
    <w:rsid w:val="07852593"/>
    <w:rsid w:val="07C054BC"/>
    <w:rsid w:val="07C62894"/>
    <w:rsid w:val="07E06985"/>
    <w:rsid w:val="08171C86"/>
    <w:rsid w:val="089655F2"/>
    <w:rsid w:val="09622842"/>
    <w:rsid w:val="09B11199"/>
    <w:rsid w:val="09CC73BE"/>
    <w:rsid w:val="0A0858CB"/>
    <w:rsid w:val="0A225ECB"/>
    <w:rsid w:val="0A6E2CF6"/>
    <w:rsid w:val="0A8A2B09"/>
    <w:rsid w:val="0ACB2D20"/>
    <w:rsid w:val="0AEA1189"/>
    <w:rsid w:val="0B7F13E1"/>
    <w:rsid w:val="0BAE68AE"/>
    <w:rsid w:val="0C4E3553"/>
    <w:rsid w:val="0C9641E8"/>
    <w:rsid w:val="0CC92162"/>
    <w:rsid w:val="0CFC142A"/>
    <w:rsid w:val="0D5B28AA"/>
    <w:rsid w:val="0DAC2D87"/>
    <w:rsid w:val="0DF37021"/>
    <w:rsid w:val="0DF717B3"/>
    <w:rsid w:val="0DFD05F3"/>
    <w:rsid w:val="0E00101D"/>
    <w:rsid w:val="0E49337E"/>
    <w:rsid w:val="0ED251AD"/>
    <w:rsid w:val="0F4852A3"/>
    <w:rsid w:val="0F4E373D"/>
    <w:rsid w:val="0F7134B2"/>
    <w:rsid w:val="103A3B51"/>
    <w:rsid w:val="104C7CB2"/>
    <w:rsid w:val="1154735C"/>
    <w:rsid w:val="119830A8"/>
    <w:rsid w:val="12196932"/>
    <w:rsid w:val="1274518C"/>
    <w:rsid w:val="127A4235"/>
    <w:rsid w:val="12E043BB"/>
    <w:rsid w:val="133B51A9"/>
    <w:rsid w:val="13532467"/>
    <w:rsid w:val="13C95DDF"/>
    <w:rsid w:val="13DC7FEC"/>
    <w:rsid w:val="140B5176"/>
    <w:rsid w:val="14447B5C"/>
    <w:rsid w:val="14472B7E"/>
    <w:rsid w:val="148802A4"/>
    <w:rsid w:val="14C6352C"/>
    <w:rsid w:val="14D00C57"/>
    <w:rsid w:val="14D86727"/>
    <w:rsid w:val="15441F7F"/>
    <w:rsid w:val="157E095D"/>
    <w:rsid w:val="15B567EE"/>
    <w:rsid w:val="15BD470C"/>
    <w:rsid w:val="16741A8E"/>
    <w:rsid w:val="16A07B67"/>
    <w:rsid w:val="16CC73C4"/>
    <w:rsid w:val="16D6204A"/>
    <w:rsid w:val="16D76305"/>
    <w:rsid w:val="16FC79B2"/>
    <w:rsid w:val="172372B2"/>
    <w:rsid w:val="173636BD"/>
    <w:rsid w:val="1758223C"/>
    <w:rsid w:val="17784D5C"/>
    <w:rsid w:val="17E9340E"/>
    <w:rsid w:val="18195A61"/>
    <w:rsid w:val="18384BC0"/>
    <w:rsid w:val="19145542"/>
    <w:rsid w:val="193D60D7"/>
    <w:rsid w:val="194A2865"/>
    <w:rsid w:val="1980772D"/>
    <w:rsid w:val="19F2219B"/>
    <w:rsid w:val="19F424F0"/>
    <w:rsid w:val="1A726EB4"/>
    <w:rsid w:val="1A8B3593"/>
    <w:rsid w:val="1ADB0A33"/>
    <w:rsid w:val="1AF5205D"/>
    <w:rsid w:val="1B17777A"/>
    <w:rsid w:val="1B66278D"/>
    <w:rsid w:val="1B837855"/>
    <w:rsid w:val="1BAB5EAD"/>
    <w:rsid w:val="1BBA1D38"/>
    <w:rsid w:val="1C6B5FFE"/>
    <w:rsid w:val="1D7D1584"/>
    <w:rsid w:val="1D8D632B"/>
    <w:rsid w:val="1DAD6FB5"/>
    <w:rsid w:val="1DCD7A13"/>
    <w:rsid w:val="1DD91305"/>
    <w:rsid w:val="1DF25999"/>
    <w:rsid w:val="1E2C7DC1"/>
    <w:rsid w:val="1E803E86"/>
    <w:rsid w:val="1EAB4D27"/>
    <w:rsid w:val="1FCF77E8"/>
    <w:rsid w:val="1FE1499F"/>
    <w:rsid w:val="1FE37C15"/>
    <w:rsid w:val="1FE456C5"/>
    <w:rsid w:val="1FF561AE"/>
    <w:rsid w:val="1FFC4FA6"/>
    <w:rsid w:val="20313750"/>
    <w:rsid w:val="204D4AF6"/>
    <w:rsid w:val="20922EAC"/>
    <w:rsid w:val="209D1317"/>
    <w:rsid w:val="212072BE"/>
    <w:rsid w:val="217C4F76"/>
    <w:rsid w:val="22522C64"/>
    <w:rsid w:val="22E56087"/>
    <w:rsid w:val="23106F0F"/>
    <w:rsid w:val="238727C7"/>
    <w:rsid w:val="23B036CA"/>
    <w:rsid w:val="23F069E4"/>
    <w:rsid w:val="24800A07"/>
    <w:rsid w:val="256B1CAA"/>
    <w:rsid w:val="257E1F9F"/>
    <w:rsid w:val="265226B1"/>
    <w:rsid w:val="26CB1631"/>
    <w:rsid w:val="272B144E"/>
    <w:rsid w:val="272C7280"/>
    <w:rsid w:val="272F0BF8"/>
    <w:rsid w:val="2731464A"/>
    <w:rsid w:val="277C56BE"/>
    <w:rsid w:val="279E14AB"/>
    <w:rsid w:val="27C25D4D"/>
    <w:rsid w:val="286E4D4F"/>
    <w:rsid w:val="2895188D"/>
    <w:rsid w:val="28AD40F9"/>
    <w:rsid w:val="290C1210"/>
    <w:rsid w:val="291245C5"/>
    <w:rsid w:val="293443CD"/>
    <w:rsid w:val="29865C96"/>
    <w:rsid w:val="299C46DD"/>
    <w:rsid w:val="2A9578E0"/>
    <w:rsid w:val="2ABD555C"/>
    <w:rsid w:val="2B101E7C"/>
    <w:rsid w:val="2BCF2A8E"/>
    <w:rsid w:val="2C0873A3"/>
    <w:rsid w:val="2C3D5987"/>
    <w:rsid w:val="2C4D4A36"/>
    <w:rsid w:val="2CAB714E"/>
    <w:rsid w:val="2D2F2E57"/>
    <w:rsid w:val="2D470E50"/>
    <w:rsid w:val="2D617E3F"/>
    <w:rsid w:val="2D9708A4"/>
    <w:rsid w:val="2DBC5365"/>
    <w:rsid w:val="2F025E82"/>
    <w:rsid w:val="2F3C1703"/>
    <w:rsid w:val="2F894157"/>
    <w:rsid w:val="2FDB34A7"/>
    <w:rsid w:val="30892335"/>
    <w:rsid w:val="309817A3"/>
    <w:rsid w:val="30B645A8"/>
    <w:rsid w:val="30D945C4"/>
    <w:rsid w:val="310143A8"/>
    <w:rsid w:val="318E0BDA"/>
    <w:rsid w:val="31A845C6"/>
    <w:rsid w:val="31D55C17"/>
    <w:rsid w:val="32496611"/>
    <w:rsid w:val="32ED34F4"/>
    <w:rsid w:val="3306241B"/>
    <w:rsid w:val="331D230A"/>
    <w:rsid w:val="332B3C0E"/>
    <w:rsid w:val="334B4905"/>
    <w:rsid w:val="33540BF8"/>
    <w:rsid w:val="33D74F65"/>
    <w:rsid w:val="33EA6992"/>
    <w:rsid w:val="33F1258A"/>
    <w:rsid w:val="342C61EA"/>
    <w:rsid w:val="34D276EB"/>
    <w:rsid w:val="350233DB"/>
    <w:rsid w:val="352607E4"/>
    <w:rsid w:val="35624F21"/>
    <w:rsid w:val="359A7463"/>
    <w:rsid w:val="35A944A2"/>
    <w:rsid w:val="35CB5EC4"/>
    <w:rsid w:val="35DE2B3C"/>
    <w:rsid w:val="3605285B"/>
    <w:rsid w:val="363E0457"/>
    <w:rsid w:val="36B8429B"/>
    <w:rsid w:val="37247AD1"/>
    <w:rsid w:val="37BA6268"/>
    <w:rsid w:val="37EB1F18"/>
    <w:rsid w:val="37EF327B"/>
    <w:rsid w:val="38193FFD"/>
    <w:rsid w:val="388956BB"/>
    <w:rsid w:val="38CF5601"/>
    <w:rsid w:val="39215013"/>
    <w:rsid w:val="3963667E"/>
    <w:rsid w:val="39A34671"/>
    <w:rsid w:val="39D36C95"/>
    <w:rsid w:val="39F34D2B"/>
    <w:rsid w:val="3A131AE0"/>
    <w:rsid w:val="3A3625CC"/>
    <w:rsid w:val="3A3B181F"/>
    <w:rsid w:val="3A3F1A90"/>
    <w:rsid w:val="3A406F47"/>
    <w:rsid w:val="3A410F78"/>
    <w:rsid w:val="3A5A4092"/>
    <w:rsid w:val="3AC33C65"/>
    <w:rsid w:val="3B4F2027"/>
    <w:rsid w:val="3B8014CA"/>
    <w:rsid w:val="3BB342BF"/>
    <w:rsid w:val="3BC54C97"/>
    <w:rsid w:val="3BC8543C"/>
    <w:rsid w:val="3BEE4F4A"/>
    <w:rsid w:val="3C3F3306"/>
    <w:rsid w:val="3C6E71DD"/>
    <w:rsid w:val="3CA2514B"/>
    <w:rsid w:val="3CA51644"/>
    <w:rsid w:val="3DCC6348"/>
    <w:rsid w:val="3DF07EBB"/>
    <w:rsid w:val="3E8345C2"/>
    <w:rsid w:val="3EA84449"/>
    <w:rsid w:val="3EA87FEF"/>
    <w:rsid w:val="3EC50078"/>
    <w:rsid w:val="3F254227"/>
    <w:rsid w:val="3F3B050B"/>
    <w:rsid w:val="3F696545"/>
    <w:rsid w:val="3F7C5928"/>
    <w:rsid w:val="3FBC22EA"/>
    <w:rsid w:val="3FBD3436"/>
    <w:rsid w:val="40721429"/>
    <w:rsid w:val="40A64B42"/>
    <w:rsid w:val="40C941D5"/>
    <w:rsid w:val="40CC3474"/>
    <w:rsid w:val="40D71403"/>
    <w:rsid w:val="40FF377D"/>
    <w:rsid w:val="41056FEE"/>
    <w:rsid w:val="41490671"/>
    <w:rsid w:val="415E375B"/>
    <w:rsid w:val="41D67ECA"/>
    <w:rsid w:val="41FC0D64"/>
    <w:rsid w:val="428735CE"/>
    <w:rsid w:val="428B0680"/>
    <w:rsid w:val="429F75E1"/>
    <w:rsid w:val="42DF3AE7"/>
    <w:rsid w:val="43E42222"/>
    <w:rsid w:val="43FA5504"/>
    <w:rsid w:val="44113E7F"/>
    <w:rsid w:val="44636561"/>
    <w:rsid w:val="44DB3709"/>
    <w:rsid w:val="45015DC6"/>
    <w:rsid w:val="455479C9"/>
    <w:rsid w:val="45FB305E"/>
    <w:rsid w:val="4600680F"/>
    <w:rsid w:val="4639153A"/>
    <w:rsid w:val="46CD743A"/>
    <w:rsid w:val="473D1D76"/>
    <w:rsid w:val="47777CEB"/>
    <w:rsid w:val="47A43A92"/>
    <w:rsid w:val="47E26DEE"/>
    <w:rsid w:val="48506305"/>
    <w:rsid w:val="48C0675D"/>
    <w:rsid w:val="48C314F5"/>
    <w:rsid w:val="493A58F1"/>
    <w:rsid w:val="495A1C92"/>
    <w:rsid w:val="49746EA5"/>
    <w:rsid w:val="49954370"/>
    <w:rsid w:val="49A007D3"/>
    <w:rsid w:val="49A168DB"/>
    <w:rsid w:val="4A633B90"/>
    <w:rsid w:val="4AE46996"/>
    <w:rsid w:val="4AE953BC"/>
    <w:rsid w:val="4B380612"/>
    <w:rsid w:val="4B743B9E"/>
    <w:rsid w:val="4B7B27A2"/>
    <w:rsid w:val="4BE77979"/>
    <w:rsid w:val="4BEE6236"/>
    <w:rsid w:val="4CD453AC"/>
    <w:rsid w:val="4CF40A77"/>
    <w:rsid w:val="4D1B0C6B"/>
    <w:rsid w:val="4D873DA1"/>
    <w:rsid w:val="4D8D0544"/>
    <w:rsid w:val="4DF953C5"/>
    <w:rsid w:val="4E31163E"/>
    <w:rsid w:val="4E440F91"/>
    <w:rsid w:val="4E5B4CF0"/>
    <w:rsid w:val="4E6B05FD"/>
    <w:rsid w:val="4E781819"/>
    <w:rsid w:val="4EC226CD"/>
    <w:rsid w:val="4F3C22EB"/>
    <w:rsid w:val="4F69421C"/>
    <w:rsid w:val="4F973334"/>
    <w:rsid w:val="500566EE"/>
    <w:rsid w:val="50276489"/>
    <w:rsid w:val="50F73284"/>
    <w:rsid w:val="51080D28"/>
    <w:rsid w:val="511F0D38"/>
    <w:rsid w:val="51B63AF7"/>
    <w:rsid w:val="51F553AA"/>
    <w:rsid w:val="51FB0D5F"/>
    <w:rsid w:val="52180ECA"/>
    <w:rsid w:val="522568E8"/>
    <w:rsid w:val="52AF67C5"/>
    <w:rsid w:val="52B31E58"/>
    <w:rsid w:val="52B61ED6"/>
    <w:rsid w:val="53361BF5"/>
    <w:rsid w:val="538610B8"/>
    <w:rsid w:val="53DC229B"/>
    <w:rsid w:val="541872F9"/>
    <w:rsid w:val="542B3CC5"/>
    <w:rsid w:val="550A4BAD"/>
    <w:rsid w:val="551A3FF1"/>
    <w:rsid w:val="55AE4F54"/>
    <w:rsid w:val="562E614B"/>
    <w:rsid w:val="569017FF"/>
    <w:rsid w:val="56D413DD"/>
    <w:rsid w:val="56E35408"/>
    <w:rsid w:val="57C829B2"/>
    <w:rsid w:val="57CF744F"/>
    <w:rsid w:val="57DB68CB"/>
    <w:rsid w:val="580B1C5D"/>
    <w:rsid w:val="581A4428"/>
    <w:rsid w:val="582F7CBD"/>
    <w:rsid w:val="583F0F58"/>
    <w:rsid w:val="588F2810"/>
    <w:rsid w:val="58B16AFA"/>
    <w:rsid w:val="58BF7B0F"/>
    <w:rsid w:val="594B173E"/>
    <w:rsid w:val="598F5F53"/>
    <w:rsid w:val="5A887A04"/>
    <w:rsid w:val="5AB16D45"/>
    <w:rsid w:val="5B00604B"/>
    <w:rsid w:val="5B180234"/>
    <w:rsid w:val="5B364F17"/>
    <w:rsid w:val="5BA04B69"/>
    <w:rsid w:val="5BA6246B"/>
    <w:rsid w:val="5BC96624"/>
    <w:rsid w:val="5C403D5F"/>
    <w:rsid w:val="5C535F5D"/>
    <w:rsid w:val="5C7522A3"/>
    <w:rsid w:val="5CA23C7B"/>
    <w:rsid w:val="5CBE673B"/>
    <w:rsid w:val="5CDF252F"/>
    <w:rsid w:val="5DA56DC8"/>
    <w:rsid w:val="5E26264A"/>
    <w:rsid w:val="5ED517D2"/>
    <w:rsid w:val="5F0E0117"/>
    <w:rsid w:val="5F2E1E33"/>
    <w:rsid w:val="5F813A3D"/>
    <w:rsid w:val="5F85492D"/>
    <w:rsid w:val="5FD93D85"/>
    <w:rsid w:val="5FE83706"/>
    <w:rsid w:val="604960E3"/>
    <w:rsid w:val="606061C3"/>
    <w:rsid w:val="609E71D3"/>
    <w:rsid w:val="60B35403"/>
    <w:rsid w:val="60C66259"/>
    <w:rsid w:val="60F17E99"/>
    <w:rsid w:val="610F6A2E"/>
    <w:rsid w:val="61230F0E"/>
    <w:rsid w:val="612C215E"/>
    <w:rsid w:val="6143081E"/>
    <w:rsid w:val="61827376"/>
    <w:rsid w:val="61C27449"/>
    <w:rsid w:val="61DB1E1B"/>
    <w:rsid w:val="622E5DD3"/>
    <w:rsid w:val="626C161A"/>
    <w:rsid w:val="62DA4EE0"/>
    <w:rsid w:val="62FC0F4A"/>
    <w:rsid w:val="63AF7631"/>
    <w:rsid w:val="640B3D0D"/>
    <w:rsid w:val="642B52C7"/>
    <w:rsid w:val="645D7AC5"/>
    <w:rsid w:val="64632CB3"/>
    <w:rsid w:val="64AA012E"/>
    <w:rsid w:val="65084CF9"/>
    <w:rsid w:val="652954B3"/>
    <w:rsid w:val="654725D5"/>
    <w:rsid w:val="660E59E2"/>
    <w:rsid w:val="66160DB6"/>
    <w:rsid w:val="666A1274"/>
    <w:rsid w:val="66F10A4A"/>
    <w:rsid w:val="670B14A9"/>
    <w:rsid w:val="670D6BEB"/>
    <w:rsid w:val="67207643"/>
    <w:rsid w:val="67624BFE"/>
    <w:rsid w:val="67665DFF"/>
    <w:rsid w:val="67B821DA"/>
    <w:rsid w:val="67ED7463"/>
    <w:rsid w:val="6807551B"/>
    <w:rsid w:val="681F0438"/>
    <w:rsid w:val="6894567B"/>
    <w:rsid w:val="68AA04A1"/>
    <w:rsid w:val="68C70742"/>
    <w:rsid w:val="69E14443"/>
    <w:rsid w:val="69EA59FF"/>
    <w:rsid w:val="6A2D6E8D"/>
    <w:rsid w:val="6AA11254"/>
    <w:rsid w:val="6AC77944"/>
    <w:rsid w:val="6B242090"/>
    <w:rsid w:val="6B3B32D3"/>
    <w:rsid w:val="6BA107C5"/>
    <w:rsid w:val="6BB93B9F"/>
    <w:rsid w:val="6BD42E92"/>
    <w:rsid w:val="6C134FBF"/>
    <w:rsid w:val="6C3636E6"/>
    <w:rsid w:val="6C3E448B"/>
    <w:rsid w:val="6C5025B7"/>
    <w:rsid w:val="6D022F0C"/>
    <w:rsid w:val="6D2F34A2"/>
    <w:rsid w:val="6DBB6A18"/>
    <w:rsid w:val="6DD82E75"/>
    <w:rsid w:val="6E180EB3"/>
    <w:rsid w:val="6E261143"/>
    <w:rsid w:val="6E454327"/>
    <w:rsid w:val="6E5B1458"/>
    <w:rsid w:val="6EA61E5F"/>
    <w:rsid w:val="6EE24726"/>
    <w:rsid w:val="6EE408D8"/>
    <w:rsid w:val="6EE44BEC"/>
    <w:rsid w:val="6EED4048"/>
    <w:rsid w:val="6F306F06"/>
    <w:rsid w:val="6F8675FF"/>
    <w:rsid w:val="6F922D09"/>
    <w:rsid w:val="6F9A29E4"/>
    <w:rsid w:val="71085918"/>
    <w:rsid w:val="719A5129"/>
    <w:rsid w:val="71A14E1B"/>
    <w:rsid w:val="71AC7A05"/>
    <w:rsid w:val="71AD6FCB"/>
    <w:rsid w:val="72A05711"/>
    <w:rsid w:val="72A61F0E"/>
    <w:rsid w:val="72E03926"/>
    <w:rsid w:val="7314015A"/>
    <w:rsid w:val="736B3F5B"/>
    <w:rsid w:val="74053B49"/>
    <w:rsid w:val="7416001B"/>
    <w:rsid w:val="74E05C5A"/>
    <w:rsid w:val="7505053A"/>
    <w:rsid w:val="754B5C7D"/>
    <w:rsid w:val="754F1B06"/>
    <w:rsid w:val="759B0565"/>
    <w:rsid w:val="75E45D98"/>
    <w:rsid w:val="76182CDA"/>
    <w:rsid w:val="771A280E"/>
    <w:rsid w:val="776B2AC2"/>
    <w:rsid w:val="783D3314"/>
    <w:rsid w:val="784E3AE2"/>
    <w:rsid w:val="79C1702A"/>
    <w:rsid w:val="79C90CFB"/>
    <w:rsid w:val="79F301DD"/>
    <w:rsid w:val="7AD2006F"/>
    <w:rsid w:val="7AFB7694"/>
    <w:rsid w:val="7B130B37"/>
    <w:rsid w:val="7B960765"/>
    <w:rsid w:val="7BBB6D64"/>
    <w:rsid w:val="7C05531F"/>
    <w:rsid w:val="7C164ECD"/>
    <w:rsid w:val="7D3D6FFC"/>
    <w:rsid w:val="7D4770F9"/>
    <w:rsid w:val="7D870AFF"/>
    <w:rsid w:val="7E1E7F1F"/>
    <w:rsid w:val="7E315138"/>
    <w:rsid w:val="7EAB6AF0"/>
    <w:rsid w:val="7F873F72"/>
    <w:rsid w:val="7FA3040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29"/>
    <w:autoRedefine/>
    <w:qFormat/>
    <w:uiPriority w:val="0"/>
    <w:pPr>
      <w:jc w:val="center"/>
      <w:outlineLvl w:val="0"/>
    </w:pPr>
    <w:rPr>
      <w:rFonts w:ascii="宋体" w:hAnsi="宋体"/>
      <w:b/>
      <w:sz w:val="36"/>
      <w:szCs w:val="20"/>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3">
    <w:name w:val="Body Text"/>
    <w:basedOn w:val="1"/>
    <w:next w:val="1"/>
    <w:autoRedefine/>
    <w:qFormat/>
    <w:uiPriority w:val="0"/>
    <w:pPr>
      <w:jc w:val="left"/>
    </w:pPr>
    <w:rPr>
      <w:rFonts w:ascii="Copperplate Gothic Bold" w:hAnsi="Copperplate Gothic Bold" w:cs="Copperplate Gothic Bold"/>
      <w:sz w:val="28"/>
      <w:szCs w:val="28"/>
    </w:rPr>
  </w:style>
  <w:style w:type="paragraph" w:styleId="4">
    <w:name w:val="Body Text Indent"/>
    <w:basedOn w:val="1"/>
    <w:autoRedefine/>
    <w:qFormat/>
    <w:uiPriority w:val="0"/>
    <w:pPr>
      <w:spacing w:after="120" w:afterLines="0"/>
      <w:ind w:left="420" w:leftChars="200"/>
    </w:pPr>
  </w:style>
  <w:style w:type="paragraph" w:styleId="5">
    <w:name w:val="Plain Text"/>
    <w:basedOn w:val="1"/>
    <w:link w:val="21"/>
    <w:autoRedefine/>
    <w:qFormat/>
    <w:uiPriority w:val="0"/>
    <w:rPr>
      <w:rFonts w:ascii="宋体" w:hAnsi="Courier New" w:cs="Courier New"/>
      <w:szCs w:val="21"/>
    </w:rPr>
  </w:style>
  <w:style w:type="paragraph" w:styleId="6">
    <w:name w:val="footer"/>
    <w:basedOn w:val="1"/>
    <w:link w:val="27"/>
    <w:autoRedefine/>
    <w:qFormat/>
    <w:uiPriority w:val="0"/>
    <w:pPr>
      <w:tabs>
        <w:tab w:val="center" w:pos="4153"/>
        <w:tab w:val="right" w:pos="8306"/>
      </w:tabs>
      <w:snapToGrid w:val="0"/>
      <w:jc w:val="left"/>
    </w:pPr>
    <w:rPr>
      <w:sz w:val="18"/>
      <w:szCs w:val="18"/>
    </w:rPr>
  </w:style>
  <w:style w:type="paragraph" w:styleId="7">
    <w:name w:val="header"/>
    <w:basedOn w:val="1"/>
    <w:link w:val="19"/>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9">
    <w:name w:val="Body Text First Indent 2"/>
    <w:basedOn w:val="4"/>
    <w:autoRedefine/>
    <w:qFormat/>
    <w:uiPriority w:val="0"/>
    <w:pPr>
      <w:spacing w:after="0"/>
      <w:ind w:firstLine="420"/>
    </w:pPr>
    <w:rPr>
      <w:rFonts w:ascii="Times New Roman" w:hAnsi="Times New Roman" w:eastAsia="宋体" w:cs="Times New Roman"/>
      <w:szCs w:val="24"/>
    </w:rPr>
  </w:style>
  <w:style w:type="table" w:styleId="11">
    <w:name w:val="Table Grid"/>
    <w:basedOn w:val="10"/>
    <w:autoRedefine/>
    <w:qFormat/>
    <w:uiPriority w:val="0"/>
    <w:pPr>
      <w:widowControl w:val="0"/>
      <w:jc w:val="both"/>
    </w:pPr>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autoRedefine/>
    <w:qFormat/>
    <w:uiPriority w:val="0"/>
    <w:rPr>
      <w:b/>
    </w:rPr>
  </w:style>
  <w:style w:type="character" w:styleId="14">
    <w:name w:val="page number"/>
    <w:basedOn w:val="12"/>
    <w:autoRedefine/>
    <w:qFormat/>
    <w:uiPriority w:val="0"/>
  </w:style>
  <w:style w:type="character" w:styleId="15">
    <w:name w:val="Hyperlink"/>
    <w:basedOn w:val="12"/>
    <w:autoRedefine/>
    <w:unhideWhenUsed/>
    <w:qFormat/>
    <w:uiPriority w:val="99"/>
    <w:rPr>
      <w:color w:val="0000FF"/>
      <w:u w:val="none"/>
    </w:rPr>
  </w:style>
  <w:style w:type="paragraph" w:customStyle="1" w:styleId="16">
    <w:name w:val="Heading4"/>
    <w:basedOn w:val="1"/>
    <w:next w:val="1"/>
    <w:autoRedefine/>
    <w:qFormat/>
    <w:uiPriority w:val="0"/>
    <w:pPr>
      <w:keepNext/>
      <w:keepLines/>
      <w:spacing w:before="280" w:after="290" w:line="374" w:lineRule="auto"/>
      <w:ind w:left="-4140"/>
      <w:jc w:val="both"/>
      <w:textAlignment w:val="baseline"/>
    </w:pPr>
    <w:rPr>
      <w:rFonts w:ascii="Arial" w:hAnsi="Arial" w:eastAsia="黑体" w:cs="Times New Roman"/>
      <w:b/>
      <w:bCs/>
      <w:sz w:val="28"/>
      <w:szCs w:val="28"/>
      <w:lang w:val="en-US" w:eastAsia="zh-CN" w:bidi="ar-SA"/>
    </w:rPr>
  </w:style>
  <w:style w:type="character" w:customStyle="1" w:styleId="17">
    <w:name w:val="font41"/>
    <w:autoRedefine/>
    <w:qFormat/>
    <w:uiPriority w:val="0"/>
    <w:rPr>
      <w:rFonts w:ascii="宋体fal" w:hAnsi="宋体fal" w:eastAsia="宋体fal" w:cs="宋体fal"/>
      <w:color w:val="000000"/>
      <w:sz w:val="21"/>
      <w:szCs w:val="21"/>
      <w:u w:val="none"/>
    </w:rPr>
  </w:style>
  <w:style w:type="character" w:customStyle="1" w:styleId="18">
    <w:name w:val="font61"/>
    <w:autoRedefine/>
    <w:qFormat/>
    <w:uiPriority w:val="0"/>
    <w:rPr>
      <w:rFonts w:ascii="Arial" w:hAnsi="Arial" w:cs="Arial"/>
      <w:color w:val="000000"/>
      <w:sz w:val="18"/>
      <w:szCs w:val="18"/>
      <w:u w:val="none"/>
    </w:rPr>
  </w:style>
  <w:style w:type="character" w:customStyle="1" w:styleId="19">
    <w:name w:val="页眉 Char"/>
    <w:link w:val="7"/>
    <w:autoRedefine/>
    <w:qFormat/>
    <w:uiPriority w:val="0"/>
    <w:rPr>
      <w:kern w:val="2"/>
      <w:sz w:val="18"/>
      <w:szCs w:val="18"/>
    </w:rPr>
  </w:style>
  <w:style w:type="character" w:customStyle="1" w:styleId="20">
    <w:name w:val="font21"/>
    <w:autoRedefine/>
    <w:qFormat/>
    <w:uiPriority w:val="0"/>
    <w:rPr>
      <w:rFonts w:ascii="宋体fal" w:hAnsi="宋体fal" w:eastAsia="宋体fal" w:cs="宋体fal"/>
      <w:color w:val="000000"/>
      <w:sz w:val="20"/>
      <w:szCs w:val="20"/>
      <w:u w:val="none"/>
    </w:rPr>
  </w:style>
  <w:style w:type="character" w:customStyle="1" w:styleId="21">
    <w:name w:val="纯文本 Char"/>
    <w:link w:val="5"/>
    <w:autoRedefine/>
    <w:qFormat/>
    <w:uiPriority w:val="0"/>
    <w:rPr>
      <w:rFonts w:ascii="宋体" w:hAnsi="Courier New" w:eastAsia="宋体" w:cs="Courier New"/>
      <w:kern w:val="2"/>
      <w:sz w:val="21"/>
      <w:szCs w:val="21"/>
      <w:lang w:val="en-US" w:eastAsia="zh-CN" w:bidi="ar-SA"/>
    </w:rPr>
  </w:style>
  <w:style w:type="paragraph" w:customStyle="1" w:styleId="22">
    <w:name w:val="p0"/>
    <w:basedOn w:val="1"/>
    <w:autoRedefine/>
    <w:unhideWhenUsed/>
    <w:qFormat/>
    <w:uiPriority w:val="0"/>
    <w:pPr>
      <w:widowControl/>
    </w:pPr>
    <w:rPr>
      <w:rFonts w:hint="eastAsia"/>
    </w:rPr>
  </w:style>
  <w:style w:type="paragraph" w:styleId="23">
    <w:name w:val="List Paragraph"/>
    <w:basedOn w:val="1"/>
    <w:link w:val="31"/>
    <w:autoRedefine/>
    <w:qFormat/>
    <w:uiPriority w:val="34"/>
    <w:pPr>
      <w:ind w:firstLine="420" w:firstLineChars="200"/>
    </w:pPr>
  </w:style>
  <w:style w:type="paragraph" w:customStyle="1" w:styleId="24">
    <w:name w:val="列出段落1"/>
    <w:basedOn w:val="1"/>
    <w:autoRedefine/>
    <w:qFormat/>
    <w:uiPriority w:val="0"/>
    <w:pPr>
      <w:ind w:firstLine="420" w:firstLineChars="200"/>
    </w:pPr>
    <w:rPr>
      <w:rFonts w:eastAsia="宋体fal" w:cs="Calibri"/>
      <w:szCs w:val="21"/>
    </w:rPr>
  </w:style>
  <w:style w:type="character" w:customStyle="1" w:styleId="25">
    <w:name w:val="font01"/>
    <w:basedOn w:val="12"/>
    <w:autoRedefine/>
    <w:qFormat/>
    <w:uiPriority w:val="0"/>
    <w:rPr>
      <w:rFonts w:hint="default" w:ascii="Arial" w:hAnsi="Arial" w:cs="Arial"/>
      <w:color w:val="000000"/>
      <w:sz w:val="20"/>
      <w:szCs w:val="20"/>
      <w:u w:val="none"/>
    </w:rPr>
  </w:style>
  <w:style w:type="character" w:customStyle="1" w:styleId="26">
    <w:name w:val="font11"/>
    <w:basedOn w:val="12"/>
    <w:autoRedefine/>
    <w:qFormat/>
    <w:uiPriority w:val="0"/>
    <w:rPr>
      <w:rFonts w:hint="eastAsia" w:ascii="宋体" w:hAnsi="宋体" w:eastAsia="宋体" w:cs="宋体"/>
      <w:color w:val="000000"/>
      <w:sz w:val="20"/>
      <w:szCs w:val="20"/>
      <w:u w:val="none"/>
    </w:rPr>
  </w:style>
  <w:style w:type="character" w:customStyle="1" w:styleId="27">
    <w:name w:val="页脚 Char"/>
    <w:basedOn w:val="12"/>
    <w:link w:val="6"/>
    <w:autoRedefine/>
    <w:qFormat/>
    <w:uiPriority w:val="0"/>
    <w:rPr>
      <w:kern w:val="2"/>
      <w:sz w:val="18"/>
      <w:szCs w:val="18"/>
    </w:rPr>
  </w:style>
  <w:style w:type="paragraph" w:customStyle="1" w:styleId="28">
    <w:name w:val="Char1"/>
    <w:basedOn w:val="1"/>
    <w:autoRedefine/>
    <w:qFormat/>
    <w:uiPriority w:val="0"/>
    <w:pPr>
      <w:spacing w:line="440" w:lineRule="atLeast"/>
      <w:ind w:firstLine="3079" w:firstLineChars="1278"/>
    </w:pPr>
    <w:rPr>
      <w:rFonts w:ascii="宋体" w:hAnsi="宋体"/>
      <w:b/>
      <w:color w:val="FF0000"/>
      <w:sz w:val="24"/>
    </w:rPr>
  </w:style>
  <w:style w:type="character" w:customStyle="1" w:styleId="29">
    <w:name w:val="标题 1 Char"/>
    <w:basedOn w:val="12"/>
    <w:link w:val="2"/>
    <w:autoRedefine/>
    <w:qFormat/>
    <w:uiPriority w:val="0"/>
    <w:rPr>
      <w:rFonts w:ascii="宋体" w:hAnsi="宋体"/>
      <w:b/>
      <w:kern w:val="2"/>
      <w:sz w:val="36"/>
    </w:rPr>
  </w:style>
  <w:style w:type="paragraph" w:customStyle="1" w:styleId="30">
    <w:name w:val="A正文"/>
    <w:basedOn w:val="1"/>
    <w:autoRedefine/>
    <w:qFormat/>
    <w:uiPriority w:val="0"/>
    <w:pPr>
      <w:widowControl/>
      <w:snapToGrid w:val="0"/>
      <w:spacing w:line="360" w:lineRule="auto"/>
      <w:ind w:firstLine="200" w:firstLineChars="200"/>
    </w:pPr>
    <w:rPr>
      <w:rFonts w:ascii="Times New Roman" w:hAnsi="Times New Roman"/>
      <w:kern w:val="0"/>
      <w:sz w:val="24"/>
      <w:szCs w:val="20"/>
      <w:lang w:eastAsia="en-US" w:bidi="en-US"/>
    </w:rPr>
  </w:style>
  <w:style w:type="character" w:customStyle="1" w:styleId="31">
    <w:name w:val="列出段落 Char"/>
    <w:link w:val="23"/>
    <w:autoRedefine/>
    <w:qFormat/>
    <w:uiPriority w:val="34"/>
    <w:rPr>
      <w:kern w:val="2"/>
      <w:sz w:val="21"/>
      <w:szCs w:val="24"/>
    </w:rPr>
  </w:style>
  <w:style w:type="paragraph" w:styleId="32">
    <w:name w:val="No Spacing"/>
    <w:autoRedefine/>
    <w:qFormat/>
    <w:uiPriority w:val="0"/>
    <w:pPr>
      <w:widowControl w:val="0"/>
      <w:spacing w:line="360" w:lineRule="auto"/>
      <w:jc w:val="both"/>
    </w:pPr>
    <w:rPr>
      <w:rFonts w:ascii="Calibri" w:hAnsi="Calibri" w:eastAsia="宋体" w:cs="Times New Roman"/>
      <w:kern w:val="2"/>
      <w:sz w:val="24"/>
      <w:szCs w:val="22"/>
      <w:lang w:val="en-US" w:eastAsia="zh-CN" w:bidi="ar-SA"/>
    </w:rPr>
  </w:style>
  <w:style w:type="paragraph" w:customStyle="1" w:styleId="33">
    <w:name w:val="09正文_wh"/>
    <w:autoRedefine/>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34">
    <w:name w:val="p15"/>
    <w:basedOn w:val="1"/>
    <w:autoRedefine/>
    <w:qFormat/>
    <w:uiPriority w:val="99"/>
    <w:pPr>
      <w:widowControl/>
      <w:spacing w:line="240" w:lineRule="auto"/>
    </w:pPr>
    <w:rPr>
      <w:kern w:val="0"/>
      <w:szCs w:val="21"/>
    </w:rPr>
  </w:style>
  <w:style w:type="character" w:customStyle="1" w:styleId="35">
    <w:name w:val="font101"/>
    <w:basedOn w:val="12"/>
    <w:autoRedefine/>
    <w:qFormat/>
    <w:uiPriority w:val="0"/>
    <w:rPr>
      <w:rFonts w:ascii="宋体" w:eastAsia="宋体" w:cs="宋体"/>
      <w:color w:val="000000"/>
      <w:sz w:val="18"/>
      <w:szCs w:val="18"/>
      <w:u w:val="none"/>
      <w:lang w:bidi="ar-SA"/>
    </w:rPr>
  </w:style>
  <w:style w:type="character" w:customStyle="1" w:styleId="36">
    <w:name w:val="font51"/>
    <w:basedOn w:val="12"/>
    <w:autoRedefine/>
    <w:qFormat/>
    <w:uiPriority w:val="0"/>
    <w:rPr>
      <w:rFonts w:hint="eastAsia" w:ascii="宋体" w:hAnsi="宋体" w:eastAsia="宋体" w:cs="宋体"/>
      <w:color w:val="000000"/>
      <w:sz w:val="20"/>
      <w:szCs w:val="20"/>
      <w:u w:val="none"/>
    </w:rPr>
  </w:style>
  <w:style w:type="character" w:customStyle="1" w:styleId="37">
    <w:name w:val="font71"/>
    <w:basedOn w:val="12"/>
    <w:autoRedefine/>
    <w:qFormat/>
    <w:uiPriority w:val="0"/>
    <w:rPr>
      <w:rFonts w:hint="default" w:ascii="Times New Roman" w:hAnsi="Times New Roman" w:cs="Times New Roman"/>
      <w:color w:val="000000"/>
      <w:sz w:val="20"/>
      <w:szCs w:val="20"/>
      <w:u w:val="none"/>
    </w:rPr>
  </w:style>
  <w:style w:type="character" w:customStyle="1" w:styleId="38">
    <w:name w:val="font161"/>
    <w:basedOn w:val="12"/>
    <w:autoRedefine/>
    <w:qFormat/>
    <w:uiPriority w:val="0"/>
    <w:rPr>
      <w:rFonts w:ascii="宋体" w:hAnsi="宋体" w:eastAsia="宋体" w:cs="宋体"/>
      <w:b/>
      <w:bCs/>
      <w:color w:val="000000"/>
      <w:sz w:val="18"/>
      <w:szCs w:val="18"/>
      <w:u w:val="none"/>
    </w:rPr>
  </w:style>
  <w:style w:type="table" w:customStyle="1" w:styleId="39">
    <w:name w:val="Table Normal"/>
    <w:autoRedefine/>
    <w:semiHidden/>
    <w:unhideWhenUsed/>
    <w:qFormat/>
    <w:uiPriority w:val="2"/>
    <w:pPr>
      <w:widowControl w:val="0"/>
      <w:autoSpaceDE w:val="0"/>
      <w:autoSpaceDN w:val="0"/>
    </w:pPr>
    <w:rPr>
      <w:kern w:val="0"/>
      <w:sz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24037;&#20316;\&#19994;&#21153;\&#20094;&#21439;&#26816;&#23519;&#38498;&#30417;&#31649;&#22330;&#25152;&#26234;&#24935;&#31227;&#21160;&#26816;&#21153;&#36890;&#31995;&#32479;&#35774;&#22791;&#36141;&#32622;(2).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20CEA05-885C-4DD3-95DF-ABF4E8C10248}">
  <ds:schemaRefs/>
</ds:datastoreItem>
</file>

<file path=docProps/app.xml><?xml version="1.0" encoding="utf-8"?>
<Properties xmlns="http://schemas.openxmlformats.org/officeDocument/2006/extended-properties" xmlns:vt="http://schemas.openxmlformats.org/officeDocument/2006/docPropsVTypes">
  <Template>乾县检察院监管场所智慧移动检务通系统设备购置(2)</Template>
  <Company>Microsoft</Company>
  <Pages>37</Pages>
  <Words>15285</Words>
  <Characters>16175</Characters>
  <Lines>109</Lines>
  <Paragraphs>30</Paragraphs>
  <TotalTime>4</TotalTime>
  <ScaleCrop>false</ScaleCrop>
  <LinksUpToDate>false</LinksUpToDate>
  <CharactersWithSpaces>16909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2021-07-30T02:10:00Z</dcterms:created>
  <dc:creator>PC</dc:creator>
  <cp:lastModifiedBy>时过境迁</cp:lastModifiedBy>
  <cp:lastPrinted>2026-03-24T01:32:00Z</cp:lastPrinted>
  <dcterms:modified xsi:type="dcterms:W3CDTF">2026-10-13T09:09:30Z</dcterms:modified>
  <dc:title>咸阳市公共资源交易中心</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45DE590F9A5941F0B08AC5ACF3A2B378_13</vt:lpwstr>
  </property>
  <property fmtid="{D5CDD505-2E9C-101B-9397-08002B2CF9AE}" pid="4" name="KSOTemplateDocerSaveRecord">
    <vt:lpwstr>eyJoZGlkIjoiMzg4MTNhMDE0MDE5ZTY1NTgyNGI3Nzc1ZGVhZDU3NDEiLCJ1c2VySWQiOiIxMjE3NDUzMjEyIn0=</vt:lpwstr>
  </property>
</Properties>
</file>