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8C470">
      <w:pPr>
        <w:pStyle w:val="5"/>
        <w:spacing w:line="360" w:lineRule="auto"/>
        <w:jc w:val="center"/>
        <w:rPr>
          <w:rFonts w:hint="eastAsia" w:ascii="宋体" w:hAnsi="宋体" w:cs="宋体"/>
          <w:b/>
          <w:bCs/>
          <w:sz w:val="36"/>
          <w:szCs w:val="36"/>
          <w:lang w:eastAsia="zh-CN"/>
        </w:rPr>
      </w:pPr>
      <w:bookmarkStart w:id="0" w:name="_Toc16018"/>
      <w:bookmarkStart w:id="1" w:name="_Toc316547681"/>
      <w:bookmarkStart w:id="2" w:name="_Toc312314165"/>
      <w:bookmarkStart w:id="3" w:name="_Toc17225"/>
      <w:bookmarkStart w:id="4" w:name="_Toc14625"/>
      <w:bookmarkStart w:id="5" w:name="_Toc311556604"/>
      <w:bookmarkStart w:id="6" w:name="_Toc25550"/>
      <w:bookmarkStart w:id="7" w:name="_Toc3062"/>
      <w:r>
        <w:rPr>
          <w:rFonts w:hint="eastAsia" w:ascii="宋体" w:hAnsi="宋体" w:cs="宋体"/>
          <w:b/>
          <w:bCs/>
          <w:sz w:val="36"/>
          <w:szCs w:val="36"/>
        </w:rPr>
        <w:t>合同的主要条款</w:t>
      </w:r>
    </w:p>
    <w:p w14:paraId="3E525CF6">
      <w:pPr>
        <w:pStyle w:val="5"/>
        <w:spacing w:line="360" w:lineRule="auto"/>
        <w:jc w:val="center"/>
        <w:rPr>
          <w:rFonts w:hint="eastAsia" w:ascii="宋体" w:hAnsi="宋体" w:cs="宋体"/>
          <w:b/>
          <w:bCs/>
          <w:sz w:val="36"/>
          <w:szCs w:val="36"/>
          <w:lang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0F653C16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合同编号：</w:t>
      </w:r>
    </w:p>
    <w:p w14:paraId="6739F8C5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甲方（招标人）：</w:t>
      </w:r>
      <w:bookmarkStart w:id="8" w:name="_GoBack"/>
      <w:bookmarkEnd w:id="8"/>
      <w:r>
        <w:rPr>
          <w:rFonts w:hint="eastAsia" w:ascii="宋体" w:hAnsi="宋体" w:cs="宋体"/>
          <w:sz w:val="24"/>
          <w:szCs w:val="24"/>
        </w:rPr>
        <w:t xml:space="preserve"> </w:t>
      </w:r>
    </w:p>
    <w:p w14:paraId="3771F678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乙方（中标人）： </w:t>
      </w:r>
    </w:p>
    <w:p w14:paraId="765FB82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根据《中华人民共和国政府采购法》、《中华人民共和国民法典》等相关法律，甲、乙双方就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2026年教学设施设备采购（二次） </w:t>
      </w:r>
      <w:r>
        <w:rPr>
          <w:rFonts w:hint="eastAsia" w:ascii="宋体" w:hAnsi="宋体" w:cs="宋体"/>
          <w:sz w:val="24"/>
          <w:szCs w:val="24"/>
        </w:rPr>
        <w:t xml:space="preserve">，经平等协商达成合同如下： </w:t>
      </w:r>
    </w:p>
    <w:p w14:paraId="7300718F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一、合同文件 </w:t>
      </w:r>
    </w:p>
    <w:p w14:paraId="3F02020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本合同所附下列文件是构成本合同不可分割的部分，组成合同的各项文件应互相解释，互为说明，解释合同文件的优先顺序如下： </w:t>
      </w:r>
    </w:p>
    <w:p w14:paraId="6E9F33E8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（一）合同格式以及合同条款 </w:t>
      </w:r>
    </w:p>
    <w:p w14:paraId="75EB63D7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（二）中标通知书 </w:t>
      </w:r>
    </w:p>
    <w:p w14:paraId="600758E8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（三）中标人在评标过程中做出的有关澄清、说明、承诺或者补正文件 </w:t>
      </w:r>
    </w:p>
    <w:p w14:paraId="4116DE4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（四）中标人投标文件 </w:t>
      </w:r>
    </w:p>
    <w:p w14:paraId="20E9AD5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（五）招标文件 </w:t>
      </w:r>
    </w:p>
    <w:p w14:paraId="43C2ADEA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（六）本合同附件 </w:t>
      </w:r>
    </w:p>
    <w:p w14:paraId="4D910D8B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同一层次的合同文件规定有矛盾的以较后时间制定的为准。 </w:t>
      </w:r>
    </w:p>
    <w:p w14:paraId="289534D5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二、合同的范围和条件 </w:t>
      </w:r>
    </w:p>
    <w:p w14:paraId="40765F28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本合同的范围和条件应与上述合同文件的规定相一致。 </w:t>
      </w:r>
    </w:p>
    <w:p w14:paraId="122FC79E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三、货物、数量以及规格 </w:t>
      </w:r>
    </w:p>
    <w:p w14:paraId="15F0922E">
      <w:pPr>
        <w:pStyle w:val="5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本合同所提供的货物、数量以及规格等详见乙方投标文件报价清单（应包含货物名称</w:t>
      </w:r>
      <w:r>
        <w:rPr>
          <w:rFonts w:hint="eastAsia" w:ascii="宋体" w:hAnsi="宋体"/>
          <w:sz w:val="24"/>
          <w:szCs w:val="24"/>
          <w:lang w:eastAsia="zh-CN"/>
        </w:rPr>
        <w:t>、品牌/产地</w:t>
      </w:r>
      <w:r>
        <w:rPr>
          <w:rFonts w:hint="eastAsia" w:ascii="宋体" w:hAnsi="宋体"/>
          <w:sz w:val="24"/>
          <w:szCs w:val="24"/>
        </w:rPr>
        <w:t>、规格型号、详细配置参数、单位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</w:rPr>
        <w:t>数量、单价、合计等信息）。</w:t>
      </w:r>
    </w:p>
    <w:tbl>
      <w:tblPr>
        <w:tblStyle w:val="6"/>
        <w:tblW w:w="8576" w:type="dxa"/>
        <w:tblInd w:w="-119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167"/>
        <w:gridCol w:w="1050"/>
        <w:gridCol w:w="1283"/>
        <w:gridCol w:w="990"/>
        <w:gridCol w:w="655"/>
        <w:gridCol w:w="625"/>
        <w:gridCol w:w="1076"/>
        <w:gridCol w:w="1076"/>
      </w:tblGrid>
      <w:tr w14:paraId="144435A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654" w:type="dxa"/>
            <w:noWrap w:val="0"/>
            <w:vAlign w:val="center"/>
          </w:tcPr>
          <w:p w14:paraId="3D04123F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napToGrid w:val="0"/>
                <w:sz w:val="24"/>
                <w:szCs w:val="24"/>
              </w:rPr>
              <w:t>序号</w:t>
            </w:r>
          </w:p>
        </w:tc>
        <w:tc>
          <w:tcPr>
            <w:tcW w:w="1167" w:type="dxa"/>
            <w:noWrap w:val="0"/>
            <w:vAlign w:val="center"/>
          </w:tcPr>
          <w:p w14:paraId="0CE0B22A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050" w:type="dxa"/>
            <w:noWrap w:val="0"/>
            <w:vAlign w:val="center"/>
          </w:tcPr>
          <w:p w14:paraId="05215F37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品牌/产地</w:t>
            </w:r>
          </w:p>
        </w:tc>
        <w:tc>
          <w:tcPr>
            <w:tcW w:w="1283" w:type="dxa"/>
            <w:noWrap w:val="0"/>
            <w:vAlign w:val="center"/>
          </w:tcPr>
          <w:p w14:paraId="266ED625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规格型号、详细配置参数</w:t>
            </w:r>
          </w:p>
        </w:tc>
        <w:tc>
          <w:tcPr>
            <w:tcW w:w="990" w:type="dxa"/>
            <w:noWrap w:val="0"/>
            <w:vAlign w:val="top"/>
          </w:tcPr>
          <w:p w14:paraId="34267FAF">
            <w:pPr>
              <w:jc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655" w:type="dxa"/>
            <w:noWrap w:val="0"/>
            <w:vAlign w:val="top"/>
          </w:tcPr>
          <w:p w14:paraId="137CB61B">
            <w:pPr>
              <w:jc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625" w:type="dxa"/>
            <w:noWrap w:val="0"/>
            <w:vAlign w:val="top"/>
          </w:tcPr>
          <w:p w14:paraId="607C4D5F">
            <w:pPr>
              <w:jc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含税单价</w:t>
            </w:r>
          </w:p>
        </w:tc>
        <w:tc>
          <w:tcPr>
            <w:tcW w:w="1076" w:type="dxa"/>
            <w:noWrap w:val="0"/>
            <w:vAlign w:val="center"/>
          </w:tcPr>
          <w:p w14:paraId="4E50306D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合价</w:t>
            </w:r>
          </w:p>
        </w:tc>
        <w:tc>
          <w:tcPr>
            <w:tcW w:w="1076" w:type="dxa"/>
            <w:noWrap w:val="0"/>
            <w:vAlign w:val="center"/>
          </w:tcPr>
          <w:p w14:paraId="0FCD698D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质保年限 / 备注</w:t>
            </w:r>
          </w:p>
        </w:tc>
      </w:tr>
      <w:tr w14:paraId="1C27C47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54" w:type="dxa"/>
            <w:noWrap/>
            <w:vAlign w:val="center"/>
          </w:tcPr>
          <w:p w14:paraId="5AE60FF1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1</w:t>
            </w:r>
          </w:p>
        </w:tc>
        <w:tc>
          <w:tcPr>
            <w:tcW w:w="1167" w:type="dxa"/>
            <w:noWrap/>
            <w:vAlign w:val="center"/>
          </w:tcPr>
          <w:p w14:paraId="4B47FF7C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50" w:type="dxa"/>
            <w:noWrap/>
            <w:vAlign w:val="center"/>
          </w:tcPr>
          <w:p w14:paraId="37B47BA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283" w:type="dxa"/>
            <w:noWrap/>
            <w:vAlign w:val="center"/>
          </w:tcPr>
          <w:p w14:paraId="0C622806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center"/>
          </w:tcPr>
          <w:p w14:paraId="602F60B5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655" w:type="dxa"/>
            <w:noWrap/>
            <w:vAlign w:val="center"/>
          </w:tcPr>
          <w:p w14:paraId="3D162DB6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625" w:type="dxa"/>
            <w:noWrap w:val="0"/>
            <w:vAlign w:val="center"/>
          </w:tcPr>
          <w:p w14:paraId="69BE3880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936D91B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EDF24F2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hint="eastAsia" w:ascii="宋体" w:hAnsi="宋体" w:cs="宋体"/>
                <w:snapToGrid w:val="0"/>
                <w:color w:val="000000"/>
                <w:sz w:val="24"/>
                <w:szCs w:val="24"/>
              </w:rPr>
            </w:pPr>
          </w:p>
        </w:tc>
      </w:tr>
      <w:tr w14:paraId="1FEE89D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54" w:type="dxa"/>
            <w:noWrap/>
            <w:vAlign w:val="center"/>
          </w:tcPr>
          <w:p w14:paraId="434D530F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2</w:t>
            </w:r>
          </w:p>
        </w:tc>
        <w:tc>
          <w:tcPr>
            <w:tcW w:w="1167" w:type="dxa"/>
            <w:noWrap/>
            <w:vAlign w:val="center"/>
          </w:tcPr>
          <w:p w14:paraId="74BAAF3D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50" w:type="dxa"/>
            <w:noWrap/>
            <w:vAlign w:val="center"/>
          </w:tcPr>
          <w:p w14:paraId="113D7219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283" w:type="dxa"/>
            <w:noWrap/>
            <w:vAlign w:val="center"/>
          </w:tcPr>
          <w:p w14:paraId="02C95543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center"/>
          </w:tcPr>
          <w:p w14:paraId="66DDACA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655" w:type="dxa"/>
            <w:noWrap/>
            <w:vAlign w:val="center"/>
          </w:tcPr>
          <w:p w14:paraId="72BF2C3F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625" w:type="dxa"/>
            <w:noWrap w:val="0"/>
            <w:vAlign w:val="center"/>
          </w:tcPr>
          <w:p w14:paraId="0F07543D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940DB27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94BD304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hint="eastAsia" w:ascii="宋体" w:hAnsi="宋体" w:cs="宋体"/>
                <w:snapToGrid w:val="0"/>
                <w:color w:val="000000"/>
                <w:sz w:val="24"/>
                <w:szCs w:val="24"/>
              </w:rPr>
            </w:pPr>
          </w:p>
        </w:tc>
      </w:tr>
      <w:tr w14:paraId="3B783F7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654" w:type="dxa"/>
            <w:noWrap/>
            <w:vAlign w:val="center"/>
          </w:tcPr>
          <w:p w14:paraId="5054BB1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3</w:t>
            </w:r>
          </w:p>
        </w:tc>
        <w:tc>
          <w:tcPr>
            <w:tcW w:w="1167" w:type="dxa"/>
            <w:noWrap/>
            <w:vAlign w:val="center"/>
          </w:tcPr>
          <w:p w14:paraId="68AD3FD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50" w:type="dxa"/>
            <w:noWrap/>
            <w:vAlign w:val="center"/>
          </w:tcPr>
          <w:p w14:paraId="5E67AFE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283" w:type="dxa"/>
            <w:noWrap/>
            <w:vAlign w:val="center"/>
          </w:tcPr>
          <w:p w14:paraId="3C273B2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center"/>
          </w:tcPr>
          <w:p w14:paraId="487ECED4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655" w:type="dxa"/>
            <w:noWrap/>
            <w:vAlign w:val="center"/>
          </w:tcPr>
          <w:p w14:paraId="74907DA4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625" w:type="dxa"/>
            <w:noWrap w:val="0"/>
            <w:vAlign w:val="center"/>
          </w:tcPr>
          <w:p w14:paraId="05554DE2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282158F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8CF861D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hint="eastAsia" w:ascii="宋体" w:hAnsi="宋体" w:cs="宋体"/>
                <w:snapToGrid w:val="0"/>
                <w:color w:val="000000"/>
                <w:sz w:val="24"/>
                <w:szCs w:val="24"/>
              </w:rPr>
            </w:pPr>
          </w:p>
        </w:tc>
      </w:tr>
      <w:tr w14:paraId="18626EC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4154" w:type="dxa"/>
            <w:gridSpan w:val="4"/>
            <w:noWrap/>
            <w:vAlign w:val="center"/>
          </w:tcPr>
          <w:p w14:paraId="3FE92E8A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合计</w:t>
            </w:r>
          </w:p>
        </w:tc>
        <w:tc>
          <w:tcPr>
            <w:tcW w:w="3346" w:type="dxa"/>
            <w:gridSpan w:val="4"/>
            <w:noWrap/>
            <w:vAlign w:val="center"/>
          </w:tcPr>
          <w:p w14:paraId="197A8E04">
            <w:pPr>
              <w:kinsoku w:val="0"/>
              <w:autoSpaceDE w:val="0"/>
              <w:autoSpaceDN w:val="0"/>
              <w:spacing w:line="360" w:lineRule="auto"/>
              <w:textAlignment w:val="baseline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小写：</w:t>
            </w:r>
            <w:r>
              <w:rPr>
                <w:rFonts w:hint="eastAsia" w:ascii="宋体" w:hAnsi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cs="宋体"/>
                <w:snapToGrid w:val="0"/>
                <w:sz w:val="24"/>
                <w:szCs w:val="24"/>
                <w:u w:val="single"/>
              </w:rPr>
              <w:t xml:space="preserve"> </w:t>
            </w:r>
          </w:p>
          <w:p w14:paraId="79D21232">
            <w:pPr>
              <w:kinsoku w:val="0"/>
              <w:autoSpaceDE w:val="0"/>
              <w:autoSpaceDN w:val="0"/>
              <w:spacing w:line="360" w:lineRule="auto"/>
              <w:textAlignment w:val="baseline"/>
              <w:rPr>
                <w:rFonts w:hint="default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  <w:lang w:val="zh-CN"/>
              </w:rPr>
              <w:t>大写：</w:t>
            </w:r>
            <w:r>
              <w:rPr>
                <w:rFonts w:hint="eastAsia" w:ascii="宋体" w:hAnsi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  </w:t>
            </w:r>
          </w:p>
        </w:tc>
        <w:tc>
          <w:tcPr>
            <w:tcW w:w="1076" w:type="dxa"/>
            <w:noWrap/>
            <w:vAlign w:val="center"/>
          </w:tcPr>
          <w:p w14:paraId="104A6227">
            <w:pPr>
              <w:kinsoku w:val="0"/>
              <w:autoSpaceDE w:val="0"/>
              <w:autoSpaceDN w:val="0"/>
              <w:spacing w:line="360" w:lineRule="auto"/>
              <w:textAlignment w:val="baseline"/>
              <w:rPr>
                <w:rFonts w:hint="eastAsia" w:ascii="宋体" w:hAnsi="宋体" w:cs="宋体"/>
                <w:snapToGrid w:val="0"/>
                <w:sz w:val="24"/>
                <w:szCs w:val="24"/>
                <w:lang w:val="zh-CN"/>
              </w:rPr>
            </w:pPr>
          </w:p>
        </w:tc>
      </w:tr>
    </w:tbl>
    <w:p w14:paraId="6128CBFC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四、合同金额 </w:t>
      </w:r>
    </w:p>
    <w:p w14:paraId="6B23341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1、根据上述文件要求，合同金额为人民币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万元，大写：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。</w:t>
      </w:r>
    </w:p>
    <w:p w14:paraId="57D0FC60">
      <w:pPr>
        <w:pStyle w:val="5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2、本合同总价款已包括乙方为履行本合同义务所发生的一切费用，包括但不限于交通费、运输费、物流费、装卸费、包装费、安装费</w:t>
      </w:r>
      <w:r>
        <w:rPr>
          <w:rFonts w:hint="eastAsia" w:ascii="宋体" w:hAnsi="宋体"/>
          <w:sz w:val="24"/>
          <w:szCs w:val="24"/>
          <w:lang w:eastAsia="zh-CN"/>
        </w:rPr>
        <w:t>、调试、</w:t>
      </w:r>
      <w:r>
        <w:rPr>
          <w:rFonts w:hint="eastAsia" w:ascii="宋体" w:hAnsi="宋体"/>
          <w:sz w:val="24"/>
          <w:szCs w:val="24"/>
          <w:lang w:val="en-US" w:eastAsia="zh-CN"/>
        </w:rPr>
        <w:t>质保、</w:t>
      </w:r>
      <w:r>
        <w:rPr>
          <w:rFonts w:hint="eastAsia" w:ascii="宋体" w:hAnsi="宋体"/>
          <w:sz w:val="24"/>
          <w:szCs w:val="24"/>
          <w:lang w:eastAsia="zh-CN"/>
        </w:rPr>
        <w:t>培训、资料移交</w:t>
      </w:r>
      <w:r>
        <w:rPr>
          <w:rFonts w:hint="eastAsia" w:ascii="宋体" w:hAnsi="宋体"/>
          <w:sz w:val="24"/>
          <w:szCs w:val="24"/>
        </w:rPr>
        <w:t>等。甲方无须另行向乙方支付本合同规定之外的其他任何费用，该价格系固定不变价格，且不随市场价格、通货膨胀等因素的影响而波动。</w:t>
      </w:r>
    </w:p>
    <w:p w14:paraId="156A2C87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五、付款方式 </w:t>
      </w:r>
    </w:p>
    <w:p w14:paraId="00903C31">
      <w:pPr>
        <w:pStyle w:val="5"/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、进度款，产品安装调试完成，达到付款条件起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5个⼯作⽇内，⽀付合同总⾦额的</w:t>
      </w:r>
      <w:r>
        <w:rPr>
          <w:rFonts w:hint="eastAsia" w:ascii="宋体" w:hAnsi="宋体"/>
          <w:sz w:val="24"/>
          <w:szCs w:val="24"/>
          <w:lang w:val="en-US" w:eastAsia="zh-CN"/>
        </w:rPr>
        <w:t>50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0%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6CDD80B2">
      <w:pPr>
        <w:pStyle w:val="5"/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2、进度款，验收合格后 ，达到付款条件起30个工作日内，支付合同总金额的50.0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  <w:lang w:eastAsia="zh-CN"/>
        </w:rPr>
        <w:t>%</w:t>
      </w:r>
    </w:p>
    <w:p w14:paraId="2B536F1D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乙方收款信息：</w:t>
      </w:r>
    </w:p>
    <w:p w14:paraId="5F2ABDA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乙方账户名：</w:t>
      </w:r>
    </w:p>
    <w:p w14:paraId="7850556F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乙方开户行：</w:t>
      </w:r>
    </w:p>
    <w:p w14:paraId="022AFAD6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账号：</w:t>
      </w:r>
    </w:p>
    <w:p w14:paraId="0A285BB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地址及电话：</w:t>
      </w:r>
    </w:p>
    <w:p w14:paraId="4DA975FC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sz w:val="24"/>
          <w:szCs w:val="24"/>
        </w:rPr>
        <w:t>.甲方开票信息：</w:t>
      </w:r>
    </w:p>
    <w:p w14:paraId="68543246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单位名称：</w:t>
      </w:r>
    </w:p>
    <w:p w14:paraId="0E091E0D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纳税识别号：</w:t>
      </w:r>
    </w:p>
    <w:p w14:paraId="3E02E3C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开户行名称：</w:t>
      </w:r>
    </w:p>
    <w:p w14:paraId="1438C96F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银行账号：</w:t>
      </w:r>
    </w:p>
    <w:p w14:paraId="375753A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地址及电话：</w:t>
      </w:r>
    </w:p>
    <w:p w14:paraId="34BBF367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六、交货 </w:t>
      </w:r>
    </w:p>
    <w:p w14:paraId="7AB4453C">
      <w:pPr>
        <w:spacing w:line="360" w:lineRule="auto"/>
        <w:ind w:firstLine="482" w:firstLineChars="200"/>
        <w:rPr>
          <w:rFonts w:hint="default" w:ascii="宋体" w:hAnsi="宋体" w:eastAsia="宋体" w:cs="宋体"/>
          <w:b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</w:rPr>
        <w:t>1、交货期：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 xml:space="preserve"> 合同签订后10日历天完成所有产品的供货、安装及调试。 </w:t>
      </w:r>
    </w:p>
    <w:p w14:paraId="737BC233">
      <w:pPr>
        <w:spacing w:line="360" w:lineRule="auto"/>
        <w:ind w:firstLine="482" w:firstLineChars="200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</w:rPr>
        <w:t>2、交货地点：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 xml:space="preserve"> 铜川市实验中学 。</w:t>
      </w:r>
    </w:p>
    <w:p w14:paraId="0CB2A2EF">
      <w:pPr>
        <w:pStyle w:val="4"/>
        <w:spacing w:before="4" w:line="360" w:lineRule="auto"/>
        <w:ind w:right="0" w:firstLine="482" w:firstLineChars="200"/>
        <w:jc w:val="left"/>
        <w:rPr>
          <w:rFonts w:hint="default" w:ascii="宋体" w:hAnsi="宋体" w:eastAsia="宋体" w:cs="宋体"/>
          <w:b/>
          <w:color w:val="0000FF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3、质保期：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u w:val="single"/>
          <w:lang w:val="en-US" w:eastAsia="zh-CN" w:bidi="ar-SA"/>
        </w:rPr>
        <w:t>3年</w:t>
      </w:r>
      <w:r>
        <w:rPr>
          <w:rFonts w:hint="eastAsia" w:ascii="宋体" w:hAnsi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</w:p>
    <w:p w14:paraId="70FC7919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cs="宋体"/>
          <w:sz w:val="24"/>
          <w:szCs w:val="24"/>
        </w:rPr>
        <w:t xml:space="preserve">风险负担：货物毁损、灭失的风险在该货物通过甲乙双方联合验收交付前由乙方承担，通过联合验收交付后由甲方承担；因质量问题甲方拒收的，风险由乙方承担。 </w:t>
      </w:r>
    </w:p>
    <w:p w14:paraId="27EEDD81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七、质量 </w:t>
      </w:r>
    </w:p>
    <w:p w14:paraId="1900B5E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中标供应商应当保证所供货物的来源渠道正常，产品是全新的、未使⽤过的，且完全符合合同规定的质量、规格、技术指标等要求； </w:t>
      </w:r>
    </w:p>
    <w:p w14:paraId="48BD8FA5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八、运输要求 </w:t>
      </w:r>
    </w:p>
    <w:p w14:paraId="7D354EAF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运输及相关费用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全</w:t>
      </w:r>
      <w:r>
        <w:rPr>
          <w:rFonts w:hint="eastAsia" w:ascii="宋体" w:hAnsi="宋体" w:cs="宋体"/>
          <w:sz w:val="24"/>
          <w:szCs w:val="24"/>
        </w:rPr>
        <w:t xml:space="preserve">由乙方承担。 </w:t>
      </w:r>
    </w:p>
    <w:p w14:paraId="537B1607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九、知识产权 </w:t>
      </w:r>
    </w:p>
    <w:p w14:paraId="5597FED3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所投产品及本项目定制交付成果知识产权合法无权属瑕疵，不侵犯任何第三方权利；本项目专属定制交付成果全部知识产权归采购人所有，供应商自带标准产品、第三方配套组件仅提供永久使用权。如发生知识产权侵权纠纷，全部经济、法律责任由供应商自行承担。</w:t>
      </w:r>
    </w:p>
    <w:p w14:paraId="50357123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十、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交付与</w:t>
      </w:r>
      <w:r>
        <w:rPr>
          <w:rFonts w:hint="eastAsia" w:ascii="宋体" w:hAnsi="宋体" w:cs="宋体"/>
          <w:b/>
          <w:sz w:val="24"/>
          <w:szCs w:val="24"/>
        </w:rPr>
        <w:t xml:space="preserve">验收 </w:t>
      </w:r>
    </w:p>
    <w:p w14:paraId="4D4EFD26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1.乙方保证其提供的所有货物均为全新、性能良好，并保证货物及其相关的技术文件、许可证明和服务均无任何权利或质量瑕疵，完全符合本合同约定及中国法律法规与产业标准。</w:t>
      </w:r>
    </w:p>
    <w:p w14:paraId="282805BF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2.甲方有权检验/检测货物，以确认货物是否符合合同规格的要求，并且不承担额外的费用。</w:t>
      </w:r>
    </w:p>
    <w:p w14:paraId="3CE9B476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3.货物运抵指定地点后，甲乙双方应共同对货物的外观、数量、规格进行清点。</w:t>
      </w:r>
    </w:p>
    <w:p w14:paraId="591D0AD8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4.乙方应在甲方提出后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3</w:t>
      </w:r>
      <w:r>
        <w:rPr>
          <w:rFonts w:hint="eastAsia" w:ascii="宋体" w:hAnsi="宋体" w:cs="宋体"/>
          <w:sz w:val="24"/>
          <w:szCs w:val="24"/>
          <w:lang w:eastAsia="zh-CN"/>
        </w:rPr>
        <w:t>日内对不合格货物进行补足或调换，直至全部通过验收。</w:t>
      </w:r>
    </w:p>
    <w:p w14:paraId="533DD72E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5.按国家及⾏业标准、采购需求、投标⽂件、合同约定执⾏，验收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合格后</w:t>
      </w:r>
      <w:r>
        <w:rPr>
          <w:rFonts w:hint="eastAsia" w:ascii="宋体" w:hAnsi="宋体" w:cs="宋体"/>
          <w:sz w:val="24"/>
          <w:szCs w:val="24"/>
          <w:lang w:eastAsia="zh-CN"/>
        </w:rPr>
        <w:t>须形成书⾯验收报告。</w:t>
      </w:r>
    </w:p>
    <w:p w14:paraId="4901096C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十一、售后服务</w:t>
      </w:r>
    </w:p>
    <w:p w14:paraId="75132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/>
          <w:color w:val="0000FF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在项目验收合格后三年内投标人应提供7x24小时电话技术支持，4⼩时响应，在接到采购人通知，24⼩时内上⻔服务，派出不少于2名技术人员并携带相关备用设备到指定的任务现场提供技术支持。</w:t>
      </w:r>
    </w:p>
    <w:p w14:paraId="41D91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十二、违约条款 </w:t>
      </w:r>
    </w:p>
    <w:p w14:paraId="5ACC75B3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1、按《中华人民共和国民法典》中的相关条款执行。 </w:t>
      </w:r>
    </w:p>
    <w:p w14:paraId="0CCD199F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2、未按合同要求提供产品或产品质量不能满足合同约定的技术要求，采购人有权终止合同，供应商须无条件全额退回采购人已付给供应商的货款，并向采购人支付合同总价款百分之十的违约金。并保留追究供应商违约责任的权利。 </w:t>
      </w:r>
    </w:p>
    <w:p w14:paraId="407DF21B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3、时间迟延的，违约方按照每天1‰向对方承担违约责任，延迟30天以上，采购人有权解除合同。产品质量问题违约的，除了按照迟延时间计算违约金外，另可以采取退货、换货等方式，由供方承担一切费用。 </w:t>
      </w:r>
    </w:p>
    <w:p w14:paraId="0FC55A21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十三、不可抗力条款 </w:t>
      </w:r>
    </w:p>
    <w:p w14:paraId="11E2CB6D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因不可抗力致使一方不能及时或完全履行合同的，应及时通知招标代理机构及另一方，双方互不承担责任，并在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5 </w:t>
      </w:r>
      <w:r>
        <w:rPr>
          <w:rFonts w:hint="eastAsia" w:ascii="宋体" w:hAnsi="宋体" w:cs="宋体"/>
          <w:sz w:val="24"/>
          <w:szCs w:val="24"/>
        </w:rPr>
        <w:t xml:space="preserve">天内提供有关不可抗力的相应证明。合同未履行部分是否继续履行、如何履行等问题，可由双方协商解决。 </w:t>
      </w:r>
    </w:p>
    <w:p w14:paraId="061E39F9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四</w:t>
      </w:r>
      <w:r>
        <w:rPr>
          <w:rFonts w:hint="eastAsia" w:ascii="宋体" w:hAnsi="宋体" w:cs="宋体"/>
          <w:b/>
          <w:sz w:val="24"/>
          <w:szCs w:val="24"/>
        </w:rPr>
        <w:t xml:space="preserve">、争议的解决方式 </w:t>
      </w:r>
    </w:p>
    <w:p w14:paraId="5DFAAD2D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合同发生纠纷时，双方应协商解决，协商不成可以向</w:t>
      </w:r>
      <w:r>
        <w:rPr>
          <w:rFonts w:hint="eastAsia" w:ascii="宋体" w:hAnsi="宋体" w:cs="宋体"/>
          <w:sz w:val="24"/>
          <w:szCs w:val="24"/>
          <w:u w:val="single"/>
        </w:rPr>
        <w:t>甲方</w:t>
      </w:r>
      <w:r>
        <w:rPr>
          <w:rFonts w:hint="eastAsia" w:ascii="宋体" w:hAnsi="宋体" w:cs="宋体"/>
          <w:sz w:val="24"/>
          <w:szCs w:val="24"/>
        </w:rPr>
        <w:t>所在地人民法院提起诉讼。</w:t>
      </w:r>
    </w:p>
    <w:p w14:paraId="0AE9C302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五</w:t>
      </w:r>
      <w:r>
        <w:rPr>
          <w:rFonts w:hint="eastAsia" w:ascii="宋体" w:hAnsi="宋体" w:cs="宋体"/>
          <w:b/>
          <w:sz w:val="24"/>
          <w:szCs w:val="24"/>
        </w:rPr>
        <w:t xml:space="preserve">、补充协议 </w:t>
      </w:r>
    </w:p>
    <w:p w14:paraId="673686BD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pacing w:val="7"/>
          <w:sz w:val="10"/>
          <w:szCs w:val="10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合同未尽事宜，经双方协商可签订补充协议，所签订的补充协议与本合同具有同等的法律效力，补充协议的生效应符合本合同的有关规定。合同补充条款应同时报同级财政部门备案。</w:t>
      </w:r>
    </w:p>
    <w:p w14:paraId="2DB67B62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十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六</w:t>
      </w:r>
      <w:r>
        <w:rPr>
          <w:rFonts w:ascii="宋体" w:hAnsi="宋体"/>
          <w:b/>
          <w:sz w:val="24"/>
          <w:szCs w:val="24"/>
        </w:rPr>
        <w:t>、</w:t>
      </w:r>
      <w:r>
        <w:rPr>
          <w:rFonts w:ascii="宋体" w:hAnsi="宋体" w:cs="宋体"/>
          <w:b/>
          <w:sz w:val="24"/>
          <w:szCs w:val="24"/>
        </w:rPr>
        <w:t>合同保存</w:t>
      </w:r>
    </w:p>
    <w:p w14:paraId="337293A4">
      <w:pPr>
        <w:pStyle w:val="4"/>
        <w:tabs>
          <w:tab w:val="left" w:pos="9062"/>
        </w:tabs>
        <w:spacing w:line="360" w:lineRule="auto"/>
        <w:ind w:right="102" w:firstLine="480" w:firstLineChars="200"/>
        <w:jc w:val="both"/>
        <w:rPr>
          <w:rFonts w:hint="eastAsia" w:ascii="仿宋_GB2312" w:hAnsi="仿宋_GB2312" w:eastAsia="仿宋_GB2312" w:cs="仿宋_GB2312"/>
          <w:spacing w:val="7"/>
          <w:sz w:val="32"/>
          <w:szCs w:val="32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ascii="宋体" w:hAnsi="宋体"/>
          <w:sz w:val="24"/>
          <w:szCs w:val="24"/>
        </w:rPr>
        <w:t>本合同一式</w:t>
      </w:r>
      <w:r>
        <w:rPr>
          <w:rFonts w:hint="eastAsia" w:ascii="宋体" w:hAnsi="宋体"/>
          <w:sz w:val="24"/>
          <w:szCs w:val="24"/>
          <w:u w:val="single"/>
        </w:rPr>
        <w:t xml:space="preserve"> 陆 </w:t>
      </w:r>
      <w:r>
        <w:rPr>
          <w:rFonts w:ascii="宋体" w:hAnsi="宋体"/>
          <w:sz w:val="24"/>
          <w:szCs w:val="24"/>
        </w:rPr>
        <w:t>份，甲方</w:t>
      </w:r>
      <w:r>
        <w:rPr>
          <w:rFonts w:hint="eastAsia" w:ascii="宋体" w:hAnsi="宋体"/>
          <w:sz w:val="24"/>
          <w:szCs w:val="24"/>
          <w:u w:val="single"/>
        </w:rPr>
        <w:t xml:space="preserve"> 肆 </w:t>
      </w:r>
      <w:r>
        <w:rPr>
          <w:rFonts w:ascii="宋体" w:hAnsi="宋体"/>
          <w:sz w:val="24"/>
          <w:szCs w:val="24"/>
        </w:rPr>
        <w:t>份，乙方</w:t>
      </w:r>
      <w:r>
        <w:rPr>
          <w:rFonts w:hint="eastAsia" w:ascii="宋体" w:hAnsi="宋体"/>
          <w:sz w:val="24"/>
          <w:szCs w:val="24"/>
          <w:u w:val="single"/>
        </w:rPr>
        <w:t xml:space="preserve"> 贰 </w:t>
      </w:r>
      <w:r>
        <w:rPr>
          <w:rFonts w:ascii="宋体" w:hAnsi="宋体"/>
          <w:sz w:val="24"/>
          <w:szCs w:val="24"/>
        </w:rPr>
        <w:t>份。</w:t>
      </w:r>
    </w:p>
    <w:p w14:paraId="5D45E8BD">
      <w:pPr>
        <w:spacing w:line="570" w:lineRule="exact"/>
        <w:ind w:firstLine="508" w:firstLineChars="200"/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2.本合同的附件内容为本合同不可分割的一部分，与本合同具有同等法律效力。</w:t>
      </w:r>
    </w:p>
    <w:p w14:paraId="7C319F2A">
      <w:pPr>
        <w:pStyle w:val="3"/>
        <w:ind w:left="0" w:leftChars="0" w:firstLine="508" w:firstLineChars="200"/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</w:pPr>
      <w:r>
        <w:rPr>
          <w:rFonts w:hint="eastAsia" w:ascii="宋体" w:hAnsi="宋体" w:cs="宋体"/>
          <w:spacing w:val="7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以双方最终签订的合同内具体条款约定为准</w:t>
      </w:r>
    </w:p>
    <w:p w14:paraId="1BC24188">
      <w:pPr>
        <w:spacing w:line="570" w:lineRule="exact"/>
        <w:ind w:firstLine="508" w:firstLineChars="200"/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（以下无正文）</w:t>
      </w:r>
    </w:p>
    <w:p w14:paraId="080A2369">
      <w:pP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</w:pPr>
    </w:p>
    <w:tbl>
      <w:tblPr>
        <w:tblStyle w:val="6"/>
        <w:tblW w:w="8774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4574"/>
      </w:tblGrid>
      <w:tr w14:paraId="1DE47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0DB22927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甲方：</w:t>
            </w:r>
          </w:p>
        </w:tc>
        <w:tc>
          <w:tcPr>
            <w:tcW w:w="4574" w:type="dxa"/>
            <w:noWrap w:val="0"/>
            <w:vAlign w:val="top"/>
          </w:tcPr>
          <w:p w14:paraId="56BB54A4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乙方： </w:t>
            </w:r>
          </w:p>
        </w:tc>
      </w:tr>
      <w:tr w14:paraId="745FD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1877061B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名称(公章)</w:t>
            </w:r>
            <w:r>
              <w:rPr>
                <w:rFonts w:hint="eastAsia" w:ascii="宋体" w:hAnsi="宋体"/>
                <w:sz w:val="24"/>
                <w:szCs w:val="24"/>
              </w:rPr>
              <w:t>: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574" w:type="dxa"/>
            <w:noWrap w:val="0"/>
            <w:vAlign w:val="top"/>
          </w:tcPr>
          <w:p w14:paraId="00112044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名称(公章)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: </w:t>
            </w:r>
          </w:p>
        </w:tc>
      </w:tr>
      <w:tr w14:paraId="7C104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200" w:type="dxa"/>
            <w:noWrap w:val="0"/>
            <w:vAlign w:val="top"/>
          </w:tcPr>
          <w:p w14:paraId="094CD845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法定代表人或其授权代表（签字）：</w:t>
            </w:r>
          </w:p>
        </w:tc>
        <w:tc>
          <w:tcPr>
            <w:tcW w:w="4574" w:type="dxa"/>
            <w:noWrap w:val="0"/>
            <w:vAlign w:val="top"/>
          </w:tcPr>
          <w:p w14:paraId="3D63E95B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法定代表人或其授权代表（签字）：</w:t>
            </w:r>
          </w:p>
        </w:tc>
      </w:tr>
      <w:tr w14:paraId="0DCAA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4378A840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开户银行：</w:t>
            </w:r>
          </w:p>
        </w:tc>
        <w:tc>
          <w:tcPr>
            <w:tcW w:w="4574" w:type="dxa"/>
            <w:noWrap w:val="0"/>
            <w:vAlign w:val="top"/>
          </w:tcPr>
          <w:p w14:paraId="4F9B812E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开户银行：</w:t>
            </w:r>
          </w:p>
        </w:tc>
      </w:tr>
      <w:tr w14:paraId="411AE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3624E227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账号：</w:t>
            </w:r>
          </w:p>
        </w:tc>
        <w:tc>
          <w:tcPr>
            <w:tcW w:w="4574" w:type="dxa"/>
            <w:noWrap w:val="0"/>
            <w:vAlign w:val="top"/>
          </w:tcPr>
          <w:p w14:paraId="20A096E4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账号：</w:t>
            </w:r>
          </w:p>
        </w:tc>
      </w:tr>
      <w:tr w14:paraId="4D0DE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46EA9BD5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联系电话：</w:t>
            </w:r>
          </w:p>
        </w:tc>
        <w:tc>
          <w:tcPr>
            <w:tcW w:w="4574" w:type="dxa"/>
            <w:noWrap w:val="0"/>
            <w:vAlign w:val="top"/>
          </w:tcPr>
          <w:p w14:paraId="3AB38432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联系电话：</w:t>
            </w:r>
          </w:p>
        </w:tc>
      </w:tr>
      <w:tr w14:paraId="0CBCF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2EB5E27D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签订日期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</w:tc>
        <w:tc>
          <w:tcPr>
            <w:tcW w:w="4574" w:type="dxa"/>
            <w:noWrap w:val="0"/>
            <w:vAlign w:val="top"/>
          </w:tcPr>
          <w:p w14:paraId="42AB0391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签订日期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</w:tc>
      </w:tr>
    </w:tbl>
    <w:p w14:paraId="6E771241">
      <w:pPr>
        <w:spacing w:line="570" w:lineRule="exact"/>
        <w:ind w:firstLine="508" w:firstLineChars="200"/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</w:pPr>
    </w:p>
    <w:p w14:paraId="5C47A2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A49B8"/>
    <w:rsid w:val="030A6CC4"/>
    <w:rsid w:val="04956A61"/>
    <w:rsid w:val="04FC6AE0"/>
    <w:rsid w:val="06A411DD"/>
    <w:rsid w:val="099B68C7"/>
    <w:rsid w:val="09A908B8"/>
    <w:rsid w:val="0EC87A33"/>
    <w:rsid w:val="0F0D1D53"/>
    <w:rsid w:val="0F135152"/>
    <w:rsid w:val="13386F35"/>
    <w:rsid w:val="13C43E73"/>
    <w:rsid w:val="192B3098"/>
    <w:rsid w:val="19960E59"/>
    <w:rsid w:val="1D391936"/>
    <w:rsid w:val="1EA371BF"/>
    <w:rsid w:val="1EB458DE"/>
    <w:rsid w:val="1FFB1A16"/>
    <w:rsid w:val="21B35408"/>
    <w:rsid w:val="24EE1B49"/>
    <w:rsid w:val="26976211"/>
    <w:rsid w:val="298F31CF"/>
    <w:rsid w:val="2A77438F"/>
    <w:rsid w:val="2F364819"/>
    <w:rsid w:val="30134B5A"/>
    <w:rsid w:val="309077B3"/>
    <w:rsid w:val="38B93DC5"/>
    <w:rsid w:val="42FC76D0"/>
    <w:rsid w:val="4335673E"/>
    <w:rsid w:val="436261D4"/>
    <w:rsid w:val="48107ECA"/>
    <w:rsid w:val="483B65A4"/>
    <w:rsid w:val="49D1790C"/>
    <w:rsid w:val="4E165AE9"/>
    <w:rsid w:val="50151DD1"/>
    <w:rsid w:val="543C5B7E"/>
    <w:rsid w:val="560C1580"/>
    <w:rsid w:val="5F2D2C93"/>
    <w:rsid w:val="601C17E1"/>
    <w:rsid w:val="683055A2"/>
    <w:rsid w:val="69026F3E"/>
    <w:rsid w:val="6BA02A3F"/>
    <w:rsid w:val="6C2216A6"/>
    <w:rsid w:val="6E241867"/>
    <w:rsid w:val="6FAF14A2"/>
    <w:rsid w:val="708741CD"/>
    <w:rsid w:val="71BB412E"/>
    <w:rsid w:val="72716B02"/>
    <w:rsid w:val="737255F5"/>
    <w:rsid w:val="749869A9"/>
    <w:rsid w:val="75862CA5"/>
    <w:rsid w:val="7718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Body Text"/>
    <w:basedOn w:val="1"/>
    <w:qFormat/>
    <w:uiPriority w:val="0"/>
    <w:pPr>
      <w:jc w:val="center"/>
    </w:pPr>
  </w:style>
  <w:style w:type="paragraph" w:styleId="5">
    <w:name w:val="Body Text 2"/>
    <w:basedOn w:val="1"/>
    <w:qFormat/>
    <w:uiPriority w:val="0"/>
    <w:rPr>
      <w:sz w:val="3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2059</Words>
  <Characters>2090</Characters>
  <Lines>0</Lines>
  <Paragraphs>0</Paragraphs>
  <TotalTime>19</TotalTime>
  <ScaleCrop>false</ScaleCrop>
  <LinksUpToDate>false</LinksUpToDate>
  <CharactersWithSpaces>2192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2026-07-03T03:31:00Z</dcterms:created>
  <dc:creator>lenovo</dc:creator>
  <cp:lastModifiedBy>平凡的向日葵</cp:lastModifiedBy>
  <dcterms:modified xsi:type="dcterms:W3CDTF">2026-08-14T10:04:03Z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eyJoZGlkIjoiZDVjYTEwZjM0MmI1NzQ3YzM5ZjI4ZGMzOGIwZjRjMzAiLCJ1c2VySWQiOiI0NjM2NjE2NTMifQ==</vt:lpwstr>
  </property>
  <property fmtid="{D5CDD505-2E9C-101B-9397-08002B2CF9AE}" pid="4" name="ICV">
    <vt:lpwstr>D3A17E2DD5054BD1B7C3F4B0C70C6B14_13</vt:lpwstr>
  </property>
</Properties>
</file>