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9BDA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Tahoma"/>
          <w:b/>
          <w:color w:val="000000" w:themeColor="text1"/>
          <w:spacing w:val="20"/>
          <w:sz w:val="24"/>
          <w:szCs w:val="24"/>
          <w14:textFill>
            <w14:solidFill>
              <w14:schemeClr w14:val="tx1"/>
            </w14:solidFill>
          </w14:textFill>
        </w:rPr>
      </w:pPr>
      <w:r>
        <w:rPr>
          <w:rFonts w:hint="eastAsia" w:ascii="宋体" w:hAnsi="宋体" w:cs="Tahoma"/>
          <w:b/>
          <w:color w:val="000000" w:themeColor="text1"/>
          <w:spacing w:val="20"/>
          <w:sz w:val="24"/>
          <w:szCs w:val="24"/>
          <w14:textFill>
            <w14:solidFill>
              <w14:schemeClr w14:val="tx1"/>
            </w14:solidFill>
          </w14:textFill>
        </w:rPr>
        <w:t>陕西国防工业职业技术学院</w:t>
      </w:r>
    </w:p>
    <w:p w14:paraId="7F2FF9EE">
      <w:pPr>
        <w:keepNext w:val="0"/>
        <w:keepLines w:val="0"/>
        <w:pageBreakBefore w:val="0"/>
        <w:kinsoku/>
        <w:wordWrap/>
        <w:overflowPunct/>
        <w:topLinePunct w:val="0"/>
        <w:bidi w:val="0"/>
        <w:spacing w:line="360" w:lineRule="auto"/>
        <w:jc w:val="center"/>
        <w:textAlignment w:val="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（本模板为合同样稿，正式稿由双方依据</w:t>
      </w:r>
      <w:r>
        <w:rPr>
          <w:rFonts w:hint="eastAsia" w:ascii="宋体" w:hAnsi="宋体" w:cs="宋体"/>
          <w:color w:val="000000" w:themeColor="text1"/>
          <w:sz w:val="24"/>
          <w:szCs w:val="24"/>
          <w:lang w:eastAsia="zh-CN"/>
          <w14:textFill>
            <w14:solidFill>
              <w14:schemeClr w14:val="tx1"/>
            </w14:solidFill>
          </w14:textFill>
        </w:rPr>
        <w:t>公开</w:t>
      </w:r>
      <w:r>
        <w:rPr>
          <w:rFonts w:hint="eastAsia" w:ascii="宋体" w:hAnsi="宋体" w:cs="宋体"/>
          <w:color w:val="000000" w:themeColor="text1"/>
          <w:sz w:val="24"/>
          <w:szCs w:val="24"/>
          <w14:textFill>
            <w14:solidFill>
              <w14:schemeClr w14:val="tx1"/>
            </w14:solidFill>
          </w14:textFill>
        </w:rPr>
        <w:t>文件及</w:t>
      </w:r>
      <w:r>
        <w:rPr>
          <w:rFonts w:hint="eastAsia" w:ascii="宋体" w:hAnsi="宋体" w:cs="宋体"/>
          <w:color w:val="000000" w:themeColor="text1"/>
          <w:sz w:val="24"/>
          <w:szCs w:val="24"/>
          <w:lang w:eastAsia="zh-CN"/>
          <w14:textFill>
            <w14:solidFill>
              <w14:schemeClr w14:val="tx1"/>
            </w14:solidFill>
          </w14:textFill>
        </w:rPr>
        <w:t>投标</w:t>
      </w:r>
      <w:r>
        <w:rPr>
          <w:rFonts w:hint="eastAsia" w:ascii="宋体" w:hAnsi="宋体" w:cs="宋体"/>
          <w:color w:val="000000" w:themeColor="text1"/>
          <w:sz w:val="24"/>
          <w:szCs w:val="24"/>
          <w14:textFill>
            <w14:solidFill>
              <w14:schemeClr w14:val="tx1"/>
            </w14:solidFill>
          </w14:textFill>
        </w:rPr>
        <w:t>文件制定）</w:t>
      </w:r>
    </w:p>
    <w:p w14:paraId="0877B48A">
      <w:pPr>
        <w:pStyle w:val="6"/>
        <w:keepNext w:val="0"/>
        <w:keepLines w:val="0"/>
        <w:pageBreakBefore w:val="0"/>
        <w:kinsoku/>
        <w:wordWrap/>
        <w:overflowPunct/>
        <w:topLinePunct w:val="0"/>
        <w:bidi w:val="0"/>
        <w:spacing w:line="360" w:lineRule="auto"/>
        <w:textAlignment w:val="auto"/>
        <w:rPr>
          <w:color w:val="000000" w:themeColor="text1"/>
          <w:sz w:val="24"/>
          <w:szCs w:val="24"/>
          <w14:textFill>
            <w14:solidFill>
              <w14:schemeClr w14:val="tx1"/>
            </w14:solidFill>
          </w14:textFill>
        </w:rPr>
      </w:pPr>
    </w:p>
    <w:p w14:paraId="6ADA938B">
      <w:pPr>
        <w:keepNext w:val="0"/>
        <w:keepLines w:val="0"/>
        <w:pageBreakBefore w:val="0"/>
        <w:kinsoku/>
        <w:wordWrap/>
        <w:overflowPunct/>
        <w:topLinePunct w:val="0"/>
        <w:bidi w:val="0"/>
        <w:adjustRightInd w:val="0"/>
        <w:snapToGrid w:val="0"/>
        <w:spacing w:line="360" w:lineRule="auto"/>
        <w:jc w:val="center"/>
        <w:textAlignment w:val="auto"/>
        <w:rPr>
          <w:rFonts w:ascii="宋体" w:hAnsi="宋体" w:cs="Tahoma"/>
          <w:b/>
          <w:color w:val="000000" w:themeColor="text1"/>
          <w:spacing w:val="20"/>
          <w:sz w:val="24"/>
          <w:szCs w:val="24"/>
          <w14:textFill>
            <w14:solidFill>
              <w14:schemeClr w14:val="tx1"/>
            </w14:solidFill>
          </w14:textFill>
        </w:rPr>
      </w:pPr>
      <w:r>
        <w:rPr>
          <w:rFonts w:hint="eastAsia" w:ascii="宋体" w:hAnsi="宋体" w:cs="Tahoma"/>
          <w:b/>
          <w:color w:val="000000" w:themeColor="text1"/>
          <w:spacing w:val="20"/>
          <w:sz w:val="24"/>
          <w:szCs w:val="24"/>
          <w14:textFill>
            <w14:solidFill>
              <w14:schemeClr w14:val="tx1"/>
            </w14:solidFill>
          </w14:textFill>
        </w:rPr>
        <w:t>采购项目合同书</w:t>
      </w:r>
    </w:p>
    <w:p w14:paraId="3A470C9E">
      <w:pPr>
        <w:keepNext w:val="0"/>
        <w:keepLines w:val="0"/>
        <w:pageBreakBefore w:val="0"/>
        <w:kinsoku/>
        <w:wordWrap/>
        <w:overflowPunct/>
        <w:topLinePunct w:val="0"/>
        <w:bidi w:val="0"/>
        <w:adjustRightInd w:val="0"/>
        <w:snapToGrid w:val="0"/>
        <w:spacing w:line="360" w:lineRule="auto"/>
        <w:ind w:left="2100" w:leftChars="1000"/>
        <w:textAlignment w:val="auto"/>
        <w:rPr>
          <w:rFonts w:ascii="宋体" w:hAnsi="宋体" w:cs="Tahoma"/>
          <w:b/>
          <w:color w:val="000000" w:themeColor="text1"/>
          <w:sz w:val="24"/>
          <w:szCs w:val="24"/>
          <w14:textFill>
            <w14:solidFill>
              <w14:schemeClr w14:val="tx1"/>
            </w14:solidFill>
          </w14:textFill>
        </w:rPr>
      </w:pPr>
    </w:p>
    <w:p w14:paraId="60F4F260">
      <w:pPr>
        <w:keepNext w:val="0"/>
        <w:keepLines w:val="0"/>
        <w:pageBreakBefore w:val="0"/>
        <w:kinsoku/>
        <w:wordWrap/>
        <w:overflowPunct/>
        <w:topLinePunct w:val="0"/>
        <w:bidi w:val="0"/>
        <w:adjustRightInd w:val="0"/>
        <w:snapToGrid w:val="0"/>
        <w:spacing w:line="360" w:lineRule="auto"/>
        <w:jc w:val="center"/>
        <w:textAlignment w:val="auto"/>
        <w:rPr>
          <w:rFonts w:ascii="Tahoma" w:hAnsi="Tahoma" w:cs="Tahoma"/>
          <w:b/>
          <w:color w:val="000000" w:themeColor="text1"/>
          <w:sz w:val="24"/>
          <w:szCs w:val="24"/>
          <w14:textFill>
            <w14:solidFill>
              <w14:schemeClr w14:val="tx1"/>
            </w14:solidFill>
          </w14:textFill>
        </w:rPr>
      </w:pPr>
    </w:p>
    <w:p w14:paraId="3480F738">
      <w:pPr>
        <w:keepNext w:val="0"/>
        <w:keepLines w:val="0"/>
        <w:pageBreakBefore w:val="0"/>
        <w:kinsoku/>
        <w:wordWrap/>
        <w:overflowPunct/>
        <w:topLinePunct w:val="0"/>
        <w:bidi w:val="0"/>
        <w:adjustRightInd w:val="0"/>
        <w:snapToGrid w:val="0"/>
        <w:spacing w:line="360" w:lineRule="auto"/>
        <w:jc w:val="center"/>
        <w:textAlignment w:val="auto"/>
        <w:rPr>
          <w:rFonts w:ascii="Tahoma" w:hAnsi="Tahoma" w:cs="Tahoma"/>
          <w:b/>
          <w:color w:val="000000" w:themeColor="text1"/>
          <w:sz w:val="24"/>
          <w:szCs w:val="24"/>
          <w14:textFill>
            <w14:solidFill>
              <w14:schemeClr w14:val="tx1"/>
            </w14:solidFill>
          </w14:textFill>
        </w:rPr>
      </w:pPr>
    </w:p>
    <w:p w14:paraId="5CD13E1F">
      <w:pPr>
        <w:keepNext w:val="0"/>
        <w:keepLines w:val="0"/>
        <w:pageBreakBefore w:val="0"/>
        <w:kinsoku/>
        <w:wordWrap/>
        <w:overflowPunct/>
        <w:topLinePunct w:val="0"/>
        <w:bidi w:val="0"/>
        <w:adjustRightInd w:val="0"/>
        <w:snapToGrid w:val="0"/>
        <w:spacing w:line="360" w:lineRule="auto"/>
        <w:jc w:val="center"/>
        <w:textAlignment w:val="auto"/>
        <w:rPr>
          <w:rFonts w:hint="eastAsia" w:ascii="Tahoma" w:hAnsi="Tahoma" w:cs="Tahoma"/>
          <w:b/>
          <w:color w:val="000000" w:themeColor="text1"/>
          <w:sz w:val="24"/>
          <w:szCs w:val="24"/>
          <w14:textFill>
            <w14:solidFill>
              <w14:schemeClr w14:val="tx1"/>
            </w14:solidFill>
          </w14:textFill>
        </w:rPr>
      </w:pPr>
    </w:p>
    <w:p w14:paraId="2D6DED5D">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531BE39C">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66E58EB2">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71B0BC86">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33FA6625">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20153165">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4E3BDB3D">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26667575">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3D7A9EDF">
      <w:pPr>
        <w:pStyle w:val="6"/>
        <w:keepNext w:val="0"/>
        <w:keepLines w:val="0"/>
        <w:pageBreakBefore w:val="0"/>
        <w:kinsoku/>
        <w:wordWrap/>
        <w:overflowPunct/>
        <w:topLinePunct w:val="0"/>
        <w:bidi w:val="0"/>
        <w:spacing w:line="360" w:lineRule="auto"/>
        <w:textAlignment w:val="auto"/>
        <w:rPr>
          <w:rFonts w:hint="eastAsia"/>
          <w:color w:val="000000" w:themeColor="text1"/>
          <w:sz w:val="24"/>
          <w:szCs w:val="24"/>
          <w:lang w:eastAsia="zh-CN"/>
          <w14:textFill>
            <w14:solidFill>
              <w14:schemeClr w14:val="tx1"/>
            </w14:solidFill>
          </w14:textFill>
        </w:rPr>
      </w:pPr>
    </w:p>
    <w:p w14:paraId="3FCE9292">
      <w:pPr>
        <w:keepNext w:val="0"/>
        <w:keepLines w:val="0"/>
        <w:pageBreakBefore w:val="0"/>
        <w:kinsoku/>
        <w:wordWrap/>
        <w:overflowPunct/>
        <w:topLinePunct w:val="0"/>
        <w:bidi w:val="0"/>
        <w:adjustRightInd w:val="0"/>
        <w:snapToGrid w:val="0"/>
        <w:spacing w:line="360" w:lineRule="auto"/>
        <w:ind w:left="1680" w:leftChars="800"/>
        <w:jc w:val="center"/>
        <w:textAlignment w:val="auto"/>
        <w:rPr>
          <w:rFonts w:ascii="Tahoma" w:hAnsi="Tahoma" w:cs="Tahoma"/>
          <w:b/>
          <w:color w:val="000000" w:themeColor="text1"/>
          <w:sz w:val="24"/>
          <w:szCs w:val="24"/>
          <w14:textFill>
            <w14:solidFill>
              <w14:schemeClr w14:val="tx1"/>
            </w14:solidFill>
          </w14:textFill>
        </w:rPr>
      </w:pPr>
    </w:p>
    <w:p w14:paraId="6FD28FF6">
      <w:pPr>
        <w:keepNext w:val="0"/>
        <w:keepLines w:val="0"/>
        <w:pageBreakBefore w:val="0"/>
        <w:kinsoku/>
        <w:wordWrap/>
        <w:overflowPunct/>
        <w:topLinePunct w:val="0"/>
        <w:bidi w:val="0"/>
        <w:adjustRightInd w:val="0"/>
        <w:snapToGrid w:val="0"/>
        <w:spacing w:line="360" w:lineRule="auto"/>
        <w:ind w:firstLine="1205" w:firstLineChars="500"/>
        <w:textAlignment w:val="auto"/>
        <w:rPr>
          <w:rFonts w:ascii="宋体" w:hAnsi="宋体" w:cs="Tahoma"/>
          <w:b/>
          <w:color w:val="000000" w:themeColor="text1"/>
          <w:sz w:val="24"/>
          <w:szCs w:val="24"/>
          <w14:textFill>
            <w14:solidFill>
              <w14:schemeClr w14:val="tx1"/>
            </w14:solidFill>
          </w14:textFill>
        </w:rPr>
      </w:pPr>
      <w:r>
        <w:rPr>
          <w:rFonts w:hint="eastAsia" w:ascii="宋体" w:hAnsi="宋体" w:cs="Tahoma"/>
          <w:b/>
          <w:color w:val="000000" w:themeColor="text1"/>
          <w:sz w:val="24"/>
          <w:szCs w:val="24"/>
          <w14:textFill>
            <w14:solidFill>
              <w14:schemeClr w14:val="tx1"/>
            </w14:solidFill>
          </w14:textFill>
        </w:rPr>
        <w:t>甲    方：</w:t>
      </w:r>
      <w:r>
        <w:rPr>
          <w:rFonts w:hint="eastAsia" w:ascii="宋体" w:hAnsi="宋体"/>
          <w:b/>
          <w:bCs/>
          <w:color w:val="000000" w:themeColor="text1"/>
          <w:sz w:val="24"/>
          <w:szCs w:val="24"/>
          <w:u w:val="single"/>
          <w14:textFill>
            <w14:solidFill>
              <w14:schemeClr w14:val="tx1"/>
            </w14:solidFill>
          </w14:textFill>
        </w:rPr>
        <w:t xml:space="preserve">陕西国防工业职业技术学院 </w:t>
      </w:r>
    </w:p>
    <w:p w14:paraId="01CA2E2B">
      <w:pPr>
        <w:keepNext w:val="0"/>
        <w:keepLines w:val="0"/>
        <w:pageBreakBefore w:val="0"/>
        <w:kinsoku/>
        <w:wordWrap/>
        <w:overflowPunct/>
        <w:topLinePunct w:val="0"/>
        <w:bidi w:val="0"/>
        <w:adjustRightInd w:val="0"/>
        <w:snapToGrid w:val="0"/>
        <w:spacing w:line="360" w:lineRule="auto"/>
        <w:ind w:firstLine="1205" w:firstLineChars="500"/>
        <w:textAlignment w:val="auto"/>
        <w:rPr>
          <w:rFonts w:ascii="宋体" w:hAnsi="宋体" w:cs="Tahoma"/>
          <w:b/>
          <w:color w:val="000000" w:themeColor="text1"/>
          <w:sz w:val="24"/>
          <w:szCs w:val="24"/>
          <w14:textFill>
            <w14:solidFill>
              <w14:schemeClr w14:val="tx1"/>
            </w14:solidFill>
          </w14:textFill>
        </w:rPr>
      </w:pPr>
      <w:r>
        <w:rPr>
          <w:rFonts w:hint="eastAsia" w:ascii="宋体" w:hAnsi="宋体" w:cs="Tahoma"/>
          <w:b/>
          <w:color w:val="000000" w:themeColor="text1"/>
          <w:sz w:val="24"/>
          <w:szCs w:val="24"/>
          <w14:textFill>
            <w14:solidFill>
              <w14:schemeClr w14:val="tx1"/>
            </w14:solidFill>
          </w14:textFill>
        </w:rPr>
        <w:t>乙    方：</w:t>
      </w:r>
      <w:r>
        <w:rPr>
          <w:rFonts w:hint="eastAsia" w:ascii="宋体" w:hAnsi="宋体"/>
          <w:b/>
          <w:bCs/>
          <w:color w:val="000000" w:themeColor="text1"/>
          <w:sz w:val="24"/>
          <w:szCs w:val="24"/>
          <w:u w:val="single"/>
          <w14:textFill>
            <w14:solidFill>
              <w14:schemeClr w14:val="tx1"/>
            </w14:solidFill>
          </w14:textFill>
        </w:rPr>
        <w:t xml:space="preserve">                         </w:t>
      </w:r>
    </w:p>
    <w:p w14:paraId="66BD3AEE">
      <w:pPr>
        <w:keepNext w:val="0"/>
        <w:keepLines w:val="0"/>
        <w:pageBreakBefore w:val="0"/>
        <w:kinsoku/>
        <w:wordWrap/>
        <w:overflowPunct/>
        <w:topLinePunct w:val="0"/>
        <w:bidi w:val="0"/>
        <w:adjustRightInd w:val="0"/>
        <w:snapToGrid w:val="0"/>
        <w:spacing w:line="360" w:lineRule="auto"/>
        <w:ind w:firstLine="1205" w:firstLineChars="500"/>
        <w:textAlignment w:val="auto"/>
        <w:rPr>
          <w:rFonts w:hint="eastAsia" w:ascii="宋体" w:hAnsi="宋体" w:cs="Tahoma"/>
          <w:b/>
          <w:color w:val="000000" w:themeColor="text1"/>
          <w:sz w:val="24"/>
          <w:szCs w:val="24"/>
          <w:u w:val="single"/>
          <w14:textFill>
            <w14:solidFill>
              <w14:schemeClr w14:val="tx1"/>
            </w14:solidFill>
          </w14:textFill>
        </w:rPr>
      </w:pPr>
      <w:r>
        <w:rPr>
          <w:rFonts w:hint="eastAsia" w:ascii="宋体" w:hAnsi="宋体" w:cs="Tahoma"/>
          <w:b/>
          <w:color w:val="000000" w:themeColor="text1"/>
          <w:sz w:val="24"/>
          <w:szCs w:val="24"/>
          <w14:textFill>
            <w14:solidFill>
              <w14:schemeClr w14:val="tx1"/>
            </w14:solidFill>
          </w14:textFill>
        </w:rPr>
        <w:t>合同签订时间：</w:t>
      </w:r>
      <w:r>
        <w:rPr>
          <w:rFonts w:hint="eastAsia" w:ascii="宋体" w:hAnsi="宋体" w:cs="Tahoma"/>
          <w:b/>
          <w:color w:val="000000" w:themeColor="text1"/>
          <w:sz w:val="24"/>
          <w:szCs w:val="24"/>
          <w:u w:val="single"/>
          <w14:textFill>
            <w14:solidFill>
              <w14:schemeClr w14:val="tx1"/>
            </w14:solidFill>
          </w14:textFill>
        </w:rPr>
        <w:t xml:space="preserve">      202</w:t>
      </w:r>
      <w:r>
        <w:rPr>
          <w:rFonts w:hint="eastAsia" w:ascii="宋体" w:hAnsi="宋体" w:cs="Tahoma"/>
          <w:b/>
          <w:color w:val="000000" w:themeColor="text1"/>
          <w:sz w:val="24"/>
          <w:szCs w:val="24"/>
          <w:u w:val="single"/>
          <w:lang w:val="en-US" w:eastAsia="zh-CN"/>
          <w14:textFill>
            <w14:solidFill>
              <w14:schemeClr w14:val="tx1"/>
            </w14:solidFill>
          </w14:textFill>
        </w:rPr>
        <w:t>6</w:t>
      </w:r>
      <w:r>
        <w:rPr>
          <w:rFonts w:hint="eastAsia" w:ascii="宋体" w:hAnsi="宋体" w:cs="Tahoma"/>
          <w:b/>
          <w:color w:val="000000" w:themeColor="text1"/>
          <w:sz w:val="24"/>
          <w:szCs w:val="24"/>
          <w:u w:val="single"/>
          <w14:textFill>
            <w14:solidFill>
              <w14:schemeClr w14:val="tx1"/>
            </w14:solidFill>
          </w14:textFill>
        </w:rPr>
        <w:t xml:space="preserve">年  月  日    </w:t>
      </w:r>
    </w:p>
    <w:p w14:paraId="2F82464F">
      <w:pPr>
        <w:keepNext w:val="0"/>
        <w:keepLines w:val="0"/>
        <w:pageBreakBefore w:val="0"/>
        <w:kinsoku/>
        <w:wordWrap/>
        <w:overflowPunct/>
        <w:topLinePunct w:val="0"/>
        <w:bidi w:val="0"/>
        <w:spacing w:line="360" w:lineRule="auto"/>
        <w:textAlignment w:val="auto"/>
        <w:rPr>
          <w:rFonts w:hint="eastAsia" w:ascii="宋体" w:hAnsi="宋体" w:cs="Tahoma"/>
          <w:b/>
          <w:color w:val="000000" w:themeColor="text1"/>
          <w:sz w:val="24"/>
          <w:szCs w:val="24"/>
          <w:u w:val="single"/>
          <w14:textFill>
            <w14:solidFill>
              <w14:schemeClr w14:val="tx1"/>
            </w14:solidFill>
          </w14:textFill>
        </w:rPr>
      </w:pPr>
      <w:r>
        <w:rPr>
          <w:rFonts w:hint="eastAsia" w:ascii="宋体" w:hAnsi="宋体" w:cs="Tahoma"/>
          <w:b/>
          <w:color w:val="000000" w:themeColor="text1"/>
          <w:sz w:val="24"/>
          <w:szCs w:val="24"/>
          <w:u w:val="single"/>
          <w14:textFill>
            <w14:solidFill>
              <w14:schemeClr w14:val="tx1"/>
            </w14:solidFill>
          </w14:textFill>
        </w:rPr>
        <w:br w:type="page"/>
      </w:r>
    </w:p>
    <w:p w14:paraId="69D1D9D6">
      <w:pPr>
        <w:keepNext w:val="0"/>
        <w:keepLines w:val="0"/>
        <w:pageBreakBefore w:val="0"/>
        <w:kinsoku/>
        <w:wordWrap/>
        <w:overflowPunct/>
        <w:topLinePunct w:val="0"/>
        <w:bidi w:val="0"/>
        <w:spacing w:line="360" w:lineRule="auto"/>
        <w:ind w:firstLine="482" w:firstLineChars="200"/>
        <w:textAlignment w:val="auto"/>
        <w:rPr>
          <w:rFonts w:ascii="宋体"/>
          <w:sz w:val="24"/>
          <w:szCs w:val="24"/>
        </w:rPr>
      </w:pPr>
      <w:r>
        <w:rPr>
          <w:rFonts w:hint="eastAsia" w:ascii="宋体" w:hAnsi="宋体"/>
          <w:b/>
          <w:sz w:val="24"/>
          <w:szCs w:val="24"/>
        </w:rPr>
        <w:t>甲方：</w:t>
      </w:r>
    </w:p>
    <w:p w14:paraId="4C58B4F2">
      <w:pPr>
        <w:keepNext w:val="0"/>
        <w:keepLines w:val="0"/>
        <w:pageBreakBefore w:val="0"/>
        <w:kinsoku/>
        <w:wordWrap/>
        <w:overflowPunct/>
        <w:topLinePunct w:val="0"/>
        <w:bidi w:val="0"/>
        <w:spacing w:line="360" w:lineRule="auto"/>
        <w:ind w:firstLine="482" w:firstLineChars="200"/>
        <w:textAlignment w:val="auto"/>
        <w:rPr>
          <w:rFonts w:ascii="宋体"/>
          <w:sz w:val="24"/>
          <w:szCs w:val="24"/>
        </w:rPr>
      </w:pPr>
      <w:r>
        <w:rPr>
          <w:rFonts w:hint="eastAsia" w:ascii="宋体" w:hAnsi="宋体"/>
          <w:b/>
          <w:sz w:val="24"/>
          <w:szCs w:val="24"/>
        </w:rPr>
        <w:t>乙方：</w:t>
      </w:r>
    </w:p>
    <w:p w14:paraId="1245D9EF">
      <w:pPr>
        <w:keepNext w:val="0"/>
        <w:keepLines w:val="0"/>
        <w:pageBreakBefore w:val="0"/>
        <w:tabs>
          <w:tab w:val="left" w:pos="5670"/>
        </w:tabs>
        <w:kinsoku/>
        <w:wordWrap/>
        <w:overflowPunct/>
        <w:topLinePunct w:val="0"/>
        <w:autoSpaceDE w:val="0"/>
        <w:autoSpaceDN w:val="0"/>
        <w:bidi w:val="0"/>
        <w:adjustRightInd w:val="0"/>
        <w:snapToGrid w:val="0"/>
        <w:spacing w:line="360" w:lineRule="auto"/>
        <w:ind w:firstLine="240" w:firstLineChars="100"/>
        <w:jc w:val="left"/>
        <w:textAlignment w:val="auto"/>
        <w:rPr>
          <w:rFonts w:ascii="宋体"/>
          <w:sz w:val="24"/>
          <w:szCs w:val="24"/>
        </w:rPr>
      </w:pPr>
    </w:p>
    <w:p w14:paraId="7C76ACFA">
      <w:pPr>
        <w:keepNext w:val="0"/>
        <w:keepLines w:val="0"/>
        <w:pageBreakBefore w:val="0"/>
        <w:tabs>
          <w:tab w:val="left" w:pos="5670"/>
        </w:tabs>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sz w:val="24"/>
          <w:szCs w:val="24"/>
        </w:rPr>
      </w:pPr>
      <w:r>
        <w:rPr>
          <w:rFonts w:hint="eastAsia" w:ascii="宋体" w:hAnsi="宋体"/>
          <w:sz w:val="24"/>
          <w:szCs w:val="24"/>
        </w:rPr>
        <w:t>根据《中华人民共和国政府采购法》、《中华人民共和国招标投标法》、《中华人民共和国民法典》、《中华人民共和国产品质量法》等相关法律、法规以及</w:t>
      </w:r>
      <w:r>
        <w:rPr>
          <w:rFonts w:hint="eastAsia" w:ascii="宋体" w:hAnsi="宋体"/>
          <w:sz w:val="24"/>
          <w:szCs w:val="24"/>
          <w:u w:val="single"/>
        </w:rPr>
        <w:t xml:space="preserve">                           </w:t>
      </w:r>
      <w:r>
        <w:rPr>
          <w:rFonts w:hint="eastAsia" w:ascii="宋体" w:hAnsi="宋体"/>
          <w:sz w:val="24"/>
          <w:szCs w:val="24"/>
        </w:rPr>
        <w:t>项目招标文件，由</w:t>
      </w:r>
      <w:r>
        <w:rPr>
          <w:rFonts w:hint="eastAsia" w:ascii="宋体" w:hAnsi="宋体"/>
          <w:sz w:val="24"/>
          <w:szCs w:val="24"/>
          <w:u w:val="single"/>
          <w:lang w:eastAsia="zh-CN"/>
        </w:rPr>
        <w:t>陕西中经招标有限公司</w:t>
      </w:r>
      <w:r>
        <w:rPr>
          <w:rFonts w:hint="eastAsia" w:ascii="宋体" w:hAnsi="宋体"/>
          <w:sz w:val="24"/>
          <w:szCs w:val="24"/>
        </w:rPr>
        <w:t>组织</w:t>
      </w:r>
      <w:r>
        <w:rPr>
          <w:rFonts w:hint="eastAsia" w:ascii="宋体" w:hAnsi="宋体"/>
          <w:sz w:val="24"/>
          <w:szCs w:val="24"/>
          <w:u w:val="single"/>
        </w:rPr>
        <w:t xml:space="preserve"> </w:t>
      </w:r>
      <w:r>
        <w:rPr>
          <w:rFonts w:hint="eastAsia" w:ascii="宋体" w:hAnsi="宋体"/>
          <w:sz w:val="24"/>
          <w:szCs w:val="24"/>
          <w:u w:val="single"/>
          <w:lang w:val="en-US" w:eastAsia="zh-CN"/>
        </w:rPr>
        <w:t>公开</w:t>
      </w:r>
      <w:r>
        <w:rPr>
          <w:rFonts w:hint="eastAsia" w:ascii="宋体" w:hAnsi="宋体"/>
          <w:sz w:val="24"/>
          <w:szCs w:val="24"/>
          <w:u w:val="single"/>
          <w:lang w:eastAsia="zh-CN"/>
        </w:rPr>
        <w:t>招标</w:t>
      </w:r>
      <w:r>
        <w:rPr>
          <w:rFonts w:hint="eastAsia" w:ascii="宋体" w:hAnsi="宋体"/>
          <w:sz w:val="24"/>
          <w:szCs w:val="24"/>
          <w:u w:val="single"/>
        </w:rPr>
        <w:t xml:space="preserve"> </w:t>
      </w:r>
      <w:r>
        <w:rPr>
          <w:rFonts w:hint="eastAsia" w:ascii="宋体" w:hAnsi="宋体"/>
          <w:sz w:val="24"/>
          <w:szCs w:val="24"/>
        </w:rPr>
        <w:t>(采购方式)，经甲方确认，选定乙方为</w:t>
      </w:r>
      <w:r>
        <w:rPr>
          <w:rFonts w:hint="eastAsia" w:ascii="宋体" w:hAnsi="宋体"/>
          <w:sz w:val="24"/>
          <w:szCs w:val="24"/>
          <w:u w:val="single"/>
        </w:rPr>
        <w:t xml:space="preserve">                   </w:t>
      </w:r>
      <w:r>
        <w:rPr>
          <w:rFonts w:hint="eastAsia" w:ascii="宋体" w:hAnsi="宋体"/>
          <w:sz w:val="24"/>
          <w:szCs w:val="24"/>
        </w:rPr>
        <w:t>项目的成交单位。甲、乙双方经平等协商，自愿达成如下合同条款。</w:t>
      </w:r>
    </w:p>
    <w:p w14:paraId="0F31BC0D">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xml:space="preserve">一、产品名称、数量、价格：                         </w:t>
      </w:r>
    </w:p>
    <w:tbl>
      <w:tblPr>
        <w:tblStyle w:val="7"/>
        <w:tblpPr w:leftFromText="180" w:rightFromText="180" w:vertAnchor="text" w:horzAnchor="margin" w:tblpXSpec="center" w:tblpY="15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759"/>
        <w:gridCol w:w="1370"/>
        <w:gridCol w:w="900"/>
        <w:gridCol w:w="1260"/>
        <w:gridCol w:w="900"/>
        <w:gridCol w:w="1080"/>
        <w:gridCol w:w="1260"/>
      </w:tblGrid>
      <w:tr w14:paraId="5594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646" w:type="dxa"/>
            <w:shd w:val="clear" w:color="auto" w:fill="D9D9D9"/>
            <w:vAlign w:val="center"/>
          </w:tcPr>
          <w:p w14:paraId="2A1310A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序号</w:t>
            </w:r>
          </w:p>
        </w:tc>
        <w:tc>
          <w:tcPr>
            <w:tcW w:w="1759" w:type="dxa"/>
            <w:shd w:val="clear" w:color="auto" w:fill="D9D9D9"/>
            <w:vAlign w:val="center"/>
          </w:tcPr>
          <w:p w14:paraId="23EBDA1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货物名称</w:t>
            </w:r>
          </w:p>
        </w:tc>
        <w:tc>
          <w:tcPr>
            <w:tcW w:w="1370" w:type="dxa"/>
            <w:shd w:val="clear" w:color="auto" w:fill="D9D9D9"/>
            <w:vAlign w:val="center"/>
          </w:tcPr>
          <w:p w14:paraId="6ADDFDB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规格型号</w:t>
            </w:r>
          </w:p>
        </w:tc>
        <w:tc>
          <w:tcPr>
            <w:tcW w:w="900" w:type="dxa"/>
            <w:shd w:val="clear" w:color="auto" w:fill="D9D9D9"/>
            <w:vAlign w:val="center"/>
          </w:tcPr>
          <w:p w14:paraId="51FD14A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品牌</w:t>
            </w:r>
          </w:p>
        </w:tc>
        <w:tc>
          <w:tcPr>
            <w:tcW w:w="1260" w:type="dxa"/>
            <w:shd w:val="clear" w:color="auto" w:fill="D9D9D9"/>
            <w:vAlign w:val="center"/>
          </w:tcPr>
          <w:p w14:paraId="1BFEE8A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生产厂家</w:t>
            </w:r>
          </w:p>
        </w:tc>
        <w:tc>
          <w:tcPr>
            <w:tcW w:w="900" w:type="dxa"/>
            <w:shd w:val="clear" w:color="auto" w:fill="D9D9D9"/>
            <w:vAlign w:val="center"/>
          </w:tcPr>
          <w:p w14:paraId="43F69A3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数量</w:t>
            </w:r>
          </w:p>
        </w:tc>
        <w:tc>
          <w:tcPr>
            <w:tcW w:w="1080" w:type="dxa"/>
            <w:shd w:val="clear" w:color="auto" w:fill="D9D9D9"/>
            <w:vAlign w:val="center"/>
          </w:tcPr>
          <w:p w14:paraId="326C7FE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单价(元)</w:t>
            </w:r>
          </w:p>
        </w:tc>
        <w:tc>
          <w:tcPr>
            <w:tcW w:w="1260" w:type="dxa"/>
            <w:shd w:val="clear" w:color="auto" w:fill="D9D9D9"/>
            <w:vAlign w:val="center"/>
          </w:tcPr>
          <w:p w14:paraId="0BD55A5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合计( 元)</w:t>
            </w:r>
          </w:p>
        </w:tc>
      </w:tr>
      <w:tr w14:paraId="392D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554D46B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759" w:type="dxa"/>
            <w:vAlign w:val="center"/>
          </w:tcPr>
          <w:p w14:paraId="3430E6F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63722E9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900" w:type="dxa"/>
          </w:tcPr>
          <w:p w14:paraId="2F807BD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3F1C194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4CB2EB3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1EBC0B2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069AAD8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r>
      <w:tr w14:paraId="466B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14C5D28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1759" w:type="dxa"/>
            <w:vAlign w:val="center"/>
          </w:tcPr>
          <w:p w14:paraId="6B20B43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3F5EA3D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900" w:type="dxa"/>
          </w:tcPr>
          <w:p w14:paraId="7DD99F4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0F9DAEB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330D5A6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3A38AC7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7FFD8E0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r>
      <w:tr w14:paraId="52A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06BC57C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759" w:type="dxa"/>
            <w:vAlign w:val="center"/>
          </w:tcPr>
          <w:p w14:paraId="28205D3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7CD519F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900" w:type="dxa"/>
          </w:tcPr>
          <w:p w14:paraId="5D54FF6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76E1C83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061C84F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2186AE2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4833BB7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color w:val="000000" w:themeColor="text1"/>
                <w:sz w:val="24"/>
                <w:szCs w:val="24"/>
                <w14:textFill>
                  <w14:solidFill>
                    <w14:schemeClr w14:val="tx1"/>
                  </w14:solidFill>
                </w14:textFill>
              </w:rPr>
            </w:pPr>
          </w:p>
        </w:tc>
      </w:tr>
      <w:tr w14:paraId="03FB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485AB68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合计</w:t>
            </w:r>
          </w:p>
        </w:tc>
        <w:tc>
          <w:tcPr>
            <w:tcW w:w="7269" w:type="dxa"/>
            <w:gridSpan w:val="6"/>
            <w:vAlign w:val="center"/>
          </w:tcPr>
          <w:p w14:paraId="37B022AD">
            <w:pPr>
              <w:keepNext w:val="0"/>
              <w:keepLines w:val="0"/>
              <w:pageBreakBefore w:val="0"/>
              <w:kinsoku/>
              <w:wordWrap/>
              <w:overflowPunct/>
              <w:topLinePunct w:val="0"/>
              <w:bidi w:val="0"/>
              <w:adjustRightInd w:val="0"/>
              <w:snapToGrid w:val="0"/>
              <w:spacing w:line="360" w:lineRule="auto"/>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 xml:space="preserve">大写：                                      </w:t>
            </w:r>
          </w:p>
        </w:tc>
        <w:tc>
          <w:tcPr>
            <w:tcW w:w="1260" w:type="dxa"/>
            <w:vAlign w:val="center"/>
          </w:tcPr>
          <w:p w14:paraId="5F60118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cs="宋体"/>
                <w:b/>
                <w:color w:val="000000" w:themeColor="text1"/>
                <w:sz w:val="24"/>
                <w:szCs w:val="24"/>
                <w14:textFill>
                  <w14:solidFill>
                    <w14:schemeClr w14:val="tx1"/>
                  </w14:solidFill>
                </w14:textFill>
              </w:rPr>
            </w:pPr>
          </w:p>
        </w:tc>
      </w:tr>
    </w:tbl>
    <w:p w14:paraId="038F0194">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合同总金额包括</w:t>
      </w:r>
      <w:r>
        <w:rPr>
          <w:rFonts w:hint="eastAsia" w:ascii="宋体" w:hAnsi="宋体" w:cs="宋体"/>
          <w:color w:val="000000" w:themeColor="text1"/>
          <w:sz w:val="24"/>
          <w:szCs w:val="24"/>
          <w14:textFill>
            <w14:solidFill>
              <w14:schemeClr w14:val="tx1"/>
            </w14:solidFill>
          </w14:textFill>
        </w:rPr>
        <w:t>设备、安装、调试、技术服务、培训、验收、保修、税金等交钥匙</w:t>
      </w:r>
      <w:r>
        <w:rPr>
          <w:rFonts w:hint="eastAsia" w:ascii="宋体" w:hAnsi="宋体" w:cs="宋体"/>
          <w:color w:val="000000" w:themeColor="text1"/>
          <w:kern w:val="0"/>
          <w:sz w:val="24"/>
          <w:szCs w:val="24"/>
          <w14:textFill>
            <w14:solidFill>
              <w14:schemeClr w14:val="tx1"/>
            </w14:solidFill>
          </w14:textFill>
        </w:rPr>
        <w:t>全部费用</w:t>
      </w:r>
      <w:r>
        <w:rPr>
          <w:rFonts w:hint="eastAsia" w:ascii="宋体" w:hAnsi="宋体" w:cs="宋体"/>
          <w:color w:val="000000" w:themeColor="text1"/>
          <w:kern w:val="0"/>
          <w:sz w:val="24"/>
          <w:szCs w:val="24"/>
          <w:lang w:eastAsia="zh-CN"/>
          <w14:textFill>
            <w14:solidFill>
              <w14:schemeClr w14:val="tx1"/>
            </w14:solidFill>
          </w14:textFill>
        </w:rPr>
        <w:t>、</w:t>
      </w:r>
    </w:p>
    <w:p w14:paraId="5F5D8453">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二、质量标准：</w:t>
      </w:r>
    </w:p>
    <w:p w14:paraId="59764FB0">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1.乙方提供的产品必须是设计科学、技术成熟、工艺优良，是用优质材料制造的、原厂生产的未曾使用过的全新的合格产品。</w:t>
      </w:r>
    </w:p>
    <w:p w14:paraId="00B71B89">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2.设计技术专利、外形专利等均应符合中华人民共和国有关法律及行业标准，凡因以上问题与第三方发生的任何纠纷均与甲方无关。</w:t>
      </w:r>
    </w:p>
    <w:p w14:paraId="5FECC88A">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3.货物参数指标必须与其标示的技术指标项符合，甲方有权在产品的有效保质期内依据技术指标对该产品进行技术验收，其主要的技术参数达不到标准时，甲方有权无条件退货或依据有关法律索赔。</w:t>
      </w:r>
    </w:p>
    <w:p w14:paraId="7FFCE1A7">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三、交货日期、方式及地点：</w:t>
      </w:r>
    </w:p>
    <w:p w14:paraId="011E4B91">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1.交货地点：</w:t>
      </w:r>
      <w:r>
        <w:rPr>
          <w:rFonts w:hint="eastAsia" w:ascii="宋体" w:hAnsi="宋体" w:cs="宋体"/>
          <w:sz w:val="24"/>
          <w:szCs w:val="24"/>
          <w:u w:val="single"/>
        </w:rPr>
        <w:t xml:space="preserve">         </w:t>
      </w:r>
      <w:r>
        <w:rPr>
          <w:rFonts w:hint="eastAsia" w:ascii="宋体" w:hAnsi="宋体" w:cs="宋体"/>
          <w:sz w:val="24"/>
          <w:szCs w:val="24"/>
        </w:rPr>
        <w:t>。</w:t>
      </w:r>
    </w:p>
    <w:p w14:paraId="2B83BA7F">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2.交货期限：合同签订后</w:t>
      </w:r>
      <w:r>
        <w:rPr>
          <w:rFonts w:hint="eastAsia" w:ascii="宋体" w:hAnsi="宋体" w:cs="宋体"/>
          <w:sz w:val="24"/>
          <w:szCs w:val="24"/>
          <w:u w:val="single"/>
        </w:rPr>
        <w:t xml:space="preserve">     </w:t>
      </w:r>
      <w:r>
        <w:rPr>
          <w:rFonts w:hint="eastAsia" w:ascii="宋体" w:hAnsi="宋体" w:cs="宋体"/>
          <w:sz w:val="24"/>
          <w:szCs w:val="24"/>
        </w:rPr>
        <w:t>个日历天</w:t>
      </w:r>
    </w:p>
    <w:p w14:paraId="5E0596D0">
      <w:pPr>
        <w:keepNext w:val="0"/>
        <w:keepLines w:val="0"/>
        <w:pageBreakBefore w:val="0"/>
        <w:kinsoku/>
        <w:wordWrap/>
        <w:overflowPunct/>
        <w:topLinePunct w:val="0"/>
        <w:bidi w:val="0"/>
        <w:spacing w:line="360" w:lineRule="auto"/>
        <w:ind w:firstLine="482" w:firstLineChars="200"/>
        <w:textAlignment w:val="auto"/>
        <w:rPr>
          <w:rFonts w:ascii="宋体" w:hAnsi="宋体" w:eastAsia="宋体" w:cs="宋体"/>
          <w:b/>
          <w:bCs/>
          <w:sz w:val="24"/>
          <w:szCs w:val="24"/>
        </w:rPr>
      </w:pPr>
      <w:r>
        <w:rPr>
          <w:rFonts w:hint="eastAsia" w:ascii="宋体" w:hAnsi="宋体" w:cs="宋体"/>
          <w:b/>
          <w:color w:val="000000" w:themeColor="text1"/>
          <w:kern w:val="0"/>
          <w:sz w:val="24"/>
          <w:szCs w:val="24"/>
          <w14:textFill>
            <w14:solidFill>
              <w14:schemeClr w14:val="tx1"/>
            </w14:solidFill>
          </w14:textFill>
        </w:rPr>
        <w:t>四、</w:t>
      </w:r>
      <w:r>
        <w:rPr>
          <w:rFonts w:hint="eastAsia" w:ascii="宋体" w:hAnsi="宋体" w:eastAsia="宋体" w:cs="宋体"/>
          <w:b/>
          <w:bCs/>
          <w:sz w:val="24"/>
          <w:szCs w:val="24"/>
        </w:rPr>
        <w:t>质量质保、运维及配套服务</w:t>
      </w:r>
    </w:p>
    <w:p w14:paraId="6695D02D">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质保核心条款</w:t>
      </w:r>
    </w:p>
    <w:p w14:paraId="343A1B81">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整机软硬件质保期自项目终验收签字之日起计算，整线统一质保24个月；</w:t>
      </w:r>
    </w:p>
    <w:p w14:paraId="7E2DB609">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质保期内设备出现故障，乙方承担维修、更换零部件；单次故障维修后质保顺延3个月，故障累计停机满1个月质保顺延1年，核心零部件故障重新计算质保期；</w:t>
      </w:r>
    </w:p>
    <w:p w14:paraId="4541B059">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售后响应：甲方报修后2小时内响应，24小时内抵达现场处置故障，提供7×24小时在线技术支持；</w:t>
      </w:r>
    </w:p>
    <w:p w14:paraId="1D60CCFD">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质保期满后，持续提供优惠的技术支持、备件供应、系统升级等长效服务。</w:t>
      </w:r>
    </w:p>
    <w:p w14:paraId="4F3D429D">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运维保障服务</w:t>
      </w:r>
    </w:p>
    <w:p w14:paraId="5E339C02">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日常运维：质保期内每月定期上门巡检、设备保养、精度排查；</w:t>
      </w:r>
    </w:p>
    <w:p w14:paraId="58476CD6">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维修保障：承担质保期内所有设备零部件维修、更换、定期保养、备品备件更换费用，以及润滑油、液压油、切削液等耗材费用；主轴、数控系统、机械臂等核心部件优先备机替换，保障实训、生产不间断运行；</w:t>
      </w:r>
    </w:p>
    <w:p w14:paraId="03536EA4">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 精度校准：每年开展1次设备精度校准与标定，确保设备加工精度持续达标。</w:t>
      </w:r>
    </w:p>
    <w:p w14:paraId="0D1D65B7">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技术培训与陪产服务</w:t>
      </w:r>
    </w:p>
    <w:p w14:paraId="77506512">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专项培训：为甲方6-8名工作人员提供7个工作日专项培训，涵盖设备操控、装夹调试、数控编程、机械电气运维、安全规范、故障排查等内容，确保参训人员可独立操作、完成基础维保；</w:t>
      </w:r>
    </w:p>
    <w:p w14:paraId="66B807A0">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 现场陪产：项目终验收合格后，提供不少于24个月现场陪产服务，协助甲方完成常态化零件加工，保障产线稳定运行。</w:t>
      </w:r>
    </w:p>
    <w:p w14:paraId="16569C8D">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全维度人才培养与产教融合服务</w:t>
      </w:r>
    </w:p>
    <w:p w14:paraId="38267CB5">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 师生实训提升：分批次开展数控操作、柔性产线运维、数字孪生应用、设备数字化管理等培训，保障师生独立上岗；每年开展2次以上教师技能提升培训，适配教学改革与科研需求；</w:t>
      </w:r>
    </w:p>
    <w:p w14:paraId="083AB1C9">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社会化培训：为校企合作企业提供定制化技能培训，支持企业人员长期入驻实训，承接社会及军工行业智能制造技能提升培训，实现平台社会化共享；</w:t>
      </w:r>
    </w:p>
    <w:p w14:paraId="07AC8844">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 赛事支撑：全程提供智能制造类技能大赛技术指导、设备调试、赛事保障服务，以赛促教、以赛促训；</w:t>
      </w:r>
    </w:p>
    <w:p w14:paraId="04F8FEB8">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 教科研支撑：协助院校开展教学改革、教改课题申报、横向课题研究，提供技术与工艺方案支持，推动教研成果产业化转化；</w:t>
      </w:r>
    </w:p>
    <w:p w14:paraId="0F7B4AA0">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 产教配套：提供校企合作产线运营方案、实训课程资源框架，助力甲方打造常态化、标准化教科研训产融合平台。</w:t>
      </w:r>
    </w:p>
    <w:p w14:paraId="73788B06">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系统软件升级服务</w:t>
      </w:r>
    </w:p>
    <w:p w14:paraId="4EC92DCD">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 软件功能升级：提供数控系统、智能立体库管控、物流管控、MES、整线自动化管控、设备数字化管理等全部软件的版本更新与功能优化，不再另行收费；</w:t>
      </w:r>
    </w:p>
    <w:p w14:paraId="6DA467FB">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 信息化对接升级：提供OPCUA信息化接口升级，优化设备与学校智慧校园、实训管理平台的数据对接，实现运行、实训数据数字化归集与分析；</w:t>
      </w:r>
    </w:p>
    <w:p w14:paraId="0095B9E6">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 产线工艺优化：结合院校教科研及军工生产实训需求，持续优化柔性产线运行逻辑与工艺流程。</w:t>
      </w:r>
    </w:p>
    <w:p w14:paraId="23FDB3AA">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 备件供应保障</w:t>
      </w:r>
    </w:p>
    <w:p w14:paraId="683C8032">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 易损备件：全程更换补充卡爪、传感器、按钮、滤芯、刀具、各类润滑油等易损零部件及耗材；</w:t>
      </w:r>
    </w:p>
    <w:p w14:paraId="384D20ED">
      <w:pPr>
        <w:keepNext w:val="0"/>
        <w:keepLines w:val="0"/>
        <w:pageBreakBefore w:val="0"/>
        <w:tabs>
          <w:tab w:val="left" w:pos="1701"/>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 专用备件：储备动力刀塔、主轴等核心部件备用配件，保障设备无间断运行。</w:t>
      </w:r>
    </w:p>
    <w:p w14:paraId="17FBD714">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bookmarkStart w:id="12" w:name="_GoBack"/>
      <w:bookmarkEnd w:id="12"/>
      <w:r>
        <w:rPr>
          <w:rFonts w:hint="eastAsia" w:ascii="宋体" w:hAnsi="宋体" w:cs="宋体"/>
          <w:b/>
          <w:color w:val="000000" w:themeColor="text1"/>
          <w:kern w:val="0"/>
          <w:sz w:val="24"/>
          <w:szCs w:val="24"/>
          <w14:textFill>
            <w14:solidFill>
              <w14:schemeClr w14:val="tx1"/>
            </w14:solidFill>
          </w14:textFill>
        </w:rPr>
        <w:t>五、货物的包装及运输：</w:t>
      </w:r>
    </w:p>
    <w:p w14:paraId="4AAC4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1.设备包装运输防护严格遵循 GB/T 4857 系列标准，具备防潮、防震、防锈、防破损、防暴力装卸功能，适配长途运输；因包装防护不当导致的设备损坏、锈蚀、遗失，由乙方承担全部责任；</w:t>
      </w:r>
    </w:p>
    <w:p w14:paraId="0F0FC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每个包装箱内须附带完整的包装清单及产品质量合格证书；</w:t>
      </w:r>
    </w:p>
    <w:p w14:paraId="090E27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 设备运输、装卸、保险等所有相关费用均由乙方全额承担</w:t>
      </w:r>
      <w:r>
        <w:rPr>
          <w:rFonts w:hint="eastAsia" w:ascii="宋体" w:hAnsi="宋体" w:eastAsia="宋体" w:cs="宋体"/>
          <w:sz w:val="24"/>
          <w:szCs w:val="24"/>
          <w:lang w:eastAsia="zh-CN"/>
        </w:rPr>
        <w:t>。</w:t>
      </w:r>
    </w:p>
    <w:p w14:paraId="1BF61BD9">
      <w:pPr>
        <w:keepNext w:val="0"/>
        <w:keepLines w:val="0"/>
        <w:pageBreakBefore w:val="0"/>
        <w:kinsoku/>
        <w:wordWrap/>
        <w:overflowPunct/>
        <w:topLinePunct w:val="0"/>
        <w:bidi w:val="0"/>
        <w:spacing w:line="360" w:lineRule="auto"/>
        <w:textAlignment w:val="auto"/>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六、安装调试及验收标准</w:t>
      </w:r>
    </w:p>
    <w:p w14:paraId="17151B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bookmarkStart w:id="0" w:name="heading_9"/>
      <w:r>
        <w:rPr>
          <w:rFonts w:hint="eastAsia" w:ascii="宋体" w:hAnsi="宋体" w:eastAsia="宋体" w:cs="宋体"/>
          <w:sz w:val="24"/>
          <w:szCs w:val="24"/>
        </w:rPr>
        <w:t>1. 设备安装要求</w:t>
      </w:r>
      <w:bookmarkEnd w:id="0"/>
    </w:p>
    <w:p w14:paraId="192EC3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1.1 乙方全权负责设备生产、运输、装卸、安装、集成调试、精度检测、整机检验等全部工作，甲方仅提供必要的现场配合保障；</w:t>
      </w:r>
    </w:p>
    <w:p w14:paraId="1408B9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1.2 甲方仅负责将水、电、气、排水等动力源接入现场指定接点，制造岛内所有设备管线铺设、连接、调试工作由乙方全权负责；</w:t>
      </w:r>
    </w:p>
    <w:p w14:paraId="567FE7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1.3 乙方配套提供符合国标要求的总电源柜，配备进线隔离开关、电压电流显示装置，严格按照安全环保规范布线，电源柜安装于甲方指定位置，由甲方接入厂区动力电源；</w:t>
      </w:r>
    </w:p>
    <w:p w14:paraId="7AEC5E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1.4 所有动力管线采用地沟、桥架等隐蔽方式敷设，严禁明敷，施工方案需经甲方审核确认后方可施工，设备基础施工严格符合国家及设备安装规范；</w:t>
      </w:r>
    </w:p>
    <w:p w14:paraId="6826AD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1.5 工期要求：甲方通知具备开工条件后，60日历天内完成全部安装调试工作，现场调试总时长不超过60天。</w:t>
      </w:r>
    </w:p>
    <w:p w14:paraId="74B3BB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bookmarkStart w:id="1" w:name="heading_10"/>
      <w:r>
        <w:rPr>
          <w:rFonts w:hint="eastAsia" w:ascii="宋体" w:hAnsi="宋体" w:eastAsia="宋体" w:cs="宋体"/>
          <w:sz w:val="24"/>
          <w:szCs w:val="24"/>
        </w:rPr>
        <w:t>2. 验收标准与流程</w:t>
      </w:r>
      <w:bookmarkEnd w:id="1"/>
    </w:p>
    <w:p w14:paraId="51F297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2.1 验收依据：严格按照双方技术协议、国家现行标准、设备原厂出厂验收标准执行；</w:t>
      </w:r>
    </w:p>
    <w:p w14:paraId="38F426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2.2 验收阶段：分为预验收、终验收两个阶段；</w:t>
      </w:r>
    </w:p>
    <w:p w14:paraId="15146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2.3 预验收：设备具备验收条件后，乙方书面提请预验收，核查设备空转、负荷试验、几何精度、位置精度（激光干涉仪检测）、工作精度及整机全功能运行情况，预验收合格后方可开展终验收；</w:t>
      </w:r>
    </w:p>
    <w:p w14:paraId="252888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2.4 终验收：复核设备全部精度指标，完成整机及数控系统功能演示，核对供货范围完整性，开展整线联动试运行；对3种目标零件各连续加工30件，确保整线无故障稳定运行，零件良品率≥95%，尺寸及形位精度符合图纸要求，双方签署终验收报告。</w:t>
      </w:r>
    </w:p>
    <w:p w14:paraId="6B5C07DF">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七、付款方式：</w:t>
      </w:r>
    </w:p>
    <w:p w14:paraId="6C2CECDD">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default" w:ascii="仿宋_GB2312" w:hAnsi="仿宋_GB2312" w:eastAsia="仿宋_GB2312" w:cs="仿宋_GB2312"/>
          <w:sz w:val="24"/>
          <w:szCs w:val="24"/>
          <w:lang w:eastAsia="zh-CN"/>
        </w:rPr>
      </w:pPr>
      <w:r>
        <w:rPr>
          <w:rFonts w:hint="eastAsia" w:ascii="宋体" w:hAnsi="宋体" w:eastAsia="宋体" w:cs="宋体"/>
          <w:sz w:val="24"/>
          <w:szCs w:val="24"/>
        </w:rPr>
        <w:t xml:space="preserve"> 付款条件说明：</w:t>
      </w:r>
      <w:r>
        <w:rPr>
          <w:rFonts w:hint="eastAsia" w:ascii="宋体" w:hAnsi="宋体" w:eastAsia="宋体" w:cs="宋体"/>
          <w:sz w:val="24"/>
          <w:szCs w:val="24"/>
          <w:lang w:eastAsia="zh-CN"/>
        </w:rPr>
        <w:t>乙方完成全部货物的供货、安装、调试、试运行合格后告知甲方，甲方在 30天内组织验收，验收合格后乙方向甲方开具全额完税销售发票；甲方在收到发票后30天内支付合同总金额的100%。</w:t>
      </w:r>
    </w:p>
    <w:p w14:paraId="77F36571">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八、违约责任：</w:t>
      </w:r>
    </w:p>
    <w:p w14:paraId="75A2AB9B">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 xml:space="preserve">按照《中华人民共和国民法典》和《中华人民共和国政府采购法》中的相关条款执行。 </w:t>
      </w:r>
    </w:p>
    <w:p w14:paraId="5E4D8B8C">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 xml:space="preserve">）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w:t>
      </w:r>
    </w:p>
    <w:p w14:paraId="79892653">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 xml:space="preserve">）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w:t>
      </w:r>
    </w:p>
    <w:p w14:paraId="5F4C074A">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 xml:space="preserve">）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w:t>
      </w:r>
    </w:p>
    <w:p w14:paraId="2709698E">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 xml:space="preserve">）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w:t>
      </w:r>
    </w:p>
    <w:p w14:paraId="3AF29F5A">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）若交货后三十日历日内乙方未完成安装调试的，每逾期一日应按合同总价的千分之一向甲方支付违约金。违约金不足以弥补损失的，应继续赔偿甲方损失。</w:t>
      </w:r>
    </w:p>
    <w:p w14:paraId="46214B32">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3"/>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）未按合同要求的提供产品或质量不能满足技术要求，甲方有权终止合同，甚至对供方违约行为进行追究。</w:t>
      </w:r>
    </w:p>
    <w:p w14:paraId="2BB91EE7">
      <w:pPr>
        <w:keepNext w:val="0"/>
        <w:keepLines w:val="0"/>
        <w:pageBreakBefore w:val="0"/>
        <w:kinsoku/>
        <w:wordWrap/>
        <w:overflowPunct/>
        <w:topLinePunct w:val="0"/>
        <w:bidi w:val="0"/>
        <w:spacing w:line="360" w:lineRule="auto"/>
        <w:textAlignment w:val="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九、争议解决方式：</w:t>
      </w:r>
    </w:p>
    <w:p w14:paraId="3F7D045B">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本合同在履行过程中发生的争议，由甲、乙双方协商解决，协商不成的，提交甲方所在地有管辖权的人民法院裁决。</w:t>
      </w:r>
    </w:p>
    <w:p w14:paraId="6538E542">
      <w:pPr>
        <w:keepNext w:val="0"/>
        <w:keepLines w:val="0"/>
        <w:pageBreakBefore w:val="0"/>
        <w:kinsoku/>
        <w:wordWrap/>
        <w:overflowPunct/>
        <w:topLinePunct w:val="0"/>
        <w:bidi w:val="0"/>
        <w:spacing w:line="360" w:lineRule="auto"/>
        <w:textAlignment w:val="auto"/>
        <w:rPr>
          <w:rFonts w:hint="eastAsia" w:ascii="宋体" w:hAnsi="宋体" w:eastAsia="宋体" w:cs="宋体"/>
          <w:b/>
          <w:color w:val="000000" w:themeColor="text1"/>
          <w:kern w:val="0"/>
          <w:sz w:val="24"/>
          <w:szCs w:val="24"/>
          <w14:textFill>
            <w14:solidFill>
              <w14:schemeClr w14:val="tx1"/>
            </w14:solidFill>
          </w14:textFill>
        </w:rPr>
      </w:pPr>
      <w:bookmarkStart w:id="2" w:name="_Toc27709"/>
      <w:bookmarkStart w:id="3" w:name="_Toc7322"/>
      <w:bookmarkStart w:id="4" w:name="_Toc10769"/>
      <w:bookmarkStart w:id="5" w:name="_Toc31635"/>
      <w:bookmarkStart w:id="6" w:name="_Toc31037"/>
      <w:r>
        <w:rPr>
          <w:rFonts w:hint="eastAsia" w:ascii="宋体" w:hAnsi="宋体" w:eastAsia="宋体" w:cs="宋体"/>
          <w:b/>
          <w:color w:val="000000" w:themeColor="text1"/>
          <w:kern w:val="0"/>
          <w:sz w:val="24"/>
          <w:szCs w:val="24"/>
          <w14:textFill>
            <w14:solidFill>
              <w14:schemeClr w14:val="tx1"/>
            </w14:solidFill>
          </w14:textFill>
        </w:rPr>
        <w:t>十、其他事项</w:t>
      </w:r>
    </w:p>
    <w:bookmarkEnd w:id="2"/>
    <w:bookmarkEnd w:id="3"/>
    <w:bookmarkEnd w:id="4"/>
    <w:bookmarkEnd w:id="5"/>
    <w:bookmarkEnd w:id="6"/>
    <w:p w14:paraId="16B94F9E">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招标文件、投标文件、澄清表（函）、中标通知书、合同附件均成为合同不可分割的部分。</w:t>
      </w:r>
    </w:p>
    <w:p w14:paraId="61E9E9FA">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合同未尽事宜，由甲、乙双方协商并签订书面协议予以约定。</w:t>
      </w:r>
    </w:p>
    <w:p w14:paraId="013528AA">
      <w:pPr>
        <w:keepNext w:val="0"/>
        <w:keepLines w:val="0"/>
        <w:pageBreakBefore w:val="0"/>
        <w:kinsoku/>
        <w:wordWrap/>
        <w:overflowPunct/>
        <w:topLinePunct w:val="0"/>
        <w:bidi w:val="0"/>
        <w:spacing w:line="360" w:lineRule="auto"/>
        <w:textAlignment w:val="auto"/>
        <w:rPr>
          <w:rFonts w:hint="eastAsia" w:ascii="宋体" w:hAnsi="宋体" w:eastAsia="宋体" w:cs="宋体"/>
          <w:b/>
          <w:color w:val="000000" w:themeColor="text1"/>
          <w:kern w:val="0"/>
          <w:sz w:val="24"/>
          <w:szCs w:val="24"/>
          <w14:textFill>
            <w14:solidFill>
              <w14:schemeClr w14:val="tx1"/>
            </w14:solidFill>
          </w14:textFill>
        </w:rPr>
      </w:pPr>
      <w:bookmarkStart w:id="7" w:name="_Toc29072"/>
      <w:bookmarkStart w:id="8" w:name="_Toc26214"/>
      <w:bookmarkStart w:id="9" w:name="_Toc24532"/>
      <w:bookmarkStart w:id="10" w:name="_Toc26525"/>
      <w:bookmarkStart w:id="11" w:name="_Toc2128"/>
      <w:r>
        <w:rPr>
          <w:rFonts w:hint="eastAsia" w:ascii="宋体" w:hAnsi="宋体" w:eastAsia="宋体" w:cs="宋体"/>
          <w:b/>
          <w:color w:val="000000" w:themeColor="text1"/>
          <w:kern w:val="0"/>
          <w:sz w:val="24"/>
          <w:szCs w:val="24"/>
          <w14:textFill>
            <w14:solidFill>
              <w14:schemeClr w14:val="tx1"/>
            </w14:solidFill>
          </w14:textFill>
        </w:rPr>
        <w:t>十</w:t>
      </w:r>
      <w:r>
        <w:rPr>
          <w:rFonts w:hint="eastAsia" w:ascii="宋体" w:hAnsi="宋体" w:eastAsia="宋体" w:cs="宋体"/>
          <w:b/>
          <w:color w:val="000000" w:themeColor="text1"/>
          <w:kern w:val="0"/>
          <w:sz w:val="24"/>
          <w:szCs w:val="24"/>
          <w:lang w:eastAsia="zh-CN"/>
          <w14:textFill>
            <w14:solidFill>
              <w14:schemeClr w14:val="tx1"/>
            </w14:solidFill>
          </w14:textFill>
        </w:rPr>
        <w:t>一</w:t>
      </w:r>
      <w:r>
        <w:rPr>
          <w:rFonts w:hint="eastAsia" w:ascii="宋体" w:hAnsi="宋体" w:eastAsia="宋体" w:cs="宋体"/>
          <w:b/>
          <w:color w:val="000000" w:themeColor="text1"/>
          <w:kern w:val="0"/>
          <w:sz w:val="24"/>
          <w:szCs w:val="24"/>
          <w14:textFill>
            <w14:solidFill>
              <w14:schemeClr w14:val="tx1"/>
            </w14:solidFill>
          </w14:textFill>
        </w:rPr>
        <w:t>、合同生效</w:t>
      </w:r>
    </w:p>
    <w:bookmarkEnd w:id="7"/>
    <w:bookmarkEnd w:id="8"/>
    <w:bookmarkEnd w:id="9"/>
    <w:bookmarkEnd w:id="10"/>
    <w:bookmarkEnd w:id="11"/>
    <w:p w14:paraId="1575DD10">
      <w:pPr>
        <w:pStyle w:val="3"/>
        <w:keepNext w:val="0"/>
        <w:keepLines w:val="0"/>
        <w:pageBreakBefore w:val="0"/>
        <w:kinsoku/>
        <w:wordWrap/>
        <w:overflowPunct/>
        <w:topLinePunct w:val="0"/>
        <w:bidi w:val="0"/>
        <w:spacing w:line="360" w:lineRule="auto"/>
        <w:textAlignment w:val="auto"/>
        <w:rPr>
          <w:sz w:val="24"/>
          <w:szCs w:val="24"/>
        </w:rPr>
      </w:pPr>
      <w:r>
        <w:rPr>
          <w:rFonts w:hint="eastAsia" w:ascii="宋体" w:hAnsi="宋体"/>
          <w:sz w:val="24"/>
          <w:szCs w:val="24"/>
        </w:rPr>
        <w:t>本合同一式</w:t>
      </w:r>
      <w:r>
        <w:rPr>
          <w:rFonts w:hint="eastAsia" w:ascii="宋体" w:hAnsi="宋体"/>
          <w:sz w:val="24"/>
          <w:szCs w:val="24"/>
          <w:u w:val="single"/>
          <w:lang w:val="en-US" w:eastAsia="zh-CN"/>
        </w:rPr>
        <w:t xml:space="preserve">    </w:t>
      </w:r>
      <w:r>
        <w:rPr>
          <w:rFonts w:hint="eastAsia" w:ascii="宋体" w:hAnsi="宋体"/>
          <w:sz w:val="24"/>
          <w:szCs w:val="24"/>
        </w:rPr>
        <w:t>份，甲方</w:t>
      </w:r>
      <w:r>
        <w:rPr>
          <w:rFonts w:hint="eastAsia" w:ascii="宋体" w:hAnsi="宋体"/>
          <w:sz w:val="24"/>
          <w:szCs w:val="24"/>
          <w:u w:val="single"/>
          <w:lang w:val="en-US" w:eastAsia="zh-CN"/>
        </w:rPr>
        <w:t xml:space="preserve">    </w:t>
      </w:r>
      <w:r>
        <w:rPr>
          <w:rFonts w:hint="eastAsia" w:ascii="宋体" w:hAnsi="宋体"/>
          <w:sz w:val="24"/>
          <w:szCs w:val="24"/>
        </w:rPr>
        <w:t>份，乙方</w:t>
      </w:r>
      <w:r>
        <w:rPr>
          <w:rFonts w:hint="eastAsia" w:ascii="宋体" w:hAnsi="宋体"/>
          <w:sz w:val="24"/>
          <w:szCs w:val="24"/>
          <w:u w:val="single"/>
          <w:lang w:val="en-US" w:eastAsia="zh-CN"/>
        </w:rPr>
        <w:t xml:space="preserve">    </w:t>
      </w:r>
      <w:r>
        <w:rPr>
          <w:rFonts w:hint="eastAsia" w:ascii="宋体" w:hAnsi="宋体"/>
          <w:sz w:val="24"/>
          <w:szCs w:val="24"/>
        </w:rPr>
        <w:t>份，甲、乙双方签字盖章后生效。（合同的服务承诺则长期有效）。</w:t>
      </w:r>
    </w:p>
    <w:p w14:paraId="304D8DB8">
      <w:pPr>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未详尽之处双方协商解决。</w:t>
      </w:r>
    </w:p>
    <w:tbl>
      <w:tblPr>
        <w:tblStyle w:val="7"/>
        <w:tblW w:w="963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5085"/>
      </w:tblGrid>
      <w:tr w14:paraId="093B6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5BDDC558">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  方</w:t>
            </w:r>
          </w:p>
        </w:tc>
        <w:tc>
          <w:tcPr>
            <w:tcW w:w="5085" w:type="dxa"/>
            <w:vAlign w:val="center"/>
          </w:tcPr>
          <w:p w14:paraId="01CA8718">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乙  方</w:t>
            </w:r>
          </w:p>
        </w:tc>
      </w:tr>
      <w:tr w14:paraId="5B4B5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4551" w:type="dxa"/>
            <w:vAlign w:val="center"/>
          </w:tcPr>
          <w:p w14:paraId="5C01EFA9">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陕西国防工业职业技术学院</w:t>
            </w:r>
            <w:r>
              <w:rPr>
                <w:rFonts w:hint="eastAsia" w:ascii="宋体" w:hAnsi="宋体" w:cs="宋体"/>
                <w:color w:val="000000" w:themeColor="text1"/>
                <w:sz w:val="24"/>
                <w:szCs w:val="24"/>
                <w14:textFill>
                  <w14:solidFill>
                    <w14:schemeClr w14:val="tx1"/>
                  </w14:solidFill>
                </w14:textFill>
              </w:rPr>
              <w:t>（盖章）</w:t>
            </w:r>
          </w:p>
        </w:tc>
        <w:tc>
          <w:tcPr>
            <w:tcW w:w="5085" w:type="dxa"/>
            <w:vAlign w:val="center"/>
          </w:tcPr>
          <w:p w14:paraId="46D97C3D">
            <w:pPr>
              <w:keepNext w:val="0"/>
              <w:keepLines w:val="0"/>
              <w:pageBreakBefore w:val="0"/>
              <w:kinsoku/>
              <w:wordWrap/>
              <w:overflowPunct/>
              <w:topLinePunct w:val="0"/>
              <w:bidi w:val="0"/>
              <w:spacing w:line="360" w:lineRule="auto"/>
              <w:jc w:val="righ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（盖章）</w:t>
            </w:r>
          </w:p>
        </w:tc>
      </w:tr>
      <w:tr w14:paraId="33FA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E9BEB00">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地址：陕西省西安市鄠邑区人民路8号</w:t>
            </w:r>
          </w:p>
        </w:tc>
        <w:tc>
          <w:tcPr>
            <w:tcW w:w="5085" w:type="dxa"/>
            <w:vAlign w:val="center"/>
          </w:tcPr>
          <w:p w14:paraId="462059FC">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p>
        </w:tc>
      </w:tr>
      <w:tr w14:paraId="4E217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A133F60">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邮编：710300</w:t>
            </w:r>
          </w:p>
        </w:tc>
        <w:tc>
          <w:tcPr>
            <w:tcW w:w="5085" w:type="dxa"/>
            <w:vAlign w:val="center"/>
          </w:tcPr>
          <w:p w14:paraId="7C98526C">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w:t>
            </w:r>
          </w:p>
        </w:tc>
      </w:tr>
      <w:tr w14:paraId="24DD3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45B84082">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p>
        </w:tc>
        <w:tc>
          <w:tcPr>
            <w:tcW w:w="5085" w:type="dxa"/>
            <w:vAlign w:val="center"/>
          </w:tcPr>
          <w:p w14:paraId="54E00631">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p>
        </w:tc>
      </w:tr>
      <w:tr w14:paraId="7210A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1E039526">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c>
          <w:tcPr>
            <w:tcW w:w="5085" w:type="dxa"/>
            <w:vAlign w:val="center"/>
          </w:tcPr>
          <w:p w14:paraId="6BCA9B94">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r>
      <w:tr w14:paraId="55CAB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676DBA29">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电话：029-81480108</w:t>
            </w:r>
          </w:p>
        </w:tc>
        <w:tc>
          <w:tcPr>
            <w:tcW w:w="5085" w:type="dxa"/>
            <w:vAlign w:val="center"/>
          </w:tcPr>
          <w:p w14:paraId="5E3309DE">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w:t>
            </w:r>
          </w:p>
        </w:tc>
      </w:tr>
      <w:tr w14:paraId="2C5BD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0FCA96AC">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传真：029-81480005</w:t>
            </w:r>
          </w:p>
        </w:tc>
        <w:tc>
          <w:tcPr>
            <w:tcW w:w="5085" w:type="dxa"/>
            <w:vAlign w:val="center"/>
          </w:tcPr>
          <w:p w14:paraId="38B55AD5">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w:t>
            </w:r>
          </w:p>
        </w:tc>
      </w:tr>
      <w:tr w14:paraId="1C1E6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2EB1B6EF">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c>
          <w:tcPr>
            <w:tcW w:w="5085" w:type="dxa"/>
            <w:vAlign w:val="center"/>
          </w:tcPr>
          <w:p w14:paraId="1BEB667B">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r>
      <w:tr w14:paraId="201CF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0F32A289">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账户名称：陕西国防工业职业技术学院</w:t>
            </w:r>
          </w:p>
        </w:tc>
        <w:tc>
          <w:tcPr>
            <w:tcW w:w="5085" w:type="dxa"/>
            <w:tcBorders>
              <w:bottom w:val="single" w:color="auto" w:sz="4" w:space="0"/>
            </w:tcBorders>
            <w:vAlign w:val="center"/>
          </w:tcPr>
          <w:p w14:paraId="793FD241">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w:t>
            </w:r>
          </w:p>
        </w:tc>
      </w:tr>
      <w:tr w14:paraId="58110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4F206E09">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账号: </w:t>
            </w:r>
          </w:p>
        </w:tc>
        <w:tc>
          <w:tcPr>
            <w:tcW w:w="5085" w:type="dxa"/>
            <w:tcBorders>
              <w:top w:val="single" w:color="auto" w:sz="4" w:space="0"/>
            </w:tcBorders>
            <w:vAlign w:val="center"/>
          </w:tcPr>
          <w:p w14:paraId="504CFF2A">
            <w:pPr>
              <w:keepNext w:val="0"/>
              <w:keepLines w:val="0"/>
              <w:pageBreakBefore w:val="0"/>
              <w:kinsoku/>
              <w:wordWrap/>
              <w:overflowPunct/>
              <w:topLinePunct w:val="0"/>
              <w:bidi w:val="0"/>
              <w:spacing w:line="360" w:lineRule="auto"/>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tc>
      </w:tr>
    </w:tbl>
    <w:p w14:paraId="50E0334E">
      <w:pPr>
        <w:keepNext w:val="0"/>
        <w:keepLines w:val="0"/>
        <w:pageBreakBefore w:val="0"/>
        <w:kinsoku/>
        <w:wordWrap/>
        <w:overflowPunct/>
        <w:topLinePunct w:val="0"/>
        <w:bidi w:val="0"/>
        <w:spacing w:line="360" w:lineRule="auto"/>
        <w:textAlignment w:val="auto"/>
        <w:rPr>
          <w:sz w:val="24"/>
          <w:szCs w:val="24"/>
        </w:rPr>
      </w:pPr>
    </w:p>
    <w:p w14:paraId="3490B23B">
      <w:pPr>
        <w:pStyle w:val="10"/>
        <w:keepNext w:val="0"/>
        <w:keepLines w:val="0"/>
        <w:pageBreakBefore w:val="0"/>
        <w:kinsoku/>
        <w:wordWrap/>
        <w:overflowPunct/>
        <w:topLinePunct w:val="0"/>
        <w:bidi w:val="0"/>
        <w:spacing w:line="360" w:lineRule="auto"/>
        <w:textAlignment w:val="auto"/>
        <w:rPr>
          <w:rFonts w:hint="eastAsia"/>
          <w:sz w:val="24"/>
          <w:szCs w:val="24"/>
        </w:rPr>
      </w:pPr>
    </w:p>
    <w:p w14:paraId="7718C46D">
      <w:pPr>
        <w:pStyle w:val="10"/>
        <w:keepNext w:val="0"/>
        <w:keepLines w:val="0"/>
        <w:pageBreakBefore w:val="0"/>
        <w:kinsoku/>
        <w:wordWrap/>
        <w:overflowPunct/>
        <w:topLinePunct w:val="0"/>
        <w:bidi w:val="0"/>
        <w:spacing w:line="360" w:lineRule="auto"/>
        <w:textAlignment w:val="auto"/>
        <w:rPr>
          <w:rFonts w:hint="eastAsia"/>
          <w:sz w:val="24"/>
          <w:szCs w:val="24"/>
        </w:rPr>
      </w:pPr>
    </w:p>
    <w:p w14:paraId="55981E25">
      <w:pPr>
        <w:keepNext w:val="0"/>
        <w:keepLines w:val="0"/>
        <w:pageBreakBefore w:val="0"/>
        <w:kinsoku/>
        <w:wordWrap/>
        <w:overflowPunct/>
        <w:topLinePunct w:val="0"/>
        <w:bidi w:val="0"/>
        <w:adjustRightInd w:val="0"/>
        <w:snapToGrid w:val="0"/>
        <w:spacing w:line="360" w:lineRule="auto"/>
        <w:ind w:firstLine="1205" w:firstLineChars="500"/>
        <w:textAlignment w:val="auto"/>
        <w:rPr>
          <w:rFonts w:hint="eastAsia" w:ascii="宋体" w:hAnsi="宋体" w:cs="Tahoma"/>
          <w:b/>
          <w:color w:val="000000" w:themeColor="text1"/>
          <w:sz w:val="24"/>
          <w:szCs w:val="24"/>
          <w:u w:val="single"/>
          <w14:textFill>
            <w14:solidFill>
              <w14:schemeClr w14:val="tx1"/>
            </w14:solidFill>
          </w14:textFill>
        </w:rPr>
      </w:pPr>
    </w:p>
    <w:p w14:paraId="47C3B904">
      <w:pPr>
        <w:keepNext w:val="0"/>
        <w:keepLines w:val="0"/>
        <w:pageBreakBefore w:val="0"/>
        <w:kinsoku/>
        <w:wordWrap/>
        <w:overflowPunct/>
        <w:topLinePunct w:val="0"/>
        <w:bidi w:val="0"/>
        <w:spacing w:line="360" w:lineRule="auto"/>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B57B4D"/>
    <w:rsid w:val="0C6438DD"/>
    <w:rsid w:val="208F7F77"/>
    <w:rsid w:val="32015C64"/>
    <w:rsid w:val="34AB3BF3"/>
    <w:rsid w:val="373B350A"/>
    <w:rsid w:val="3A943375"/>
    <w:rsid w:val="3D577C89"/>
    <w:rsid w:val="41B57B4D"/>
    <w:rsid w:val="480D3A23"/>
    <w:rsid w:val="74211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2"/>
    <w:semiHidden/>
    <w:unhideWhenUsed/>
    <w:qFormat/>
    <w:uiPriority w:val="0"/>
    <w:pPr>
      <w:keepNext/>
      <w:keepLines/>
      <w:ind w:firstLine="0" w:firstLineChars="0"/>
      <w:outlineLvl w:val="1"/>
    </w:pPr>
    <w:rPr>
      <w:rFonts w:ascii="宋体" w:hAnsi="宋体" w:eastAsia="宋体" w:cs="宋体"/>
      <w:b/>
      <w:bCs/>
      <w:sz w:val="28"/>
      <w:szCs w:val="1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link w:val="9"/>
    <w:qFormat/>
    <w:uiPriority w:val="0"/>
    <w:pPr>
      <w:ind w:firstLine="420" w:firstLineChars="200"/>
    </w:pPr>
    <w:rPr>
      <w:rFonts w:ascii="宋体" w:hAnsi="宋体" w:eastAsia="宋体" w:cs="宋体"/>
      <w:sz w:val="24"/>
      <w:szCs w:val="21"/>
      <w:lang w:val="zh-CN" w:bidi="zh-CN"/>
    </w:rPr>
  </w:style>
  <w:style w:type="paragraph" w:styleId="5">
    <w:name w:val="Body Text Indent"/>
    <w:basedOn w:val="1"/>
    <w:semiHidden/>
    <w:unhideWhenUsed/>
    <w:qFormat/>
    <w:uiPriority w:val="99"/>
    <w:pPr>
      <w:spacing w:after="120"/>
      <w:ind w:left="420" w:leftChars="200"/>
    </w:pPr>
  </w:style>
  <w:style w:type="paragraph" w:styleId="6">
    <w:name w:val="Body Text First Indent 2"/>
    <w:basedOn w:val="5"/>
    <w:qFormat/>
    <w:uiPriority w:val="99"/>
    <w:pPr>
      <w:spacing w:after="0" w:line="360" w:lineRule="auto"/>
      <w:ind w:left="0" w:leftChars="0" w:firstLine="570"/>
    </w:pPr>
    <w:rPr>
      <w:rFonts w:ascii="Times New Roman" w:hAnsi="Times New Roman"/>
    </w:rPr>
  </w:style>
  <w:style w:type="character" w:customStyle="1" w:styleId="9">
    <w:name w:val="正文文本 Char"/>
    <w:link w:val="4"/>
    <w:qFormat/>
    <w:uiPriority w:val="1"/>
    <w:rPr>
      <w:rFonts w:ascii="宋体" w:hAnsi="宋体" w:eastAsia="宋体" w:cs="宋体"/>
      <w:sz w:val="24"/>
      <w:szCs w:val="21"/>
      <w:lang w:val="zh-CN" w:bidi="zh-CN"/>
    </w:rPr>
  </w:style>
  <w:style w:type="paragraph" w:customStyle="1" w:styleId="1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2 字符"/>
    <w:basedOn w:val="8"/>
    <w:link w:val="2"/>
    <w:qFormat/>
    <w:uiPriority w:val="99"/>
    <w:rPr>
      <w:rFonts w:ascii="宋体" w:hAnsi="宋体" w:eastAsia="宋体" w:cs="宋体"/>
      <w:b/>
      <w:bCs/>
      <w:sz w:val="2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2282</Words>
  <Characters>2342</Characters>
  <Lines>0</Lines>
  <Paragraphs>0</Paragraphs>
  <TotalTime>2</TotalTime>
  <ScaleCrop>false</ScaleCrop>
  <LinksUpToDate>false</LinksUpToDate>
  <CharactersWithSpaces>2573</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2026-07-07T03:03:00Z</dcterms:created>
  <dc:creator>张丹</dc:creator>
  <cp:lastModifiedBy>中经招标</cp:lastModifiedBy>
  <dcterms:modified xsi:type="dcterms:W3CDTF">2026-07-25T02:07:43Z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19424B92F1774CACB97EE6F7450502EC_11</vt:lpwstr>
  </property>
  <property fmtid="{D5CDD505-2E9C-101B-9397-08002B2CF9AE}" pid="4" name="KSOTemplateDocerSaveRecord">
    <vt:lpwstr>eyJoZGlkIjoiM2YyN2EzNWE5M2QyMzliNDQ3OGUwZDU2NThkYTM0NDkifQ==</vt:lpwstr>
  </property>
</Properties>
</file>