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版本号：SXHY-2026-01020260526002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关于妇幼保健计划服务中心母婴护理中心运营办公设施</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SXHY-2026-010</w:t>
      </w:r>
      <w:r>
        <w:br/>
      </w:r>
      <w:r>
        <w:br/>
      </w:r>
      <w:r>
        <w:br/>
      </w:r>
    </w:p>
    <w:p>
      <w:pPr>
        <w:pStyle w:val="null3"/>
        <w:jc w:val="center"/>
        <w:outlineLvl w:val="2"/>
      </w:pPr>
      <w:r>
        <w:rPr>
          <w:rFonts w:ascii="仿宋_GB2312" w:hAnsi="仿宋_GB2312" w:cs="仿宋_GB2312" w:eastAsia="仿宋_GB2312"/>
          <w:sz w:val="28"/>
          <w:b/>
        </w:rPr>
        <w:t>蒲城县卫生健康局</w:t>
      </w:r>
    </w:p>
    <w:p>
      <w:pPr>
        <w:pStyle w:val="null3"/>
        <w:jc w:val="center"/>
        <w:outlineLvl w:val="2"/>
      </w:pPr>
      <w:r>
        <w:rPr>
          <w:rFonts w:ascii="仿宋_GB2312" w:hAnsi="仿宋_GB2312" w:cs="仿宋_GB2312" w:eastAsia="仿宋_GB2312"/>
          <w:sz w:val="28"/>
          <w:b/>
        </w:rPr>
        <w:t>陕西浩优项目管理有限公司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陕西浩优项目管理有限公司</w:t>
      </w:r>
      <w:r>
        <w:rPr>
          <w:rFonts w:ascii="仿宋_GB2312" w:hAnsi="仿宋_GB2312" w:cs="仿宋_GB2312" w:eastAsia="仿宋_GB2312"/>
        </w:rPr>
        <w:t>（以下简称“代理机构”）受</w:t>
      </w:r>
      <w:r>
        <w:rPr>
          <w:rFonts w:ascii="仿宋_GB2312" w:hAnsi="仿宋_GB2312" w:cs="仿宋_GB2312" w:eastAsia="仿宋_GB2312"/>
        </w:rPr>
        <w:t>蒲城县卫生健康局</w:t>
      </w:r>
      <w:r>
        <w:rPr>
          <w:rFonts w:ascii="仿宋_GB2312" w:hAnsi="仿宋_GB2312" w:cs="仿宋_GB2312" w:eastAsia="仿宋_GB2312"/>
        </w:rPr>
        <w:t>委托，拟对</w:t>
      </w:r>
      <w:r>
        <w:rPr>
          <w:rFonts w:ascii="仿宋_GB2312" w:hAnsi="仿宋_GB2312" w:cs="仿宋_GB2312" w:eastAsia="仿宋_GB2312"/>
        </w:rPr>
        <w:t>关于妇幼保健计划服务中心母婴护理中心运营办公设施</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SXHY-2026-010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关于妇幼保健计划服务中心母婴护理中心运营办公设施</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为加快妇幼保健计划⽣育服务中⼼⺟婴护理中⼼建设，提升⺟婴护理质量，促进⺟婴护理中⼼尽快投⼊使⽤并⾼质量发展，特申请为⺟婴护理中⼼配置运营所需办公设施。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采购包1（关于妇幼保健计划服务中心母婴护理中心运营办公设施）：属于专门面向小微企业采购。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1、具有独立承担民事责任的能力：本项目专门面向小微企业，具有独立承担民事责任的法人，并出具合法有效的营业执照。</w:t>
      </w:r>
    </w:p>
    <w:p>
      <w:pPr>
        <w:pStyle w:val="null3"/>
      </w:pPr>
      <w:r>
        <w:rPr>
          <w:rFonts w:ascii="仿宋_GB2312" w:hAnsi="仿宋_GB2312" w:cs="仿宋_GB2312" w:eastAsia="仿宋_GB2312"/>
        </w:rPr>
        <w:t>2、法定代表人身份证明书或法定代表人授权委托书：法定代表人授权书（附法定代表人、被授权人身份证复印件），法定代表人直接参加投标，须提供法定代表人身份证明；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3、财务状况报告：提供2024年度或2025年度的经审计的财务会计报告（成立时间至提交响应文件截止时间不足一年的可提供成立后任意时段的资产负债表），或其投标截止日近半年内基本存款账户开户银行出具的资信证明及基本存款账户开户许可证（基本账户信息表）；</w:t>
      </w:r>
    </w:p>
    <w:p>
      <w:pPr>
        <w:pStyle w:val="null3"/>
      </w:pPr>
      <w:r>
        <w:rPr>
          <w:rFonts w:ascii="仿宋_GB2312" w:hAnsi="仿宋_GB2312" w:cs="仿宋_GB2312" w:eastAsia="仿宋_GB2312"/>
        </w:rPr>
        <w:t>4、税收缴纳证明：提供2025年05月至今已缴纳的任意一个月的纳税证明或完税证明（任意税种），依法免税的单位应提供相关证明材料;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5、社会保障资金缴纳证明：提供2025年05月至今已缴纳的任意一个月的社会保障资金缴存单据或社保机构开具的社会保险参保缴费情况证明,依法不需要缴纳社会保障资金的单位应提供相关证明材料;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6、设备和专业技术能力提供声明：提供具有履行合同所必需的设备和专业技术能力的声明；</w:t>
      </w:r>
    </w:p>
    <w:p>
      <w:pPr>
        <w:pStyle w:val="null3"/>
      </w:pPr>
      <w:r>
        <w:rPr>
          <w:rFonts w:ascii="仿宋_GB2312" w:hAnsi="仿宋_GB2312" w:cs="仿宋_GB2312" w:eastAsia="仿宋_GB2312"/>
        </w:rPr>
        <w:t>7、无重大违法记录声明：参加政府采购活动前三年内，在经营活动中没有重大违法记录的书面声明；</w:t>
      </w:r>
    </w:p>
    <w:p>
      <w:pPr>
        <w:pStyle w:val="null3"/>
      </w:pPr>
      <w:r>
        <w:rPr>
          <w:rFonts w:ascii="仿宋_GB2312" w:hAnsi="仿宋_GB2312" w:cs="仿宋_GB2312" w:eastAsia="仿宋_GB2312"/>
        </w:rPr>
        <w:t>8、信誉截图：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9、不接受联合体：本项目不接受联合体投标。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陕西省渭南市蒲城县正街1号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李若彤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0913-7261797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陕西浩优项目管理有限公司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陕西省西安市曲江新区商通大道6号智慧大厦一幢203室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李金娥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029-89553153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采购包1：427,000.00元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开户名称：陕西浩优项目管理有限公司</w:t>
            </w:r>
          </w:p>
          <w:p>
            <w:pPr>
              <w:pStyle w:val="null3"/>
            </w:pPr>
            <w:r>
              <w:rPr>
                <w:rFonts w:ascii="仿宋_GB2312" w:hAnsi="仿宋_GB2312" w:cs="仿宋_GB2312" w:eastAsia="仿宋_GB2312"/>
              </w:rPr>
              <w:t>开户银行：中国建设银行股份有限公司西安曲江支行</w:t>
            </w:r>
          </w:p>
          <w:p>
            <w:pPr>
              <w:pStyle w:val="null3"/>
            </w:pPr>
            <w:r>
              <w:rPr>
                <w:rFonts w:ascii="仿宋_GB2312" w:hAnsi="仿宋_GB2312" w:cs="仿宋_GB2312" w:eastAsia="仿宋_GB2312"/>
              </w:rPr>
              <w:t>银行账号：6105 0191 0004 0000 4479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理服务收费管理暂行办法》（计价格[2002]1980号）和（发改办价格[2003]857号）文收费标准收取。2.采购代理服务费收取：户名：陕西浩优项目管理有限公司 开户银行：中国建设银行股份有限公司西安曲江支行 账号：6105 0191 0004 0000 4479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蒲城县卫生健康局</w:t>
      </w:r>
      <w:r>
        <w:rPr>
          <w:rFonts w:ascii="仿宋_GB2312" w:hAnsi="仿宋_GB2312" w:cs="仿宋_GB2312" w:eastAsia="仿宋_GB2312"/>
        </w:rPr>
        <w:t>和</w:t>
      </w:r>
      <w:r>
        <w:rPr>
          <w:rFonts w:ascii="仿宋_GB2312" w:hAnsi="仿宋_GB2312" w:cs="仿宋_GB2312" w:eastAsia="仿宋_GB2312"/>
        </w:rPr>
        <w:t>陕西浩优项目管理有限公司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蒲城县卫生健康局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陕西浩优项目管理有限公司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陕西浩优项目管理有限公司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根据招标文件、响应文件及合同约定要求执行。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陕西浩优项目管理有限公司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陕西浩优项目管理有限公司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陕西浩优项目管理有限公司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联系人：李金娥</w:t>
      </w:r>
    </w:p>
    <w:p>
      <w:pPr>
        <w:pStyle w:val="null3"/>
      </w:pPr>
      <w:r>
        <w:rPr>
          <w:rFonts w:ascii="仿宋_GB2312" w:hAnsi="仿宋_GB2312" w:cs="仿宋_GB2312" w:eastAsia="仿宋_GB2312"/>
        </w:rPr>
        <w:t>联系电话：029-89553153</w:t>
      </w:r>
    </w:p>
    <w:p>
      <w:pPr>
        <w:pStyle w:val="null3"/>
      </w:pPr>
      <w:r>
        <w:rPr>
          <w:rFonts w:ascii="仿宋_GB2312" w:hAnsi="仿宋_GB2312" w:cs="仿宋_GB2312" w:eastAsia="仿宋_GB2312"/>
        </w:rPr>
        <w:t>地址：陕西省西安市曲江新区商通大道6号智慧大厦一幢203室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为加快妇幼保健计划生育服务中心母婴护理中心建设，提升母婴护理质量，促进母婴护理中心尽快投入使用并高质量发展，特申请为母婴护理中心配置运营所需办公设施。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427,000.00</w:t>
      </w:r>
    </w:p>
    <w:p>
      <w:pPr>
        <w:pStyle w:val="null3"/>
      </w:pPr>
      <w:r>
        <w:rPr>
          <w:rFonts w:ascii="仿宋_GB2312" w:hAnsi="仿宋_GB2312" w:cs="仿宋_GB2312" w:eastAsia="仿宋_GB2312"/>
        </w:rPr>
        <w:t>采购包最高限价（元）: 427,000.00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母婴护理中心配置运营所需衣柜配奶台等家具用具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427,000.00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标的名称：母婴护理中心配置运营所需衣柜配奶台等家具用具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7"/>
              <w:gridCol w:w="236"/>
              <w:gridCol w:w="445"/>
              <w:gridCol w:w="258"/>
              <w:gridCol w:w="277"/>
              <w:gridCol w:w="1285"/>
              <w:gridCol w:w="549"/>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产品名称</w:t>
                  </w: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规格参数</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1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主要材质及工艺参数</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参考图片</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床</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1200*2000*1100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床架实木加密排骨架，连接处加装静音脚垫，床腿需带静音脚垫，排骨条间距</w:t>
                  </w:r>
                  <w:r>
                    <w:rPr>
                      <w:rFonts w:ascii="仿宋_GB2312" w:hAnsi="仿宋_GB2312" w:cs="仿宋_GB2312" w:eastAsia="仿宋_GB2312"/>
                      <w:sz w:val="21"/>
                      <w:color w:val="000000"/>
                    </w:rPr>
                    <w:t>≤50mm，条板厚≥12mm；ENF级无醛板材，符合GB/T 39600-2021 ENF级（同时满足GB 18584-2024要求）；金属高脚医学级防锈处理，五金中性盐雾测试≥48小时，离地≥100mm，承重≥800kg；床头全圆角R≥30mm；45D高回弹无菌海绵；生态皮耐磨≥10000次，阻燃B1级，提供GB 17927-2011 B1级检测报告；防口水防尿渍耐消毒；2.0mm PVC封边+PUR高温封边工艺，无醛PUR热熔胶，符合GB18583-2008，提供CMA检测报告；防倾倒、防撞防夹手。</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床</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1500*2000*1100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床架实木加密排骨架，连接处加装静音脚垫，床腿需带静音脚垫，排骨条间距</w:t>
                  </w:r>
                  <w:r>
                    <w:rPr>
                      <w:rFonts w:ascii="仿宋_GB2312" w:hAnsi="仿宋_GB2312" w:cs="仿宋_GB2312" w:eastAsia="仿宋_GB2312"/>
                      <w:sz w:val="21"/>
                      <w:color w:val="000000"/>
                    </w:rPr>
                    <w:t>≤50mm，条板厚≥12mm；ENF级无醛板材，符合GB/T 39600-2021 ENF级（同时满足GB 18584-2024要求）；金属高脚医学级防锈处理，五金中性盐雾测试≥48小时，离地≥100mm，承重≥800kg；床头全圆角R≥30mm；45D高回弹无菌海绵；生态皮耐磨≥10000次，阻燃B1级，提供GB 17927-2011 B1级检测报告；防口水防尿渍耐消毒；2.0mm PVC封边+PUR高温封边工艺，无醛PUR热熔胶，符合GB18583-2008，提供CMA检测报告；防倾倒、防撞防夹手。</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床垫</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1200*2000*200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玉米纤维面料耐</w:t>
                  </w:r>
                  <w:r>
                    <w:rPr>
                      <w:rFonts w:ascii="仿宋_GB2312" w:hAnsi="仿宋_GB2312" w:cs="仿宋_GB2312" w:eastAsia="仿宋_GB2312"/>
                      <w:sz w:val="21"/>
                      <w:color w:val="000000"/>
                    </w:rPr>
                    <w:t>60℃水洗，符合GB18401 B类、阻燃B1级，提供GB 17927-2011 B1级检测报告；独立袋装弹簧，单弹簧承重≥60kg，整体承重≥250kg；整体密封无小零件；ENF级环保，甲醛≤0.02mg/m³，提供CMA环保检测报告；防口水防尿渍，可酒精/含氯消毒剂擦拭。</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床垫</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1500*2000*200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玉米纤维面料耐</w:t>
                  </w:r>
                  <w:r>
                    <w:rPr>
                      <w:rFonts w:ascii="仿宋_GB2312" w:hAnsi="仿宋_GB2312" w:cs="仿宋_GB2312" w:eastAsia="仿宋_GB2312"/>
                      <w:sz w:val="21"/>
                      <w:color w:val="000000"/>
                    </w:rPr>
                    <w:t>60℃水洗，符合GB18401 B类、阻燃B1级，提供GB 17927-2011 B1级检测报告；独立袋装弹簧，单弹簧承重≥60kg，整体承重≥250kg；整体密封无小零件；ENF级环保，甲醛≤0.02mg/m³，提供CMA环保检测报告；防口水防尿渍，可酒精/含氯消毒剂擦拭。</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三人位沙发</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1600*820*820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实木复合框架榫卯</w:t>
                  </w:r>
                  <w:r>
                    <w:rPr>
                      <w:rFonts w:ascii="仿宋_GB2312" w:hAnsi="仿宋_GB2312" w:cs="仿宋_GB2312" w:eastAsia="仿宋_GB2312"/>
                      <w:sz w:val="21"/>
                      <w:color w:val="000000"/>
                    </w:rPr>
                    <w:t>+五金加固；蛇形弹簧+绷带支撑；45D无菌海绵；生态皮≥1.2mm，耐磨≥20000次，阻燃B1级，提供GB 17927-2011 B1级检测报告；碳钢脚医学级防锈，盐雾≥48小时，单脚承重≥150kg；全圆角R≥30mm，缝隙防卡手；2.0mm PVC封边+PUR胶，符合GB18583-2008，提供CMA检测报告。</w:t>
                  </w:r>
                </w:p>
              </w:tc>
              <w:tc>
                <w:tcPr>
                  <w:tcW w:type="dxa" w:w="549"/>
                  <w:tcBorders>
                    <w:top w:val="none" w:color="000000" w:sz="4"/>
                    <w:left w:val="none" w:color="000000" w:sz="4"/>
                    <w:bottom w:val="none" w:color="000000" w:sz="4"/>
                    <w:right w:val="single" w:color="000000" w:sz="4"/>
                  </w:tcBorders>
                  <w:tcMar>
                    <w:top w:type="dxa" w:w="0"/>
                    <w:left w:type="dxa" w:w="105"/>
                    <w:bottom w:type="dxa" w:w="0"/>
                    <w:right w:type="dxa" w:w="105"/>
                  </w:tcMar>
                  <w:vAlign w:val="bottom"/>
                </w:tcPr>
                <w:p>
                  <w:pPr>
                    <w:pStyle w:val="null3"/>
                    <w:jc w:val="left"/>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三人位沙发</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1800*820*820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实木复合框架榫卯</w:t>
                  </w:r>
                  <w:r>
                    <w:rPr>
                      <w:rFonts w:ascii="仿宋_GB2312" w:hAnsi="仿宋_GB2312" w:cs="仿宋_GB2312" w:eastAsia="仿宋_GB2312"/>
                      <w:sz w:val="21"/>
                      <w:color w:val="000000"/>
                    </w:rPr>
                    <w:t>+五金加固；蛇形弹簧+绷带支撑；45D无菌海绵；生态皮≥1.2mm，耐磨≥20000次，阻燃B1级，提供GB 17927-2011 B1级检测报告；碳钢脚医学级防锈，盐雾≥48小时，单脚承重≥150kg；全圆角R≥30mm，缝隙防卡手；2.0mm PVC封边+PUR胶，符合GB18583-2008，提供CMA检测报告。</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单人位沙发</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800*800*820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金属框架结构稳固；胡桃木扶手全圆角；</w:t>
                  </w:r>
                  <w:r>
                    <w:rPr>
                      <w:rFonts w:ascii="仿宋_GB2312" w:hAnsi="仿宋_GB2312" w:cs="仿宋_GB2312" w:eastAsia="仿宋_GB2312"/>
                      <w:sz w:val="21"/>
                      <w:color w:val="000000"/>
                    </w:rPr>
                    <w:t>45D无菌海绵+生态皮；阻燃B1级，提供GB 17927-2011 B1级检测报告；无可拆卸小零件，母婴安全。</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茶几</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700*700*450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12mm岩板，吸水率≤0.05%，耐污染最高级；提供GB 6566 A类放射性检测报告；全圆角R≥30mm全包边防撞；金属框架医学级防锈喷涂，盐雾≥48小时；ENF级无苯无重金属，提供CMA环保检测；配防倾倒装置。</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餐桌</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1200*600*720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岩板台面高</w:t>
                  </w:r>
                  <w:r>
                    <w:rPr>
                      <w:rFonts w:ascii="仿宋_GB2312" w:hAnsi="仿宋_GB2312" w:cs="仿宋_GB2312" w:eastAsia="仿宋_GB2312"/>
                      <w:sz w:val="21"/>
                      <w:color w:val="000000"/>
                    </w:rPr>
                    <w:t>720mm；提供GB 6566 A类放射性检测报告；符合GB/T 39600-2021 ENF级（同时满足GB 18584-2024要求），提供CMA环保检测；铁艺支架医学级防锈，盐雾≥48小时；防倾倒，母婴安全。</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餐椅</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480*450*800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环保耐磨科技皮面料，符合</w:t>
                  </w:r>
                  <w:r>
                    <w:rPr>
                      <w:rFonts w:ascii="仿宋_GB2312" w:hAnsi="仿宋_GB2312" w:cs="仿宋_GB2312" w:eastAsia="仿宋_GB2312"/>
                      <w:sz w:val="21"/>
                      <w:color w:val="000000"/>
                    </w:rPr>
                    <w:t>GB 20400、GB 18401，执行QB/T 4045-2010标准；45D无菌海绵，阻燃B1级，提供GB 17927-2011 B1级检测报告；铁艺支架医学级防锈喷塑，盐雾≥48小时，VOC达标；全圆角无卡手缝隙。</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水吧台、柜子</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主体</w:t>
                  </w:r>
                  <w:r>
                    <w:rPr>
                      <w:rFonts w:ascii="仿宋_GB2312" w:hAnsi="仿宋_GB2312" w:cs="仿宋_GB2312" w:eastAsia="仿宋_GB2312"/>
                      <w:sz w:val="21"/>
                      <w:color w:val="000000"/>
                    </w:rPr>
                    <w:t>3000*450*1100，</w:t>
                  </w:r>
                  <w:r>
                    <w:br/>
                  </w:r>
                  <w:r>
                    <w:rPr>
                      <w:rFonts w:ascii="仿宋_GB2312" w:hAnsi="仿宋_GB2312" w:cs="仿宋_GB2312" w:eastAsia="仿宋_GB2312"/>
                      <w:sz w:val="21"/>
                      <w:color w:val="000000"/>
                    </w:rPr>
                    <w:t>吊柜</w:t>
                  </w:r>
                  <w:r>
                    <w:rPr>
                      <w:rFonts w:ascii="仿宋_GB2312" w:hAnsi="仿宋_GB2312" w:cs="仿宋_GB2312" w:eastAsia="仿宋_GB2312"/>
                      <w:sz w:val="21"/>
                      <w:color w:val="000000"/>
                    </w:rPr>
                    <w:t>3000*300*2000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ENF级无醛板材，双面三聚氰胺；符合GB/T 39600-2021 ENF级（同时满足GB 18584-2024要求）；2.0mm PVC封边+PUR工艺，无醛PUR胶符合GB18583-2008，提供CMA检测报告；食品级岩板台面，提供GB6566 A类放射性检测；阻尼铰链/滑轨医学级防锈，盐雾≥48小时；全圆角，离地≥100mm，防倾倒。</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洽谈桌</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800*800*720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w:t>
                  </w:r>
                  <w:r>
                    <w:rPr>
                      <w:rFonts w:ascii="仿宋_GB2312" w:hAnsi="仿宋_GB2312" w:cs="仿宋_GB2312" w:eastAsia="仿宋_GB2312"/>
                      <w:sz w:val="21"/>
                      <w:color w:val="000000"/>
                    </w:rPr>
                    <w:t>720mm；面板≥18mm ENF级实木板；符合GB/T 39600-2021 ENF级（同时满足GB 18584-2024要求）；2.0mm PVC封边+PUR胶符合GB18583-2008，提供CMA检测报告；全圆角R≥30mm；提供CMA环保检测。</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洽谈椅</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450*500*800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西皮面料；</w:t>
                  </w:r>
                  <w:r>
                    <w:rPr>
                      <w:rFonts w:ascii="仿宋_GB2312" w:hAnsi="仿宋_GB2312" w:cs="仿宋_GB2312" w:eastAsia="仿宋_GB2312"/>
                      <w:sz w:val="21"/>
                      <w:color w:val="000000"/>
                    </w:rPr>
                    <w:t>45D无菌海绵；电镀钢管医学级防锈，盐雾≥48小时，壁厚≥1.5mm；阻燃B1级，提供GB 17927-2011 B1级检测报告；全圆角安全，无可拆卸小零件，符合母婴安全。</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洗头床</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2000*670*750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304不锈钢框架医学级防锈，盐雾≥48小时，动态承重≥1000kg，壁厚≥2.0mm；防水皮+45D无菌海绵；陶瓷盆；总高750mm防呛水；阻燃B1级，提供GB 17927-2011 B1级检测报告；全圆角防撞。</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活动衣架</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600*1750*300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电镀钢管医学级防锈，盐雾</w:t>
                  </w:r>
                  <w:r>
                    <w:rPr>
                      <w:rFonts w:ascii="仿宋_GB2312" w:hAnsi="仿宋_GB2312" w:cs="仿宋_GB2312" w:eastAsia="仿宋_GB2312"/>
                      <w:sz w:val="21"/>
                      <w:color w:val="000000"/>
                    </w:rPr>
                    <w:t>≥48小时，立柱≥Φ28mm，壁厚≥1.2mm；底板ENF级实木板，符合GB/T 39600-2021 ENF级（同时满足GB 18584-2024要求）；2.0mm PVC封边+PUR胶符合GB18583-2008，提供CMA检测报告；静音万向轮带刹车；全圆角无毛刺。</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床头柜</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480*500*500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亚克力抗菌易洁台面；生态皮软包，耐磨</w:t>
                  </w:r>
                  <w:r>
                    <w:rPr>
                      <w:rFonts w:ascii="仿宋_GB2312" w:hAnsi="仿宋_GB2312" w:cs="仿宋_GB2312" w:eastAsia="仿宋_GB2312"/>
                      <w:sz w:val="21"/>
                      <w:color w:val="000000"/>
                    </w:rPr>
                    <w:t>≥8000次，阻燃B1级，提供GB 17927-2011 B1级检测报告；双抽阻尼导轨医学级防锈，盐雾≥48小时；金属脚医学级防锈，离地100mm；柜体符合GB/T 39600-2021 ENF级（同时满足GB 18584-2024要求）；2.0mm PVC封边+PUR胶符合GB18583-2008，提供CMA检测报告；全圆角R≥30mm，防夹手防倾倒。</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柜子</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2200*1600*450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ENF级无醛板材，双面三聚氰胺；符合GB/T 39600-2021 ENF级（同时满足GB 18584-2024要求）；2.0mm PVC封边+PUR工艺，无醛PUR胶符合GB18583-2008，提供CMA检测报告；阻尼铰链/滑轨医学级防锈，盐雾≥48小时；全圆角R≥30mm，强制防倾倒；耐酒精/含氯消毒液擦拭。</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30 日历日交货并安装完毕。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预付款，货物完成交货后，达到付款条件起10个工作日内，支付合同总金额的30.0%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进度款，项目整体验收及合格之后，达到付款条件起10个工作日内，支付合同总金额的40.0%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符合国家及行业质量验收合格标准。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1.质保期：木质/软体3年，钢制5年。2.中标人承诺的质保时间超过招标文件要求的，按其承诺时间质保。 3.中标人承诺的质保期起始时间为终验合格之日。 4.所有产品质量必须符合国家有关规范和相关政策。所有设备及辅材必须是未使用过的新产品，质量优良、渠道正当，配置合理。 5.质保期出现的质量问题由中标人负责解决并承担所有费用。质保期后如需更换零部件，中标人应以优惠价提供。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1200*2000*1100床。2.中标供应商须在结果公告发布之日起5个工作日内，提交响应文件一正二副（建议正反面打印）至陕西省西安市曲江新区商通大道6号智慧大厦一幢203室（陕西浩优项目管理有限公司）；联系人：李金娥；联系电话：029-89553153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本项目专门面向小微企业，具有独立承担民事责任的法人，并出具合法有效的营业执照。</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法定代表人身份证明或授权委托书.docx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审计的财务会计报告（成立时间至提交响应文件截止时间不足一年的可提供成立后任意时段的资产负债表），或其投标截止日近半年内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提供2025年05月至今已缴纳的任意一个月的纳税证明或完税证明（任意税种），依法免税的单位应提供相关证明材料;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提供2025年05月至今已缴纳的任意一个月的社会保障资金缴存单据或社保机构开具的社会保险参保缴费情况证明,依法不需要缴纳社会保障资金的单位应提供相关证明材料;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设备和专业技术能力提供声明</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 投标文件封面 分项报价一览表.docx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根据采购内容及技术要求中的技术参数指标优于或完全符合招标文件要求，没有负偏离计10分；技术参数中每有一项负偏离扣1分，基本分扣完为止。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分项报价一览表.docx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选配件报价表.docx</w:t>
            </w:r>
          </w:p>
          <w:p>
            <w:pPr>
              <w:pStyle w:val="null3"/>
            </w:pPr>
            <w:r>
              <w:rPr>
                <w:rFonts w:ascii="仿宋_GB2312" w:hAnsi="仿宋_GB2312" w:cs="仿宋_GB2312" w:eastAsia="仿宋_GB2312"/>
              </w:rPr>
              <w:t>节能环保环境标志产品表.docx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提供的项目实施方案，内容包含但不限于：①备货、供货进度及保证措施；②人员、物力调配安排方案；③应急处理措施方案；④安装、检测、调试及项目验收方案；⑤安全保障措施等。评审标准：方案各项内容全面详细、阐述条理清晰、具有针对性、合理可行得20分。每有一项缺项扣4分，每有一处内容存在缺陷，扣1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所投产品制造厂家的管理制度；②制造厂家具有设计、工艺、加工、检验的能力；③供应商对产品的质量管控办法；④有具体可行的质量保证承诺等。评审标准：各项内容全面详细、阐述条理清晰、具有针对性、合理可行得12分。每有一项缺项扣3分，每有一处内容存在缺陷，扣1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包含但不限于：①资金筹措；②仓储设施；③运输工具；④人员素质；⑤管理水平等方面；⑥有履约承诺； 评审标准：各项内容全面详细、阐述条理清晰、具有针对性、合理可行得12分。每有一项缺项扣2分，每有一处内容存在缺陷，扣1分，扣完为止，未提供相关内容本项不计分。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①售后服务网点的设定；②拟投入售后服务人员配置情况；③日常维护、项目交付用户后出现故障响应时间及措施；④备品备件计划；⑤质量保证范围。评审标准：各项内容全面详细、阐述条理清晰、具有针对性、合理可行得10分。每有一项缺项扣2分，每有一处内容存在缺陷，扣1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投标人提供2023年5月至今类似项目业绩，每提供一份业绩证明材料计2分，满分6分，（附完整的合同复印件加盖公章，时间以合同签订时间为准）。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x价格权值(即30%)x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详见附件：分项报价一览表.docx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详见附件：节能环保环境标志产品表.docx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 货物 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