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CED6E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采购需求</w:t>
      </w:r>
    </w:p>
    <w:p w14:paraId="05CB0C09">
      <w:pPr>
        <w:pStyle w:val="16"/>
        <w:ind w:right="630" w:firstLine="40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一、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项目概况</w:t>
      </w:r>
    </w:p>
    <w:p w14:paraId="162729B0">
      <w:pPr>
        <w:pStyle w:val="16"/>
        <w:ind w:right="630" w:firstLine="48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落实公办幼儿园标准化建设达标要求，完善后勤保障、班级保教、户外体能活动等配套硬件，满足幼儿生活、游戏探究、艺术美育、体能锻炼及教职工日常办公履职需求。依据相关管理标准，现进行户外玩教具采购。</w:t>
      </w:r>
    </w:p>
    <w:p w14:paraId="08146370">
      <w:pPr>
        <w:pStyle w:val="16"/>
        <w:numPr>
          <w:ilvl w:val="0"/>
          <w:numId w:val="0"/>
        </w:numPr>
        <w:ind w:right="630" w:rightChars="0"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技术要求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：</w:t>
      </w:r>
    </w:p>
    <w:tbl>
      <w:tblPr>
        <w:tblStyle w:val="1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993"/>
        <w:gridCol w:w="4153"/>
        <w:gridCol w:w="538"/>
        <w:gridCol w:w="572"/>
        <w:gridCol w:w="1180"/>
        <w:gridCol w:w="548"/>
      </w:tblGrid>
      <w:tr w14:paraId="241C6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26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西安高新区第六十六幼儿园户外玩教具参数清单</w:t>
            </w:r>
          </w:p>
        </w:tc>
      </w:tr>
      <w:tr w14:paraId="64842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CB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C6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DF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规格参数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02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数量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2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B1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固定综合单价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限价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81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 w14:paraId="1BADD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E0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84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螺旋滑桶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EF1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1.总体规格：约3121mm（长）×2000mm（宽）×3213mm（高）（允许各向±5mm的偏差）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2.塑料件材质与工艺：▲①采用线性低密度聚乙烯（LLDPE）或同等性能的工程塑料，DBP、BBP、DEHP、DNOP的RL不高于30mg/kg,DINP、DIDP的RL不高于50mg/kg。▲②塑料滑梯可触及的锐利尖端应光滑、无毛刺。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3.性能要求：抗老化与耐候性：材料中应添加抗紫外线稳定剂、抗静电剂，抗紫外光（UV）能力≥8级，确保户外长期使用不褪色、不脆化。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91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DA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70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D9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0DADB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48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B6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儿童游戏荡桥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8D0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1.总体规格：约3000mm*1151mm*1152mm（允许±5㎜偏差）。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▲2.框架结构：采用Q235B热镀锌焊接钢管，所用钢管应符合GB/T 246-2017标准要求，压扁外观无裂纹和裂口。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3.板材：采用芬兰松木板，规格约为800mm×100mm×40mm，木材含水率应控制在8%~14% 范围内。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4.链条及连接件：链条采用304不锈钢材质，应有足够的抗拉强度和耐磨性，确保安全。所有外露螺丝、螺母及连接件均采用304不锈钢材质，螺丝做半圆头、无棱角处理。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87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5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C2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CE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6B303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2F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A6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吊环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F9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1.总体规格：约3000mm*1200mm*602mm（允许±5㎜偏差）。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2.框架结构：主立柱及框架采用Q235B热镀锌焊接钢管，主料规格为φ48mm×2.5mm，材质及尺寸偏差应符合GB/T 246-2017标准要求，压扁外观应无可见裂纹；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3.链条：采用304不锈钢材质链条。链条两端均应固定，且不得形成内缘周长大于127mm的环圈。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4.吊环：采用Q235B镀锌钢管制作。表面处理：经除油、磷化等前处理后，采用室外聚酯系树脂粉体涂装（烤漆），高温固化，表面应光滑、抗紫外线、不易脱落。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F6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78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2B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4500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3A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56A9A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C5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DD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秋千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40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1.总体规格：约800mm*800mm*1802mm（允许±5㎜偏差）。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▲2.铁件部分：主体框架采用Q235B热镀锌焊接钢管，主料规格为Φ60mm×2.5mm，材质及尺寸偏差应符合GB/T 246-2017标准要求，抗拉强度的上屈服强度ReH不低于350MPa,下屈服强度ReL不低于318MPa,抗拉强度Rm不低于470MPa；框架采用焊接工艺成型，焊缝应饱满均匀、无夹渣、无漏焊、无裂纹。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3.粉末喷涂材料应添加抗紫外线稳定剂，提升户外耐候性。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4.涂层耐盐雾试验≥3000小时（依据GB/T 1771或GB/T 10125），涂层无起泡、基材无腐蚀。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5.涂层耐冲击性≥50kg·cm（依据GB/T 1732），涂层无开裂、无脱落。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6.涂层附着力≥1级（依据GB/T 9286划格法）。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7.基材要求：基材为热镀锌管，热镀锌层应均匀、无漏镀。镀锌层厚度可约定为：平均厚度≥85μm，局部≥70μm。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8.五金紧固件：所有外露螺丝、螺母及紧固件均采用304不锈钢材质，螺丝应做半圆头、无棱角处理。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9.绳网部分：采用直径16mm镀锌钢丝绳（内芯为一股），外包优质尼龙或聚酯纤维编织护套。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DF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DF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91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BB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7671F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6C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88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儿童游戏设备造型平台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FE4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1.总体规格：约6651mm*2802mm*5602mm（允许±5㎜偏差）。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2.▲立柱：采用Q235B热镀锌焊接钢管，规格为φ114mm×2.5mm镀锌钢管，抗拉强度不低于495MPa。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3.铁件结构：采用Q235B镀锌钢管（规格含φ114×2.5mm、φ38×2.5mm、φ32×2.5mm，及φ50×100mm、φ50×50mm镀锌方管）焊接成型，压扁外观应无可见裂纹；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▲4.镀锌钢管的抗拉强度：上屈服强度ReH不低于350MPa,下屈服强度ReL不低于318MPa,抗拉强度Rm不低于470MPa。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5.连接紧固件：所有外露螺丝、螺母及连接件均采用304不锈钢材质，螺丝应做半圆头、无棱角处理。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表面处理与防腐：基材为热镀锌管，①热镀锌层均匀、无漏镀，镀锌层平均厚度≥85μm，局部≥70μm；②粉末涂层耐盐雾试验≥3000小时，涂层无起泡、基材无腐蚀；③粉末涂层耐冲击性≥50kg·cm，涂层无开裂、无脱落；⑤粉末喷涂材料应添加抗紫外线稳定剂，确保户外耐候性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7.主体框架采用芬兰木材质，表面进行防腐、防蛀处理，采用原子灰进行两次刮灰抹平并打磨光滑，再喷室外专用环保面漆。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8.装饰造型：①材质：主体材质采用工程塑料（LLDPE、PP或同等性能塑料）；②工艺：表面光洁、无注塑缺陷、边缘圆润无毛刺。③ 整体尺寸：宽410mm~420mm×高365mm（±2mm）；④ 结构：采用左右分体式结构，依据昆虫工学设计，内部须以长塑料钉及螺丝结合固定安装，确保连接牢固；⑤散热挑孔：散热条孔20mm×4mm，孔位整齐、边缘光滑。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（装饰造型需提供样品一个）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DE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D4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BC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78530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1D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58067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5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6B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16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吊环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51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1.总体规格：约1000mm（高）（允许±2mm偏差）。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2.铁件结构：主体框架采用Q235B热镀锌焊接钢管，主料规格为Φ60mm×2.5mm。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表面处理：基材为热镀锌管，①热镀锌层均匀、无漏镀，镀锌层平均厚度≥85μm，局部≥70μm；②粉末涂层耐盐雾试验≥500小时，涂层无起泡、基材无腐蚀；③粉末涂层耐冲击性≥50kg·cm，涂层无开裂、无脱落；④粉末涂层附着力≥1级；⑤粉末喷涂材料应添加抗紫外线稳定剂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4.五金紧固件：所有外露螺丝、螺母及紧固件均采用304不锈钢材质，螺丝应做半圆头、无棱角处理。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▲5.绳网：钢丝绳直径≥16mm，采用六股结构，特定元素锑（Sb）、砷（As）、钡（Ba）、镉（Cd）、铬（Cr）、铅（Pb）、汞（Hg）、硒（Se）的迁移量，MDL不大于5mg/kg。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FA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CB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D2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71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3E38D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71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B0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游戏设施网桶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88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1.总体规格：约1650mm*852mm*3203mm（允许±5mm偏差）。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▲2.立柱采用Q235B热镀锌焊接钢管，规格为φ60mm×2.5mm，抗拉强度不低于498MPa,规定塑性延伸强度不低于412MPa。压扁无裂纹和裂口。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3.铁件结构：主体框架采用Q235B镀锌钢管（规格含φ32×2.5mm、φ38×2.5mm等）焊接成型。焊缝应饱满均匀、无夹渣、无漏焊、无裂纹；所有外露管口须加装防碰撞塑料盖帽。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锌管，①热镀锌层均匀、无漏镀，镀锌层平均厚度≥85μm，局部≥70μm；②粉末涂层耐盐雾试验≥500小时，涂层无起泡、基材无腐蚀；③粉末涂层耐冲击性≥50kg·cm，涂层无开裂、无脱落；④粉末涂层附着力≥1级；⑤粉末喷涂材料应添加抗紫外线稳定剂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6.绳网：丝绳直径≥16mm，采用六股结构，特定元素锑（Sb）、砷（As）、钡（Ba）、镉（Cd）、铬（Cr）、铅（Pb）、汞（Hg）、硒（Se）的迁移量，MDL不大于5mg/kg。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E0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53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B7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97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2DACB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57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69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游戏爬网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851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1.总体规格：约3000mm（长）×1952mm（高）（允许±5mm偏差）。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2.立柱及连接件：立柱采用Q235B热镀锌焊接钢管，规格为φ60mm×2.0mm，材质及尺寸偏差应符合GB/T 246-2017标准要求，压扁外观应无可见裂纹。所有外露连接件（螺丝、螺母）均采用304不锈钢材质，螺丝应做半圆头、无棱角处理。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3.铁件结构：主体框架采用Q235B镀锌钢管（规格含φ32×2.0mm、φ38×2.0mm等）焊接成型。焊缝应饱满均匀、无夹渣、无漏焊、无裂纹；所有外露管口须加装防碰撞塑料盖帽。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①热镀锌层均匀、无漏镀，镀锌层平均厚度≥85μm，局部≥70μm；②粉末涂层耐盐雾试验≥500小时，涂层无起泡、基材无腐蚀；③粉末涂层耐冲击性≥50kg·cm，涂层无开裂、无脱落；④粉末涂层附着力≥1级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6.绳网： 钢丝绳直径≥16mm，采用六股结构，特定元素锑（Sb）、砷（As）、钡（Ba）、镉（Cd）、铬（Cr）、铅（Pb）、汞（Hg）、硒（Se）的迁移量，MDL不大于5mg/kg。。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C4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4B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15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51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0DD9E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A4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32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轮胎游戏爬网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3E2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1.总体规格：约3000mm（长）×1951mm（高）（允许±5mm偏差）。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2.立柱及连接件：立柱采用Q235B热镀锌焊接钢管，规格为φ60mm×2.0mm，材质及尺寸偏差应符合GB/T 246-2017标准要求，压扁外观应无可见裂纹。所有外露连接件（螺丝、螺母）均采用304不锈钢材质，螺丝应做半圆头、无棱角处理。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3.铁件结构：主体框架采用Q235B镀锌钢管（规格为φ60×2.0mm）焊接成型。焊缝应饱满均匀、无夹渣、无漏焊、无裂纹；所有外露管口须加装防碰撞塑料盖帽。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4.表面处理：基材为热镀锌管，①热镀锌层均匀、无漏镀，镀锌层平均厚度≥85μm，局部≥70μm；②粉末涂层耐盐雾试验达到相应等级，涂层无起泡、基材无腐蚀；③粉末涂层附着力≥1级。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6.绳网：①钢丝绳直径≥16mm，采用六股结构，特定元素锑（Sb）、砷（As）、钡（Ba）、镉（Cd）、铬（Cr）、铅（Pb）、汞（Hg）、硒（Se）的迁移量，MDL不大于5mg/kg。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B0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7F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CC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6F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5F115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AE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A1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横杠游戏吊环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86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1.总体规格：约600mm（宽）×422mm（高）（允许±5mm偏差）。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2.绳网连接部分：采用六股钢丝绳进行固定式连接，特定元素锑（Sb）、砷（As）、钡（Ba）、镉（Cd）、铬（Cr）、铅（Pb）、汞（Hg）、硒（Se）的迁移量，MDL不大于5mg/kg。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3.主横杠：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采用芬兰松防腐木，直径≥50mm。木材须经防腐、防蛀处理，确保户外使用长期不易腐蚀。所有棱边均应倒圆处理（R≥3mm），确保无锐利边缘和毛刺。木材含水率应控制在8%~14%范围内。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4.表面处理：①木材表面须经精细打磨，确保光滑无毛刺、无针刺感；②表面采用户外环保水性漆；③表面涂层中有害物质限量应符合GB 6675.4-2014标准要求。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F3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B8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28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B9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4FA28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08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63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轮胎秋千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D3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1.总体规格：约482mm×482mm×1703mm（允许±2mm偏差）。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2.轮胎主体：采用橡胶轮胎，轮胎表面应平整光滑、无裂纹、无气泡、无杂质。轮胎须经清洁及钝化处理，确保表面无异味、无有害物质残留。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绳网部分：①网绳采用海缆绳，直径≥6mm，内置镀铬钢丝，钢丝需均匀分布，提高抗拉强度与耐磨性；②网绳外皮采用涤纶加强丝材质，抗UV、防腐蚀、耐脏耐磨，绳索编织紧密，纹理清晰；③绳网编织节点应牢固、无松散，绳结之间距离≤10cm，确保儿童攀爬安全；④绳网应符合T/CAAPA 0005-2023《无动力游乐设施 绳网》标准要求。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4.链条及连接件：采用304不锈钢链条，直径≥4mm，所有外露连接件（螺丝、卡扣）均采用304不锈钢材质。连接件应做防松动设计，螺丝做半圆头、无棱角处理。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C4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0A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70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4A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6F1ED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18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E1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儿童游戏栈道平台一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（核心产品）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2C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1.总体规格：约12702mm（长）×1200mm（宽）×3503mm（高，不含顶部装饰喇叭宽度），栈道平台距地面高度约2100mm（允许各向±5mm偏差）。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2.立柱及连接件：立柱采用Q235B热镀锌焊接钢管，规格为φ114mm×2.5mm，材质及尺寸偏差应符合GB/T 246-2017标准要求，压扁外观应无可见裂纹；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3.抗拉强度：上屈服强度ReH不低于350MPa,下屈服强度ReL不低于318MPa,抗拉强度Rm不低于470MPa。所有外露连接件（螺丝、螺母）均采用304不锈钢材质，螺丝应做半圆头、无棱角处理。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4.铁件结构：主体框架采用Q235B镀锌钢管（规格含φ114×2.5mm、φ38×2.5mm、φ32×2.5mm，以及50×100mm、50×50mm镀锌方管）焊接成型。焊缝应饱满均匀、无夹渣、无漏焊、无裂纹；所有外露管口须加装防碰撞塑料盖帽。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5.表面处理：基材为热镀锌管，①热镀锌层均匀、无漏镀，镀锌层平均厚度≥85μm，局部≥70μm；②粉末涂层耐盐雾试验≥500小时，涂层无起泡、基材无腐蚀；③粉末涂层附着力≥1级；④ 粉末喷涂材料应添加抗紫外线稳定剂。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.木制主框架部分：▲①木材采用芬兰松，CaO不低于1.4kg/m³，CrO3不低于3.8kg/m³。②防腐质量应符合C4A等级标准，药剂渗透率不低于95%。③木材含水率应控制在8%~14%范围内；④表面采用原子灰刮平、打磨光滑后，喷涂户外专用环保聚氨酯面漆（两底一面）。⑤木制件表面涂层中有害物质限量应符合GB 18581-2009标准要求。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63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EF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02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105760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C6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0CAEF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CA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FC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儿童游戏设施造型平台一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39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1.总体规格：约3251mm（长）×3252mm（宽）×5753mm（高）（允许各向±5mm偏差）。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立柱采用Q235B热镀锌焊接钢管，规格为φ114mm×2.5mm；所有外露连接件（螺丝、螺母）均采用304不锈钢材质，螺丝应做半圆头、无棱角处理。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3.铁件结构：主体框架采用Q235B镀锌钢管（规格含φ114×2.5mm、φ38×2.5mm、φ32×2.5mm，以及50×100mm、50×50mm镀锌方管）焊接成型。焊缝应饱满均匀、无夹渣、无漏焊、无裂纹；所有外露管口须加装防碰撞塑料盖帽。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4.表面处理：基材为热镀锌管，①热镀锌层均匀、无漏镀，镀锌层平均厚度≥85μm，局部≥70μm；②粉末涂层耐盐雾试验≥500小时，涂层无起泡、基材无腐蚀；① 热镀锌层均匀、无漏镀，镀锌层平均厚度≥85μm，局部≥70μm；②粉末涂层耐盐雾试验≥500小时，涂层无起泡、基材无腐蚀。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6.木制主框架部分：① 木材采用芬兰松；② 防腐处理应符合GB/T 22102-2008《防腐木材》标准要求-2-6-9；③木材表面须经精细打磨，光滑无毛刺；④表面采用原子灰刮平、打磨后，喷涂户外专用环保聚氨酯面漆（两底一面）；▲⑤木制件表面涂层中有害物质限量应符合GB 18581-2009标准要求，TDI、HDI的含量总和不高于0.4%。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D7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1A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E8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58400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C6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4F7F9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DD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C4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儿童游戏设施平台二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51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1.总体规格：约3000mm（长）×1200mm（宽）×350mm（高），平台距地高度约2100mm（允许各向±5mm偏差）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立柱采用Q235B热镀锌焊接钢管，规格为φ114mm×2.5mm；所有外露连接件（螺丝、螺母）均采用304不锈钢材质，螺丝应做半圆头、无棱角处理。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3.铁件结构：主体框架采用Q235B镀锌钢管（规格含φ114×2.5mm、φ38×2.5mm、φ32×2.5mm，以及50×100mm、50×50mm镀锌方管）焊接成型。焊缝应饱满均匀、无夹渣、无漏焊、无裂纹；所有外露管口须加装防碰撞塑料盖帽。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4.表面处理：基材为热镀锌管，①镀锌层应符合GB/T 3091-2015要求，钢管内外表面镀锌层单位面积总重量应≥300g/㎡；②粉末喷涂材料应添加抗紫外线稳定剂，确保户外耐候性。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木制主框架部分：①木材采用防腐芬兰木，应经整体烘干后加工成型，表面进行防腐、防蛀、防水处理；▲②芬兰木防腐材载药量不低于7.8kg/m³，边材透入率不低于95%。③表面采用原子灰刮平、打磨光滑后，喷涂户外环保水性漆（底漆两遍+面漆两遍），表面漆膜应平整光亮、无皱皮、发粘和漏漆现象。④成品应无毛刺、无棱角，所有外露棱边均做倒圆处理（R≥3mm），裸露部分全部为圆角。⑤木制件表面涂层中有害物质限量应符合GB 18581-2009标准要求，TDI、HDI的含量总和不高于0.4%。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F4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6B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F9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23490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2A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438BF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F2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DE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横向游戏网桶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69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1.总体规格：约1800mm（长）×1200mm（宽）×1002mm（高）（允许±5mm偏差）。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2.立柱及连接件：立柱采用Q235B热镀锌焊接钢管，规格为φ60mm×2.0mm；所有外露连接件（螺丝、螺母）均采用304不锈钢材质，螺丝应做半圆头、无棱角处理。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3.铁件结构：主体框架采用Q235B镀锌钢管（规格含φ32×2.0mm、φ38×2.0mm等）焊接成型。焊缝应饱满均匀、无夹渣、无漏焊、无裂纹；所有外露管口须加装防碰撞塑料盖帽。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①热镀锌层均匀、无漏镀，镀锌层平均厚度≥85μm，局部≥70μm；②粉末涂层耐盐雾试验≥500小时，涂层无起泡、基材无腐蚀；③粉末喷涂材料应添加抗紫外线稳定剂，确保户外耐候性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6.绳网部分：① 钢丝绳直径≥16mm，采用六股结构，内置镀铬钢丝芯，外包耐磨尼龙或聚酯纤维护套。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36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81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7D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4760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F1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39C30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AA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3A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直筒滑梯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F96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1.总体规格：高度约2100mm（允许±5mm偏差）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2.塑料件材质与工艺：①采用线型低密度聚乙烯（LLDPE）或同等性能工程塑料，经滚塑工艺一次成型，塑料壁厚≥6mm；②塑料件表面应光滑、无毛刺、色泽均匀，无开裂、无明显变形和缩痕。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3.性能要求：①产品整体须符合GB 6675.1-2014（增塑剂限量）、GB 6675.2-2014（机械与物理性能）、GB 6675.3-2014（易燃性能）、GB 6675.4-2014（特定元素迁移）标准要求。有害物质的含量应符合GB 6675.1-2014要求，邻苯二甲酸二丁酯（DBP）、邻苯二甲酸丁苄酯（BBP）、邻苯二甲酸二（2-乙基己）酯（DEHP）三种增塑剂总含量≤0.1%；②添加抗紫外线稳定剂、抗静电剂，塑料件经氙灯老化试验后，外观应无明显变色、龟裂。抗紫外光（UV）能力不低于8级；③塑料件应有足够的强度和刚度，韧性好、高强度，确保使用安全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03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A9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6B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8550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2B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6BF71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CA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96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游戏设施爬网平台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661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1.总体规格：约2400mm（长）×1200mm（宽）×1452mm（高）（允许各向±5mm偏差）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2.框架与连接件：①主体框架采用Q235B热镀锌焊接钢管，规格为80mm×80mm×2.5mm；②镀锌层单位面积总重量应≥300g/㎡；③所有外露连接件（螺丝、螺母）均采用304不锈钢材质，螺丝应做半圆头、无棱角处理。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3.铁件结构：采用Q235B镀锌钢管（规格含φ32×2.5mm、φ38×2.5mm等）焊接成型。焊缝应饱满均匀、无夹渣、无漏焊、无裂纹；所有外露管口须加装防碰撞塑料盖帽。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4.表面处理：基材为热镀锌管，外表面须经除油、磷化等前处理后，采用户外型聚酯粉末涂料进行静电喷涂处理。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5.①木材含水率控制在8%~14%；②表面经原子灰刮平、打磨光滑后，喷涂户外环保聚氨酯面漆（两底一面）；▲③木制件表面涂层中有害物质限量应符合GB 18581-2009标准要求，卤代烃含量不高于0.02%。④所有外露棱边应倒圆处理（R≥3mm），确保无锐利边缘。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7.绳网部分：钢丝绳直径≥16mm，采用六股结构，外包耐磨尼龙或聚酯纤维护套。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8F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DA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D2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9700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FE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4F8DB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32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E4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游戏传声筒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FA1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1.总体规格：约1502mm（宽）×2503mm（高）（允许±5mm偏差）。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2.铁件结构：① 主体框架采用Q235B热镀锌焊接钢管，主料规格为φ48mm×2.0mm；焊缝应饱满均匀、无夹渣、无漏焊、无裂纹；所有外露管口须加装防碰撞塑料盖帽。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3.表面处理：①基材为热镀锌管，外表面须经除油、磷化等前处理后，采用户外型聚酯粉末涂料进行静电喷涂处理；②粉末喷涂材料应添加抗紫外线稳定剂，确保户外耐候性。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4.五金紧固件：所有外露螺丝、螺母均采用304不锈钢材质，螺丝应做半圆头、无棱角处理。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94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77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D9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CA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2475D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92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49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游戏设施立柱装饰造型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B8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1.总体规格：约1201mm（宽）×5252mm（高）（允许各向±5mm偏差）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2.立柱及连接件：立柱采用Q235B热镀锌焊接钢管，规格为φ114mm×2.0mm，镀锌层单位面积总重量应≥300g/㎡。所有外露连接件（螺丝、螺母）均采用304不锈钢材质，螺丝应做半圆头、无棱角处理。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3.铁件结构：采用Q235B镀锌钢管（规格为φ114×2.0mm）焊接成型。焊缝应饱满均匀、无夹渣、无漏焊、无裂纹；所有外露管口须加装防碰撞塑料盖帽。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4.表面处理：基材为热镀锌管，①涂层中可迁移元素（锑、砷、钡、镉、铬、铅、汞、硒）应符合GB 6675.4-2014标准限量要求；②涂层耐盐雾试验≥500小时，涂层无起泡、基材无腐蚀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装饰造型：①采用线型低密度聚乙烯（LLDPE）工程塑料，经滚塑工艺一次成型，塑料壁厚≥6mm，内外表面应光滑、无毛刺、色泽均匀；②材料中添加抗紫外线稳定剂、抗静电剂及防脱色元素，抗紫外光（UV）能力≥8级；③产品须符合GB 6675.1-2014（增塑剂限量）及GB 6675.4-2014（特定元素迁移）标准要求。邻苯二甲酸二丁酯（DBP）、邻苯二甲酸丁苄酯（BBP）、邻苯二甲酸二（2-乙基己）酯（DEHP）三种增塑剂总含量≤0.1%。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79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2E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根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6C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B1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4FB0E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41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51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游戏栈道五彩阳光造型平台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D2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1.总体规格：约2502mm（长）×1200mm（宽）×3503mm（高），平台顶部距栈道高约1500mm（允许各向±5mm偏差）。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立柱采用Q235B热镀锌焊接钢管，规格为φ114mm×2.5mm，钢管内外表面镀锌层单位面积总重量应≥300g/㎡。所有外露连接件（螺丝、螺母）均采用304不锈钢材质，螺丝应做半圆头、无棱角处理。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3.铁件结构：主体框架采用Q235B镀锌钢管（规格含φ114×2.5mm、φ38×2.5mm、φ32×2.5mm，以及50×100mm、50×50mm镀锌方管）焊接成型。焊缝应饱满均匀、无夹渣、无漏焊、无裂纹；所有外露管口须加装防碰撞塑料盖帽。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4.表面处理：基材为热镀锌管，▲①涂层中底漆挥发性有机化合物(VOC)含量不高于440g/L，苯含量不高于0.02%。②涂层耐盐雾试验≥500小时，涂层无起泡、基材无腐蚀。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6.木制主框架部分：木材采用芬兰松，经ACQ环保防腐剂加压渗透处理，应符合GB/T 22102-2008《防腐木材》标准要求；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② 表面经原子灰刮平、打磨光滑后，喷涂户外环保聚氨酯面漆（两底一面）；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③ 所有外露棱边应倒圆处理（R≥3mm），确保无锐利边缘。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④ 木制件表面涂层中有害物质限量应符合GB 18584-2001标准要求。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2B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E7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42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20860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99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7808A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FA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EE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120拼接滑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0DC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1.总体规格：高度约1200mm（允许±5mm偏差）。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2.塑料件材质与工艺：①采用线性低密度聚乙烯（LLDPE）或同等性能工程塑料，经滚塑工艺一次成型，塑料壁厚≥6mm；② 内外表面应光滑、无毛刺、色泽均匀，开模线处无毛刺，拐角处过渡圆滑。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3.性能要求：安全与环保：产品须符合GB 6675.1-2014（基本规范）、GB 6675.2-2014（机械与物理性能）、GB 6675.3-2014（易燃性能）、GB 6675.4-2014（特定元素的迁移）标准要求。可迁移元素（锑、砷、钡、镉、铬、铅、汞、硒）应符合相应限量要求；②抗老化与耐候性：材料中添加抗紫外线稳定剂、抗静电剂，抗紫外光（UV）能力≥8级（UV8，即氙灯老化试验≥8000h后断裂伸长应变保持率≥50%）；③物理性能：塑料件应有足够的强度和刚度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71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50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01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88CB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62A10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A7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C4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游戏设备攀爬平台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027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1.总体规格：约2452mm（长）×2451mm（宽）×2503mm（高））允许各向±5mm偏差）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2.立柱及连接件：立柱采用Q235B热镀锌焊接钢管，规格为φ114mm×2.0mm，所有外露连接件（螺丝、螺母）均采用304不锈钢材质，螺丝应做半圆头、无棱角处理。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3.铁件结构：主体框架采用Q235B镀锌钢管（规格含φ114×2.0mm、φ38×2.0mm、φ32×2.0mm，以及50×100mm、50×50mm镀锌方管）焊接成型。焊缝应饱满均匀、无夹渣、无漏焊、无裂纹；所有外露管口须加装防碰撞塑料盖帽。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4.表面处理：基材为热镀锌管，外表面须经除油、磷化等前处理后，采用户外型聚酯粉末涂料进行静电喷涂处理。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6.木制主框架部分：①木材采用芬兰松，经ACQ环保防腐剂加压渗透处理，防腐处理应符合GB/T 22102-2008《防腐木材》标准要求；②表面经原子灰刮平、打磨光滑后，喷涂户外环保聚氨酯面漆（两底一面）；③所有外露棱边应倒圆处理（R≥3mm），确保无锐利边缘；④木制件表面涂层中有害物质限量应符合GB 18581-2009标准要求，TDI、HDI的含量总和不高于0.4%。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AB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59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40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16700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29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3D4BB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0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8B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AE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游戏爬梯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5C4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1.总体规格：高度约2052mm（允许±5mm偏差）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2.绳网连接部分：①采用高强度锦纶材质绳网或航海专用缆绳（内含多股钢丝）进行固定式连接，绳网直径≥12mm，外包尼龙材料，强韧耐用；②绳网应符合GB 6675.2-2014《玩具安全 第2部分：机械与物理性能》 中关于绳网节点强度及网眼大小的要求（节点断裂强度≥300N，网眼尺寸≤110mm防头部卡入；③绳网编织节点应牢固、无松散，所有连接处均无毛刺、棱角等隐患。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3.主横杠：①主横杠采用芬兰松（防腐木），直径≥50mm。木材经整体烘干后生产加工成型，表面进行防腐、防蛀处理；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②木材防腐等级应达到C3级及以上；③木材含水率控制在8%~14%范围内。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①木材表面须经刨光、砂光、倒角、圆角处理，成品无毛刺、无裂纹，接缝自然、无明显缺口和缝隙；②所有外露棱边应倒圆处理（R≥3mm），确保儿童手指可触及处无毛刺及尖锐的棱角；③表面喷涂户外环保聚氨酯面漆或哑光漆（底漆两遍+面漆两遍），涂层平整光滑、无皱皮、发粘和漏漆现象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47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35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F2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B7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15642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6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57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D5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游戏糖葫芦吊绳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132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1.总体规格：高度约2052mm（允许±5mm偏差）。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2.绳网连接部分：①采用直径≥16mm的六股钢丝绳进行固定式连接，钢丝绳内含镀铬钢丝，钢丝需均匀分布，绳结之间距离≤10cm；②绳网编织节点应牢固、无松散，所有连接处均无毛刺、棱角等隐患。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3.圈环：①采用工程塑料（HDPE或同等性能）制作，经滚塑或吹塑工艺一次成型；②塑料件中应添加抗紫外线稳定剂、抗静电剂及防脱色元素，确保表面光滑、弹性好、耐候性好、不褪色。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4.表面处理：①所有外露表面须经打磨、倒角、圆角处理，成品无毛刺、无裂纹；②所有外露棱边应倒圆处理（R≥3mm），确保儿童手指可触及处无毛刺及尖锐的棱角。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5.五金紧固件：所有紧固件均采用304不锈钢材质，螺丝应做半圆头、无棱角处理，确保安装严密、平整、牢固，结合处无崩茬或松动。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23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BB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CE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35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78C7B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5" w:hRule="atLeast"/>
        </w:trPr>
        <w:tc>
          <w:tcPr>
            <w:tcW w:w="19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5C9A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162F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游戏吊绳</w:t>
            </w:r>
          </w:p>
        </w:tc>
        <w:tc>
          <w:tcPr>
            <w:tcW w:w="246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D4B1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1.总体规格：高度约2052mm（允许±5mm偏差）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2.绳网连接部分：①采用直径≥16mm的六股钢丝绳进行固定式连接，内置镀铬钢丝芯，外包耐磨尼龙或聚酯纤维护套，钢丝需均匀分布，绳结之间距离≤10cm；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②绳网编织节点应牢固、无松散，所有连接处均无毛刺、棱角等隐患。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3.球体：①采用工程塑料（HDPE或同等性能）制作，经滚塑或吹塑工艺一次成型；②塑料件中应添加抗紫外线稳定剂、抗静电剂及防脱色元素，确保表面光滑、弹性好、耐候性好、不褪色。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4.表面处理：①所有外露表面须经打磨、倒角、圆角处理，成品无毛刺、无裂纹；②所有外露棱边应倒圆处理（R≥3mm），确保儿童手指可触及处无毛刺及尖锐的棱角。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5.五金紧固件：所有紧固件均采用304不锈钢材质，螺丝应做半圆头、无棱角处理，确保安装严密、平整、牢固，结合处无崩茬或松动。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A12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151F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86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CA89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定制</w:t>
            </w:r>
          </w:p>
        </w:tc>
      </w:tr>
      <w:tr w14:paraId="7F90F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EA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附注：上述清单含运输、安装、普通增值税发票等费用。</w:t>
            </w:r>
          </w:p>
        </w:tc>
      </w:tr>
    </w:tbl>
    <w:p w14:paraId="1F8FAB32">
      <w:pPr>
        <w:pStyle w:val="16"/>
        <w:ind w:right="630" w:firstLine="48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、核心产品</w:t>
      </w:r>
      <w:r>
        <w:rPr>
          <w:rFonts w:hint="eastAsia" w:ascii="仿宋_GB2312" w:hAnsi="仿宋_GB2312" w:eastAsia="仿宋_GB2312" w:cs="仿宋_GB2312"/>
          <w:b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b/>
          <w:sz w:val="32"/>
          <w:szCs w:val="32"/>
          <w:highlight w:val="none"/>
        </w:rPr>
        <w:t>儿童游戏栈道平台一</w:t>
      </w:r>
      <w:r>
        <w:rPr>
          <w:rFonts w:hint="eastAsia" w:ascii="仿宋_GB2312" w:hAnsi="仿宋_GB2312" w:eastAsia="仿宋_GB2312" w:cs="仿宋_GB2312"/>
          <w:b/>
          <w:sz w:val="32"/>
          <w:szCs w:val="32"/>
          <w:highlight w:val="none"/>
          <w:lang w:eastAsia="zh-CN"/>
        </w:rPr>
        <w:t>。</w:t>
      </w:r>
    </w:p>
    <w:p w14:paraId="51F0D98E">
      <w:pPr>
        <w:pStyle w:val="16"/>
        <w:ind w:right="630" w:firstLine="480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验收标准与售后服务要求</w:t>
      </w:r>
    </w:p>
    <w:p w14:paraId="030EE03E">
      <w:pPr>
        <w:pStyle w:val="16"/>
        <w:ind w:right="630" w:firstLine="480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验收标准设备规格、数量、材质、技术参数须与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磋商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文件、采购合同完全相符，随货同步交付合格证、检测报告、操作说明书等全套资料;设备安装调试完毕且可正常投入使用;验收不合格物资由供应商限期整改、更换，直至验收合格。</w:t>
      </w:r>
    </w:p>
    <w:p w14:paraId="778AB6DC">
      <w:pPr>
        <w:pStyle w:val="16"/>
        <w:ind w:right="630" w:firstLine="48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售后供应商按产品品类提供对应免费质保服务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质保期内设备出现质量故障，需在约定时限内上门维修或更换配件;长期提供零配件供应、技术咨询等持续性售后支撑。</w:t>
      </w:r>
    </w:p>
    <w:p w14:paraId="77874495">
      <w:pPr>
        <w:pStyle w:val="16"/>
        <w:ind w:right="630" w:firstLine="4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、商务要求</w:t>
      </w:r>
    </w:p>
    <w:p w14:paraId="5E678D95">
      <w:pPr>
        <w:pStyle w:val="1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（一）交货期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自合同签订生效之日起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15日内</w:t>
      </w:r>
      <w:r>
        <w:rPr>
          <w:rFonts w:hint="eastAsia" w:ascii="仿宋_GB2312" w:hAnsi="仿宋_GB2312" w:eastAsia="仿宋_GB2312" w:cs="仿宋_GB2312"/>
          <w:sz w:val="32"/>
          <w:szCs w:val="32"/>
        </w:rPr>
        <w:t>完成供货、安装及调试。</w:t>
      </w:r>
    </w:p>
    <w:p w14:paraId="0B2162AE">
      <w:pPr>
        <w:pStyle w:val="1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（二）交货地点：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西安高新区第六十六幼儿园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5FB7B06">
      <w:pPr>
        <w:pStyle w:val="1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）质保期：3年。</w:t>
      </w:r>
    </w:p>
    <w:p w14:paraId="5DAD22B0">
      <w:pPr>
        <w:pStyle w:val="16"/>
        <w:ind w:right="630" w:firstLine="48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5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C07716"/>
    <w:rsid w:val="2D3576C1"/>
    <w:rsid w:val="305D2816"/>
    <w:rsid w:val="3E1E037D"/>
    <w:rsid w:val="656C55A9"/>
    <w:rsid w:val="6BC07716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4">
    <w:name w:val="heading 2"/>
    <w:basedOn w:val="1"/>
    <w:next w:val="1"/>
    <w:link w:val="15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标题 1 Char"/>
    <w:link w:val="3"/>
    <w:qFormat/>
    <w:uiPriority w:val="0"/>
    <w:rPr>
      <w:rFonts w:ascii="黑体" w:hAnsi="黑体" w:eastAsia="宋体"/>
      <w:b/>
      <w:sz w:val="44"/>
    </w:rPr>
  </w:style>
  <w:style w:type="character" w:customStyle="1" w:styleId="15">
    <w:name w:val="标题 2 Char"/>
    <w:link w:val="4"/>
    <w:qFormat/>
    <w:uiPriority w:val="0"/>
    <w:rPr>
      <w:rFonts w:ascii="黑体" w:hAnsi="黑体" w:eastAsia="宋体"/>
      <w:b/>
      <w:sz w:val="44"/>
    </w:rPr>
  </w:style>
  <w:style w:type="paragraph" w:customStyle="1" w:styleId="1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2025-08-08T10:28:00Z</dcterms:created>
  <dc:creator>陕西华采招标有限公司</dc:creator>
  <cp:lastModifiedBy>陕西华采招标有限公司</cp:lastModifiedBy>
  <dcterms:modified xsi:type="dcterms:W3CDTF">2026-09-01T09:14:55Z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0A76F4C1919E4C52B60FE6A696D40778_11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