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版本号：SDZC2026-11420260828001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2026年度蒲城县龙池镇五四村产业园区生产配套设施项目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SDZC2026-114</w:t>
      </w:r>
      <w:r>
        <w:br/>
      </w:r>
      <w:r>
        <w:br/>
      </w:r>
      <w:r>
        <w:br/>
      </w:r>
    </w:p>
    <w:p>
      <w:pPr>
        <w:pStyle w:val="null3"/>
        <w:jc w:val="center"/>
        <w:outlineLvl w:val="2"/>
      </w:pPr>
      <w:r>
        <w:rPr>
          <w:rFonts w:ascii="仿宋_GB2312" w:hAnsi="仿宋_GB2312" w:cs="仿宋_GB2312" w:eastAsia="仿宋_GB2312"/>
          <w:sz w:val="28"/>
          <w:b/>
        </w:rPr>
        <w:t>蒲城县龙池镇人民政府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蒲城县龙池镇人民政府</w:t>
      </w:r>
      <w:r>
        <w:rPr>
          <w:rFonts w:ascii="仿宋_GB2312" w:hAnsi="仿宋_GB2312" w:cs="仿宋_GB2312" w:eastAsia="仿宋_GB2312"/>
        </w:rPr>
        <w:t>委托，拟对</w:t>
      </w:r>
      <w:r>
        <w:rPr>
          <w:rFonts w:ascii="仿宋_GB2312" w:hAnsi="仿宋_GB2312" w:cs="仿宋_GB2312" w:eastAsia="仿宋_GB2312"/>
        </w:rPr>
        <w:t>2026年度蒲城县龙池镇五四村产业园区生产配套设施项目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2026年度蒲城县龙池镇五四村产业园区生产配套设施项目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2026年度蒲城县龙池镇五四村产业园区生产配套设施项目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采购包1（2026年度蒲城县龙池镇五四村产业园区生产配套设施项目的采购项目）：属于专门面向中小企业采购。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8、磋商保证金交纳凭证或担保函：磋商保证金交纳凭证或担保函（磋商保证交纳金凭证为银行凭证及基本账户证明资料，担保函为政府采购信用担保机构出具）；</w:t>
      </w:r>
    </w:p>
    <w:p>
      <w:pPr>
        <w:pStyle w:val="null3"/>
      </w:pPr>
      <w:r>
        <w:rPr>
          <w:rFonts w:ascii="仿宋_GB2312" w:hAnsi="仿宋_GB2312" w:cs="仿宋_GB2312" w:eastAsia="仿宋_GB2312"/>
        </w:rPr>
        <w:t>9、供应商资质：供应商具有建设行政主管部门核发的市政公用工程施工总承包二级（含）以上资质，并提供有效的安全生产许可证；</w:t>
      </w:r>
    </w:p>
    <w:p>
      <w:pPr>
        <w:pStyle w:val="null3"/>
      </w:pPr>
      <w:r>
        <w:rPr>
          <w:rFonts w:ascii="仿宋_GB2312" w:hAnsi="仿宋_GB2312" w:cs="仿宋_GB2312" w:eastAsia="仿宋_GB2312"/>
        </w:rPr>
        <w:t>10、项目经理：项目经理须具备市政公用工程专业二级（含）以上注册建造师资格,具有有效的安全生产考核合格证书（建安B证），在本单位注册，且未担任其他在建工程项目的书面声明；</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12、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蒲城县龙池镇人民政府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蒲城县龙池镇街道中段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管艳红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15877647502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中国建设银行股份有限公司西安武警路支行 2.账户名称：陕西上德招标有限公司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蒲城县龙池镇人民政府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蒲城县龙池镇人民政府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蒲城县龙池镇人民政府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本工程项目实施过程中产生的全部知识产权归甲方所有，相关资料成果按合同约定移交、保管及使用，不得擅自泄露或挪作他用。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本工程项目按国家及行业现行规范、合同约定及设计文件要求开展验收，通过资料核查、现场实体查验相结合的方式完成项目验收及交付工作。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899,821.86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2026年度蒲城县龙池镇五四村产业园区生产配套设施项目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标的名称：2026年度蒲城县龙池镇五四村产业园区生产配套设施项目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采购人只提供电源、水源。成交人在施工期间不得破坏原有建筑。</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1.合同履行期限：自合同签订后30个日历日内施工完毕。 2.合同履约地点：蒲城县龙池镇五四村。 3.支付方式：3.1甲乙双方合同签订后，达到付款条件起30日内，支付合同总金额的40%；3.2竣工验收合格后，达到付款条件起30日内，支付至合同总金额的97%；3.3审计完成后，达到付款条件起30日内，支付合同剩余金额款项。4、质量保修期： 4.1工程质量保修期符合国家标准要求。成交人承诺的质量保修期时间超过磋商文件规定的，按其承诺时间质保。成交人承诺的质保期起始时间为终验合格之日。 4.2工程质量等级达到合格或以上标准。 4.3成交人应遵照国家规范规定的建筑工程施工质量标准及要求作出明确承诺。 4.4在质量保修期内，成交人应具有良好、迅速的售后服务能力。 5、合同实施： 5.1.成交人应在合同签订后7个日历日内安排人员（项目组成人员简历表所列）就施工等进行安排、部署。 5.2.若因成交人原因未能在规定工期内完成合同规定的义务，由此对采购人造成的延误和一切损失，由成交人承担和赔偿。 6、违约责任： 6.1按《中华人民共和国民法典》中的相关条款执行。 6.2未按合同要求提供工程质量或工程质量不能满足技术要求，采购人有权终止合同，并对供方违约行为进行追究，同时按《中华人民共和国政府采购法》的有关规定进行处罚。6.3供应商须确保磋商响应文件中提供的资质证书等材料在合同签订及履行期间持续有效，否则采购人有权终止合同并要求赔偿。</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纸质响应文件采用书籍（胶装）方式装订成册，与电子响应文件一致的签字、盖章的完整版本（正本为红章，副本不作要求）。2、本项目采购标的对应的中小企业划分标准所属行业为（建筑业）。3、保证金退还3.1在磋商截止时间前撤回已提交磋商响应文件的供应商的磋商保证金，将在采购代理机构收到供应商书面撤回通知之日起5个工作日内退还。3.2所有未成交供应商的磋商保证金，将在成交通知书发出后5个工作日内退还。3.3成交的供应商的磋商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授权委托书.docx 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供应商具有建设行政主管部门核发的市政公用工程施工总承包二级（含）以上资质，并提供有效的安全生产许可证；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项目经理须具备市政公用工程专业二级（含）以上注册建造师资格,具有有效的安全生产考核合格证书（建安B证），在本单位注册，且未担任其他在建工程项目的书面声明；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响应文件封面 磋商报价说明.docx 中小企业声明函 残疾人福利性单位声明函 授权委托书.docx 报价函 1拒绝政府采购领域商业贿赂承诺书2采购活动的承诺函.docx 标的清单 商务标封皮.docx 响应函 响应偏离表.docx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授权委托书.docx 1拒绝政府采购领域商业贿赂承诺书2采购活动的承诺函.docx 竞争性磋商文件及合同条款的承诺.docx 工程量清单计价表.docx 响应偏离表.docx 响应文件封面 磋商报价说明.docx 残疾人福利性单位声明函 报价函 标的清单 商务标封皮.docx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响应优劣顺序推荐。评审得分且最后报价且技术响应得分均相同的，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详见附件：1拒绝政府采购领域商业贿赂承诺书2采购活动的承诺函.docx</w:t>
      </w:r>
    </w:p>
    <w:p>
      <w:pPr>
        <w:pStyle w:val="null3"/>
        <w:ind w:firstLine="960"/>
      </w:pPr>
      <w:r>
        <w:rPr>
          <w:rFonts w:ascii="仿宋_GB2312" w:hAnsi="仿宋_GB2312" w:cs="仿宋_GB2312" w:eastAsia="仿宋_GB2312"/>
        </w:rPr>
        <w:t>详见附件：磋商报价说明.docx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