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674243">
      <w:pPr>
        <w:pStyle w:val="8"/>
        <w:keepNext w:val="0"/>
        <w:keepLines w:val="0"/>
        <w:pageBreakBefore w:val="0"/>
        <w:widowControl/>
        <w:kinsoku/>
        <w:wordWrap/>
        <w:overflowPunct/>
        <w:topLinePunct w:val="0"/>
        <w:autoSpaceDE/>
        <w:autoSpaceDN/>
        <w:bidi w:val="0"/>
        <w:adjustRightInd w:val="0"/>
        <w:snapToGrid w:val="0"/>
        <w:spacing w:before="0" w:after="0" w:line="360" w:lineRule="auto"/>
        <w:ind w:firstLine="0"/>
        <w:jc w:val="center"/>
        <w:textAlignment w:val="auto"/>
        <w:rPr>
          <w:rFonts w:hint="eastAsia" w:ascii="仿宋_GB2312" w:hAnsi="仿宋_GB2312" w:eastAsia="仿宋_GB2312" w:cs="仿宋_GB2312"/>
          <w:b/>
          <w:bCs w:val="0"/>
          <w:color w:val="auto"/>
          <w:kern w:val="2"/>
          <w:sz w:val="28"/>
          <w:szCs w:val="28"/>
          <w:lang w:val="en-US" w:eastAsia="zh-CN" w:bidi="ar-SA"/>
        </w:rPr>
      </w:pPr>
      <w:r>
        <w:rPr>
          <w:rFonts w:hint="eastAsia" w:ascii="仿宋" w:hAnsi="仿宋" w:eastAsia="仿宋" w:cs="仿宋"/>
          <w:b/>
          <w:color w:val="auto"/>
          <w:sz w:val="28"/>
          <w:szCs w:val="28"/>
          <w:highlight w:val="none"/>
          <w:lang w:val="en-US" w:eastAsia="zh-CN"/>
        </w:rPr>
        <w:t xml:space="preserve">                    </w:t>
      </w:r>
      <w:r>
        <w:rPr>
          <w:rFonts w:hint="eastAsia" w:ascii="仿宋_GB2312" w:hAnsi="仿宋_GB2312" w:eastAsia="仿宋_GB2312" w:cs="仿宋_GB2312"/>
          <w:b/>
          <w:bCs w:val="0"/>
          <w:color w:val="auto"/>
          <w:kern w:val="2"/>
          <w:sz w:val="28"/>
          <w:szCs w:val="28"/>
          <w:lang w:val="en-US" w:eastAsia="zh-CN" w:bidi="ar-SA"/>
        </w:rPr>
        <w:t xml:space="preserve">  合同编号： </w:t>
      </w:r>
    </w:p>
    <w:p w14:paraId="761F3B29">
      <w:pPr>
        <w:pStyle w:val="9"/>
        <w:jc w:val="center"/>
        <w:outlineLvl w:val="2"/>
        <w:rPr>
          <w:rFonts w:hint="eastAsia" w:ascii="仿宋_GB2312" w:hAnsi="仿宋_GB2312" w:eastAsia="仿宋_GB2312" w:cs="仿宋_GB2312"/>
          <w:b/>
          <w:bCs w:val="0"/>
          <w:color w:val="auto"/>
          <w:kern w:val="2"/>
          <w:sz w:val="28"/>
          <w:szCs w:val="28"/>
          <w:lang w:val="en-US" w:eastAsia="zh-CN" w:bidi="ar-SA"/>
        </w:rPr>
      </w:pPr>
    </w:p>
    <w:p w14:paraId="5E6AC708">
      <w:pPr>
        <w:pStyle w:val="8"/>
        <w:keepNext w:val="0"/>
        <w:keepLines w:val="0"/>
        <w:pageBreakBefore w:val="0"/>
        <w:tabs>
          <w:tab w:val="left" w:pos="2728"/>
        </w:tabs>
        <w:kinsoku/>
        <w:wordWrap/>
        <w:overflowPunct/>
        <w:topLinePunct w:val="0"/>
        <w:bidi w:val="0"/>
        <w:spacing w:line="360" w:lineRule="auto"/>
        <w:ind w:firstLine="0"/>
        <w:jc w:val="both"/>
        <w:rPr>
          <w:rFonts w:hint="eastAsia" w:ascii="仿宋_GB2312" w:hAnsi="仿宋_GB2312" w:eastAsia="仿宋_GB2312" w:cs="仿宋_GB2312"/>
          <w:b/>
          <w:bCs w:val="0"/>
          <w:color w:val="auto"/>
          <w:kern w:val="2"/>
          <w:sz w:val="28"/>
          <w:szCs w:val="28"/>
          <w:lang w:val="en-US" w:eastAsia="zh-CN" w:bidi="ar-SA"/>
        </w:rPr>
      </w:pPr>
      <w:r>
        <w:rPr>
          <w:rFonts w:hint="eastAsia" w:ascii="仿宋_GB2312" w:hAnsi="仿宋_GB2312" w:eastAsia="仿宋_GB2312" w:cs="仿宋_GB2312"/>
          <w:b/>
          <w:bCs w:val="0"/>
          <w:color w:val="auto"/>
          <w:kern w:val="2"/>
          <w:sz w:val="28"/>
          <w:szCs w:val="28"/>
          <w:lang w:val="en-US" w:eastAsia="zh-CN" w:bidi="ar-SA"/>
        </w:rPr>
        <w:tab/>
      </w:r>
      <w:r>
        <w:rPr>
          <w:rFonts w:hint="eastAsia" w:ascii="仿宋_GB2312" w:hAnsi="仿宋_GB2312" w:eastAsia="仿宋_GB2312" w:cs="仿宋_GB2312"/>
          <w:b/>
          <w:bCs w:val="0"/>
          <w:color w:val="auto"/>
          <w:kern w:val="2"/>
          <w:sz w:val="28"/>
          <w:szCs w:val="28"/>
          <w:lang w:val="en-US" w:eastAsia="zh-CN" w:bidi="ar-SA"/>
        </w:rPr>
        <w:t xml:space="preserve">  </w:t>
      </w:r>
    </w:p>
    <w:p w14:paraId="33BF97DE">
      <w:pPr>
        <w:pStyle w:val="8"/>
        <w:keepNext w:val="0"/>
        <w:keepLines w:val="0"/>
        <w:pageBreakBefore w:val="0"/>
        <w:tabs>
          <w:tab w:val="left" w:pos="2728"/>
        </w:tabs>
        <w:kinsoku/>
        <w:wordWrap/>
        <w:overflowPunct/>
        <w:topLinePunct w:val="0"/>
        <w:bidi w:val="0"/>
        <w:spacing w:line="360" w:lineRule="auto"/>
        <w:ind w:firstLine="0"/>
        <w:jc w:val="both"/>
        <w:rPr>
          <w:rFonts w:hint="eastAsia" w:ascii="仿宋_GB2312" w:hAnsi="仿宋_GB2312" w:eastAsia="仿宋_GB2312" w:cs="仿宋_GB2312"/>
          <w:b/>
          <w:bCs w:val="0"/>
          <w:color w:val="auto"/>
          <w:kern w:val="2"/>
          <w:sz w:val="28"/>
          <w:szCs w:val="28"/>
          <w:lang w:val="en-US" w:eastAsia="zh-CN" w:bidi="ar-SA"/>
        </w:rPr>
      </w:pPr>
    </w:p>
    <w:p w14:paraId="0E22FDA9">
      <w:pPr>
        <w:pStyle w:val="8"/>
        <w:keepNext w:val="0"/>
        <w:keepLines w:val="0"/>
        <w:pageBreakBefore w:val="0"/>
        <w:tabs>
          <w:tab w:val="left" w:pos="2728"/>
        </w:tabs>
        <w:kinsoku/>
        <w:wordWrap/>
        <w:overflowPunct/>
        <w:topLinePunct w:val="0"/>
        <w:bidi w:val="0"/>
        <w:spacing w:line="360" w:lineRule="auto"/>
        <w:ind w:firstLine="0"/>
        <w:jc w:val="both"/>
        <w:rPr>
          <w:rFonts w:hint="default" w:ascii="仿宋_GB2312" w:hAnsi="仿宋_GB2312" w:eastAsia="仿宋_GB2312" w:cs="仿宋_GB2312"/>
          <w:b/>
          <w:bCs w:val="0"/>
          <w:color w:val="auto"/>
          <w:kern w:val="2"/>
          <w:sz w:val="28"/>
          <w:szCs w:val="28"/>
          <w:lang w:val="en-US" w:eastAsia="zh-CN" w:bidi="ar-SA"/>
        </w:rPr>
      </w:pPr>
    </w:p>
    <w:p w14:paraId="056FBE55">
      <w:pPr>
        <w:pStyle w:val="8"/>
        <w:keepNext w:val="0"/>
        <w:keepLines w:val="0"/>
        <w:pageBreakBefore w:val="0"/>
        <w:kinsoku/>
        <w:wordWrap/>
        <w:overflowPunct/>
        <w:topLinePunct w:val="0"/>
        <w:bidi w:val="0"/>
        <w:spacing w:line="360" w:lineRule="auto"/>
        <w:ind w:firstLine="0"/>
        <w:jc w:val="center"/>
        <w:rPr>
          <w:rFonts w:hint="eastAsia" w:ascii="仿宋_GB2312" w:hAnsi="仿宋_GB2312" w:eastAsia="仿宋_GB2312" w:cs="仿宋_GB2312"/>
          <w:b/>
          <w:bCs w:val="0"/>
          <w:color w:val="auto"/>
          <w:kern w:val="2"/>
          <w:sz w:val="44"/>
          <w:szCs w:val="44"/>
          <w:lang w:val="en-US" w:eastAsia="zh-CN" w:bidi="ar-SA"/>
        </w:rPr>
      </w:pPr>
      <w:r>
        <w:rPr>
          <w:rFonts w:hint="eastAsia" w:ascii="仿宋_GB2312" w:hAnsi="仿宋_GB2312" w:eastAsia="仿宋_GB2312" w:cs="仿宋_GB2312"/>
          <w:b/>
          <w:bCs w:val="0"/>
          <w:color w:val="auto"/>
          <w:kern w:val="2"/>
          <w:sz w:val="44"/>
          <w:szCs w:val="44"/>
          <w:lang w:val="en-US" w:eastAsia="zh-CN" w:bidi="ar-SA"/>
        </w:rPr>
        <w:t>雁塔校区2026年消防控制室值班及维保</w:t>
      </w:r>
    </w:p>
    <w:p w14:paraId="3B37D868">
      <w:pPr>
        <w:pStyle w:val="8"/>
        <w:keepNext w:val="0"/>
        <w:keepLines w:val="0"/>
        <w:pageBreakBefore w:val="0"/>
        <w:kinsoku/>
        <w:wordWrap/>
        <w:overflowPunct/>
        <w:topLinePunct w:val="0"/>
        <w:bidi w:val="0"/>
        <w:spacing w:line="360" w:lineRule="auto"/>
        <w:ind w:firstLine="0"/>
        <w:jc w:val="center"/>
        <w:rPr>
          <w:rFonts w:hint="eastAsia" w:ascii="仿宋_GB2312" w:hAnsi="仿宋_GB2312" w:eastAsia="仿宋_GB2312" w:cs="仿宋_GB2312"/>
          <w:b/>
          <w:bCs w:val="0"/>
          <w:color w:val="auto"/>
          <w:kern w:val="2"/>
          <w:sz w:val="32"/>
          <w:szCs w:val="32"/>
          <w:lang w:val="en-US" w:eastAsia="zh-CN" w:bidi="ar-SA"/>
        </w:rPr>
      </w:pPr>
      <w:r>
        <w:rPr>
          <w:rFonts w:hint="eastAsia" w:ascii="仿宋_GB2312" w:hAnsi="仿宋_GB2312" w:eastAsia="仿宋_GB2312" w:cs="仿宋_GB2312"/>
          <w:b/>
          <w:bCs w:val="0"/>
          <w:color w:val="auto"/>
          <w:kern w:val="2"/>
          <w:sz w:val="44"/>
          <w:szCs w:val="44"/>
          <w:lang w:val="en-US" w:eastAsia="zh-CN" w:bidi="ar-SA"/>
        </w:rPr>
        <w:t>服务项目</w:t>
      </w:r>
      <w:bookmarkStart w:id="0" w:name="_GoBack"/>
      <w:bookmarkEnd w:id="0"/>
    </w:p>
    <w:p w14:paraId="28450EC2">
      <w:pPr>
        <w:pStyle w:val="8"/>
        <w:pageBreakBefore w:val="0"/>
        <w:kinsoku/>
        <w:overflowPunct/>
        <w:bidi w:val="0"/>
        <w:spacing w:line="500" w:lineRule="exact"/>
        <w:ind w:firstLine="0"/>
        <w:jc w:val="both"/>
        <w:rPr>
          <w:rFonts w:hint="eastAsia" w:ascii="仿宋_GB2312" w:hAnsi="仿宋_GB2312" w:eastAsia="仿宋_GB2312" w:cs="仿宋_GB2312"/>
          <w:b/>
          <w:bCs w:val="0"/>
          <w:color w:val="auto"/>
          <w:kern w:val="2"/>
          <w:sz w:val="28"/>
          <w:szCs w:val="28"/>
          <w:lang w:val="en-US" w:eastAsia="zh-CN" w:bidi="ar-SA"/>
        </w:rPr>
      </w:pPr>
    </w:p>
    <w:p w14:paraId="168118D9">
      <w:pPr>
        <w:pStyle w:val="8"/>
        <w:pageBreakBefore w:val="0"/>
        <w:kinsoku/>
        <w:overflowPunct/>
        <w:bidi w:val="0"/>
        <w:spacing w:line="500" w:lineRule="exact"/>
        <w:ind w:firstLine="0"/>
        <w:jc w:val="both"/>
        <w:rPr>
          <w:rFonts w:hint="eastAsia" w:ascii="仿宋_GB2312" w:hAnsi="仿宋_GB2312" w:eastAsia="仿宋_GB2312" w:cs="仿宋_GB2312"/>
          <w:b/>
          <w:bCs w:val="0"/>
          <w:color w:val="auto"/>
          <w:kern w:val="2"/>
          <w:sz w:val="28"/>
          <w:szCs w:val="28"/>
          <w:lang w:val="en-US" w:eastAsia="zh-CN" w:bidi="ar-SA"/>
        </w:rPr>
      </w:pPr>
    </w:p>
    <w:p w14:paraId="671673B0">
      <w:pPr>
        <w:pStyle w:val="8"/>
        <w:pageBreakBefore w:val="0"/>
        <w:kinsoku/>
        <w:overflowPunct/>
        <w:bidi w:val="0"/>
        <w:spacing w:line="500" w:lineRule="exact"/>
        <w:ind w:firstLine="0"/>
        <w:jc w:val="both"/>
        <w:rPr>
          <w:rFonts w:hint="eastAsia" w:ascii="仿宋_GB2312" w:hAnsi="仿宋_GB2312" w:eastAsia="仿宋_GB2312" w:cs="仿宋_GB2312"/>
          <w:b/>
          <w:bCs w:val="0"/>
          <w:color w:val="auto"/>
          <w:kern w:val="2"/>
          <w:sz w:val="28"/>
          <w:szCs w:val="28"/>
          <w:lang w:val="en-US" w:eastAsia="zh-CN" w:bidi="ar-SA"/>
        </w:rPr>
      </w:pPr>
    </w:p>
    <w:p w14:paraId="696B0A79">
      <w:pPr>
        <w:pStyle w:val="8"/>
        <w:pageBreakBefore w:val="0"/>
        <w:kinsoku/>
        <w:overflowPunct/>
        <w:bidi w:val="0"/>
        <w:spacing w:line="500" w:lineRule="exact"/>
        <w:ind w:firstLine="0"/>
        <w:jc w:val="both"/>
        <w:rPr>
          <w:rFonts w:hint="eastAsia" w:ascii="仿宋_GB2312" w:hAnsi="仿宋_GB2312" w:eastAsia="仿宋_GB2312" w:cs="仿宋_GB2312"/>
          <w:b/>
          <w:bCs w:val="0"/>
          <w:color w:val="auto"/>
          <w:kern w:val="2"/>
          <w:sz w:val="28"/>
          <w:szCs w:val="28"/>
          <w:lang w:val="en-US" w:eastAsia="zh-CN" w:bidi="ar-SA"/>
        </w:rPr>
      </w:pPr>
    </w:p>
    <w:p w14:paraId="31298F61">
      <w:pPr>
        <w:pStyle w:val="5"/>
        <w:pageBreakBefore w:val="0"/>
        <w:kinsoku/>
        <w:overflowPunct/>
        <w:bidi w:val="0"/>
        <w:spacing w:line="500" w:lineRule="exact"/>
        <w:ind w:left="0" w:leftChars="0" w:firstLine="0" w:firstLineChars="0"/>
        <w:jc w:val="center"/>
        <w:rPr>
          <w:rFonts w:hint="default" w:ascii="仿宋_GB2312" w:hAnsi="仿宋_GB2312" w:eastAsia="仿宋_GB2312" w:cs="仿宋_GB2312"/>
          <w:b/>
          <w:bCs w:val="0"/>
          <w:color w:val="auto"/>
          <w:kern w:val="2"/>
          <w:sz w:val="36"/>
          <w:szCs w:val="36"/>
          <w:lang w:val="en-US" w:eastAsia="zh-CN" w:bidi="ar-SA"/>
        </w:rPr>
      </w:pPr>
      <w:r>
        <w:rPr>
          <w:rFonts w:hint="eastAsia" w:ascii="仿宋_GB2312" w:hAnsi="仿宋_GB2312" w:eastAsia="仿宋_GB2312" w:cs="仿宋_GB2312"/>
          <w:b/>
          <w:bCs w:val="0"/>
          <w:color w:val="auto"/>
          <w:kern w:val="2"/>
          <w:sz w:val="36"/>
          <w:szCs w:val="36"/>
          <w:lang w:val="en-US" w:eastAsia="zh-CN" w:bidi="ar-SA"/>
        </w:rPr>
        <w:t>采 购 合 同</w:t>
      </w:r>
    </w:p>
    <w:p w14:paraId="1B7B3D1E">
      <w:pPr>
        <w:pageBreakBefore w:val="0"/>
        <w:kinsoku/>
        <w:overflowPunct/>
        <w:bidi w:val="0"/>
        <w:spacing w:line="500" w:lineRule="exact"/>
        <w:rPr>
          <w:rFonts w:hint="eastAsia" w:ascii="仿宋_GB2312" w:hAnsi="仿宋_GB2312" w:eastAsia="仿宋_GB2312" w:cs="仿宋_GB2312"/>
          <w:b/>
          <w:bCs w:val="0"/>
          <w:color w:val="auto"/>
          <w:kern w:val="2"/>
          <w:sz w:val="28"/>
          <w:szCs w:val="28"/>
          <w:lang w:val="en-US" w:eastAsia="zh-CN" w:bidi="ar-SA"/>
        </w:rPr>
      </w:pPr>
    </w:p>
    <w:p w14:paraId="075274F2">
      <w:pPr>
        <w:pageBreakBefore w:val="0"/>
        <w:kinsoku/>
        <w:overflowPunct/>
        <w:bidi w:val="0"/>
        <w:spacing w:line="500" w:lineRule="exact"/>
        <w:rPr>
          <w:color w:val="auto"/>
          <w:highlight w:val="none"/>
        </w:rPr>
      </w:pPr>
    </w:p>
    <w:p w14:paraId="63EA8783">
      <w:pPr>
        <w:pageBreakBefore w:val="0"/>
        <w:kinsoku/>
        <w:overflowPunct/>
        <w:bidi w:val="0"/>
        <w:spacing w:line="500" w:lineRule="exact"/>
        <w:rPr>
          <w:color w:val="auto"/>
          <w:highlight w:val="none"/>
        </w:rPr>
      </w:pPr>
    </w:p>
    <w:p w14:paraId="7394F303">
      <w:pPr>
        <w:pageBreakBefore w:val="0"/>
        <w:kinsoku/>
        <w:overflowPunct/>
        <w:bidi w:val="0"/>
        <w:spacing w:line="500" w:lineRule="exact"/>
        <w:rPr>
          <w:color w:val="auto"/>
          <w:highlight w:val="none"/>
        </w:rPr>
      </w:pPr>
    </w:p>
    <w:p w14:paraId="0517A477">
      <w:pPr>
        <w:pStyle w:val="3"/>
        <w:pageBreakBefore w:val="0"/>
        <w:kinsoku/>
        <w:overflowPunct/>
        <w:bidi w:val="0"/>
        <w:spacing w:line="500" w:lineRule="exact"/>
        <w:rPr>
          <w:color w:val="auto"/>
          <w:highlight w:val="none"/>
        </w:rPr>
      </w:pPr>
    </w:p>
    <w:p w14:paraId="1030546D">
      <w:pPr>
        <w:pageBreakBefore w:val="0"/>
        <w:kinsoku/>
        <w:overflowPunct/>
        <w:bidi w:val="0"/>
        <w:spacing w:line="500" w:lineRule="exact"/>
        <w:rPr>
          <w:color w:val="auto"/>
          <w:highlight w:val="none"/>
        </w:rPr>
      </w:pPr>
    </w:p>
    <w:p w14:paraId="42F5FA46">
      <w:pPr>
        <w:pageBreakBefore w:val="0"/>
        <w:kinsoku/>
        <w:overflowPunct/>
        <w:bidi w:val="0"/>
        <w:spacing w:line="500" w:lineRule="exact"/>
        <w:rPr>
          <w:color w:val="auto"/>
          <w:highlight w:val="none"/>
        </w:rPr>
      </w:pPr>
    </w:p>
    <w:p w14:paraId="78476071">
      <w:pPr>
        <w:pStyle w:val="8"/>
        <w:keepNext w:val="0"/>
        <w:keepLines w:val="0"/>
        <w:pageBreakBefore w:val="0"/>
        <w:widowControl/>
        <w:kinsoku/>
        <w:wordWrap/>
        <w:overflowPunct/>
        <w:topLinePunct w:val="0"/>
        <w:autoSpaceDE/>
        <w:autoSpaceDN/>
        <w:bidi w:val="0"/>
        <w:adjustRightInd w:val="0"/>
        <w:snapToGrid w:val="0"/>
        <w:spacing w:before="0" w:after="0" w:line="360" w:lineRule="auto"/>
        <w:ind w:left="0" w:leftChars="0" w:firstLine="2249" w:firstLineChars="800"/>
        <w:jc w:val="both"/>
        <w:textAlignment w:val="auto"/>
        <w:rPr>
          <w:rFonts w:hint="default" w:ascii="仿宋_GB2312" w:hAnsi="仿宋_GB2312" w:eastAsia="仿宋_GB2312" w:cs="仿宋_GB2312"/>
          <w:b/>
          <w:bCs w:val="0"/>
          <w:color w:val="auto"/>
          <w:kern w:val="2"/>
          <w:sz w:val="28"/>
          <w:szCs w:val="28"/>
          <w:u w:val="single"/>
          <w:lang w:val="en-US" w:eastAsia="zh-CN" w:bidi="ar-SA"/>
        </w:rPr>
      </w:pPr>
      <w:r>
        <w:rPr>
          <w:rFonts w:hint="eastAsia" w:ascii="仿宋_GB2312" w:hAnsi="仿宋_GB2312" w:eastAsia="仿宋_GB2312" w:cs="仿宋_GB2312"/>
          <w:b/>
          <w:bCs w:val="0"/>
          <w:color w:val="auto"/>
          <w:kern w:val="2"/>
          <w:sz w:val="28"/>
          <w:szCs w:val="28"/>
          <w:lang w:val="en-US" w:eastAsia="zh-CN" w:bidi="ar-SA"/>
        </w:rPr>
        <w:t>甲方：</w:t>
      </w:r>
      <w:r>
        <w:rPr>
          <w:rFonts w:hint="eastAsia" w:ascii="仿宋_GB2312" w:hAnsi="仿宋_GB2312" w:eastAsia="仿宋_GB2312" w:cs="仿宋_GB2312"/>
          <w:b/>
          <w:bCs w:val="0"/>
          <w:color w:val="auto"/>
          <w:kern w:val="2"/>
          <w:sz w:val="28"/>
          <w:szCs w:val="28"/>
          <w:u w:val="single"/>
          <w:lang w:val="en-US" w:eastAsia="zh-CN" w:bidi="ar-SA"/>
        </w:rPr>
        <w:t xml:space="preserve">                    </w:t>
      </w:r>
    </w:p>
    <w:p w14:paraId="708B4E41">
      <w:pPr>
        <w:pStyle w:val="8"/>
        <w:keepNext w:val="0"/>
        <w:keepLines w:val="0"/>
        <w:pageBreakBefore w:val="0"/>
        <w:widowControl/>
        <w:kinsoku/>
        <w:wordWrap/>
        <w:overflowPunct/>
        <w:topLinePunct w:val="0"/>
        <w:autoSpaceDE/>
        <w:autoSpaceDN/>
        <w:bidi w:val="0"/>
        <w:adjustRightInd w:val="0"/>
        <w:snapToGrid w:val="0"/>
        <w:spacing w:before="0" w:after="0" w:line="360" w:lineRule="auto"/>
        <w:ind w:left="0" w:leftChars="0" w:firstLine="2249" w:firstLineChars="800"/>
        <w:jc w:val="both"/>
        <w:textAlignment w:val="auto"/>
        <w:rPr>
          <w:rFonts w:hint="default" w:ascii="仿宋_GB2312" w:hAnsi="仿宋_GB2312" w:eastAsia="仿宋_GB2312" w:cs="仿宋_GB2312"/>
          <w:b/>
          <w:bCs w:val="0"/>
          <w:color w:val="auto"/>
          <w:kern w:val="2"/>
          <w:sz w:val="28"/>
          <w:szCs w:val="28"/>
          <w:u w:val="single"/>
          <w:lang w:val="en-US" w:eastAsia="zh-CN" w:bidi="ar-SA"/>
        </w:rPr>
      </w:pPr>
      <w:r>
        <w:rPr>
          <w:rFonts w:hint="eastAsia" w:ascii="仿宋_GB2312" w:hAnsi="仿宋_GB2312" w:eastAsia="仿宋_GB2312" w:cs="仿宋_GB2312"/>
          <w:b/>
          <w:bCs w:val="0"/>
          <w:color w:val="auto"/>
          <w:kern w:val="2"/>
          <w:sz w:val="28"/>
          <w:szCs w:val="28"/>
          <w:lang w:val="en-US" w:eastAsia="zh-CN" w:bidi="ar-SA"/>
        </w:rPr>
        <w:fldChar w:fldCharType="begin"/>
      </w:r>
      <w:r>
        <w:rPr>
          <w:rFonts w:hint="eastAsia" w:ascii="仿宋_GB2312" w:hAnsi="仿宋_GB2312" w:eastAsia="仿宋_GB2312" w:cs="仿宋_GB2312"/>
          <w:b/>
          <w:bCs w:val="0"/>
          <w:color w:val="auto"/>
          <w:kern w:val="2"/>
          <w:sz w:val="28"/>
          <w:szCs w:val="28"/>
          <w:lang w:val="en-US" w:eastAsia="zh-CN" w:bidi="ar-SA"/>
        </w:rPr>
        <w:instrText xml:space="preserve"> HYPERLINK "http://set2.mail.qq.com/cgi-bin/mail_spam?action=check_link&amp;spam=0&amp;url=http://www.baidu.com/s?wd=%E4%B9%99%E6%96%B9&amp;hl_tag=textlink&amp;tn=SE_hldp01350_v6v6zkg6" </w:instrText>
      </w:r>
      <w:r>
        <w:rPr>
          <w:rFonts w:hint="eastAsia" w:ascii="仿宋_GB2312" w:hAnsi="仿宋_GB2312" w:eastAsia="仿宋_GB2312" w:cs="仿宋_GB2312"/>
          <w:b/>
          <w:bCs w:val="0"/>
          <w:color w:val="auto"/>
          <w:kern w:val="2"/>
          <w:sz w:val="28"/>
          <w:szCs w:val="28"/>
          <w:lang w:val="en-US" w:eastAsia="zh-CN" w:bidi="ar-SA"/>
        </w:rPr>
        <w:fldChar w:fldCharType="separate"/>
      </w:r>
      <w:r>
        <w:rPr>
          <w:rFonts w:hint="default" w:ascii="仿宋_GB2312" w:hAnsi="仿宋_GB2312" w:eastAsia="仿宋_GB2312" w:cs="仿宋_GB2312"/>
          <w:b/>
          <w:bCs w:val="0"/>
          <w:color w:val="auto"/>
          <w:kern w:val="2"/>
          <w:sz w:val="28"/>
          <w:szCs w:val="28"/>
          <w:lang w:val="en-US" w:eastAsia="zh-CN" w:bidi="ar-SA"/>
        </w:rPr>
        <w:t>乙方</w:t>
      </w:r>
      <w:r>
        <w:rPr>
          <w:rFonts w:hint="eastAsia" w:ascii="仿宋_GB2312" w:hAnsi="仿宋_GB2312" w:eastAsia="仿宋_GB2312" w:cs="仿宋_GB2312"/>
          <w:b/>
          <w:bCs w:val="0"/>
          <w:color w:val="auto"/>
          <w:kern w:val="2"/>
          <w:sz w:val="28"/>
          <w:szCs w:val="28"/>
          <w:lang w:val="en-US" w:eastAsia="zh-CN" w:bidi="ar-SA"/>
        </w:rPr>
        <w:fldChar w:fldCharType="end"/>
      </w:r>
      <w:r>
        <w:rPr>
          <w:rFonts w:hint="eastAsia" w:ascii="仿宋_GB2312" w:hAnsi="仿宋_GB2312" w:eastAsia="仿宋_GB2312" w:cs="仿宋_GB2312"/>
          <w:b/>
          <w:bCs w:val="0"/>
          <w:color w:val="auto"/>
          <w:kern w:val="2"/>
          <w:sz w:val="28"/>
          <w:szCs w:val="28"/>
          <w:lang w:val="en-US" w:eastAsia="zh-CN" w:bidi="ar-SA"/>
        </w:rPr>
        <w:t>：</w:t>
      </w:r>
      <w:r>
        <w:rPr>
          <w:rFonts w:hint="eastAsia" w:ascii="仿宋_GB2312" w:hAnsi="仿宋_GB2312" w:eastAsia="仿宋_GB2312" w:cs="仿宋_GB2312"/>
          <w:b/>
          <w:bCs w:val="0"/>
          <w:color w:val="auto"/>
          <w:kern w:val="2"/>
          <w:sz w:val="28"/>
          <w:szCs w:val="28"/>
          <w:u w:val="single"/>
          <w:lang w:val="en-US" w:eastAsia="zh-CN" w:bidi="ar-SA"/>
        </w:rPr>
        <w:t xml:space="preserve">                     </w:t>
      </w:r>
    </w:p>
    <w:p w14:paraId="757141CA">
      <w:pPr>
        <w:pStyle w:val="8"/>
        <w:keepNext w:val="0"/>
        <w:keepLines w:val="0"/>
        <w:pageBreakBefore w:val="0"/>
        <w:widowControl/>
        <w:kinsoku/>
        <w:wordWrap/>
        <w:overflowPunct/>
        <w:topLinePunct w:val="0"/>
        <w:autoSpaceDE/>
        <w:autoSpaceDN/>
        <w:bidi w:val="0"/>
        <w:adjustRightInd w:val="0"/>
        <w:snapToGrid w:val="0"/>
        <w:spacing w:before="0" w:after="0" w:line="360" w:lineRule="auto"/>
        <w:ind w:firstLine="0"/>
        <w:jc w:val="center"/>
        <w:textAlignment w:val="auto"/>
        <w:rPr>
          <w:rFonts w:ascii="仿宋_GB2312" w:hAnsi="仿宋_GB2312" w:eastAsia="仿宋_GB2312" w:cs="仿宋_GB2312"/>
          <w:color w:val="auto"/>
        </w:rPr>
      </w:pPr>
      <w:r>
        <w:rPr>
          <w:rFonts w:hint="eastAsia" w:ascii="仿宋_GB2312" w:hAnsi="仿宋_GB2312" w:eastAsia="仿宋_GB2312" w:cs="仿宋_GB2312"/>
          <w:b/>
          <w:bCs w:val="0"/>
          <w:color w:val="auto"/>
          <w:kern w:val="2"/>
          <w:sz w:val="28"/>
          <w:szCs w:val="28"/>
          <w:lang w:val="en-US" w:eastAsia="zh-CN" w:bidi="ar-SA"/>
        </w:rPr>
        <w:t>签订时间：</w:t>
      </w:r>
      <w:r>
        <w:rPr>
          <w:rFonts w:hint="eastAsia" w:ascii="仿宋_GB2312" w:hAnsi="仿宋_GB2312" w:eastAsia="仿宋_GB2312" w:cs="仿宋_GB2312"/>
          <w:b/>
          <w:bCs w:val="0"/>
          <w:color w:val="auto"/>
          <w:kern w:val="2"/>
          <w:sz w:val="28"/>
          <w:szCs w:val="28"/>
          <w:u w:val="single"/>
          <w:lang w:val="en-US" w:eastAsia="zh-CN" w:bidi="ar-SA"/>
        </w:rPr>
        <w:t xml:space="preserve">     </w:t>
      </w:r>
      <w:r>
        <w:rPr>
          <w:rFonts w:hint="eastAsia" w:ascii="仿宋_GB2312" w:hAnsi="仿宋_GB2312" w:eastAsia="仿宋_GB2312" w:cs="仿宋_GB2312"/>
          <w:b/>
          <w:bCs w:val="0"/>
          <w:color w:val="auto"/>
          <w:kern w:val="2"/>
          <w:sz w:val="28"/>
          <w:szCs w:val="28"/>
          <w:lang w:val="en-US" w:eastAsia="zh-CN" w:bidi="ar-SA"/>
        </w:rPr>
        <w:t>年</w:t>
      </w:r>
      <w:r>
        <w:rPr>
          <w:rFonts w:hint="eastAsia" w:ascii="仿宋_GB2312" w:hAnsi="仿宋_GB2312" w:eastAsia="仿宋_GB2312" w:cs="仿宋_GB2312"/>
          <w:b/>
          <w:bCs w:val="0"/>
          <w:color w:val="auto"/>
          <w:kern w:val="2"/>
          <w:sz w:val="28"/>
          <w:szCs w:val="28"/>
          <w:u w:val="single"/>
          <w:lang w:val="en-US" w:eastAsia="zh-CN" w:bidi="ar-SA"/>
        </w:rPr>
        <w:t xml:space="preserve">   </w:t>
      </w:r>
      <w:r>
        <w:rPr>
          <w:rFonts w:hint="eastAsia" w:ascii="仿宋_GB2312" w:hAnsi="仿宋_GB2312" w:eastAsia="仿宋_GB2312" w:cs="仿宋_GB2312"/>
          <w:b/>
          <w:bCs w:val="0"/>
          <w:color w:val="auto"/>
          <w:kern w:val="2"/>
          <w:sz w:val="28"/>
          <w:szCs w:val="28"/>
          <w:lang w:val="en-US" w:eastAsia="zh-CN" w:bidi="ar-SA"/>
        </w:rPr>
        <w:t>月</w:t>
      </w:r>
      <w:r>
        <w:rPr>
          <w:rFonts w:hint="eastAsia" w:ascii="仿宋_GB2312" w:hAnsi="仿宋_GB2312" w:eastAsia="仿宋_GB2312" w:cs="仿宋_GB2312"/>
          <w:b/>
          <w:bCs w:val="0"/>
          <w:color w:val="auto"/>
          <w:kern w:val="2"/>
          <w:sz w:val="28"/>
          <w:szCs w:val="28"/>
          <w:u w:val="single"/>
          <w:lang w:val="en-US" w:eastAsia="zh-CN" w:bidi="ar-SA"/>
        </w:rPr>
        <w:t xml:space="preserve">   </w:t>
      </w:r>
      <w:r>
        <w:rPr>
          <w:rFonts w:hint="eastAsia" w:ascii="仿宋_GB2312" w:hAnsi="仿宋_GB2312" w:eastAsia="仿宋_GB2312" w:cs="仿宋_GB2312"/>
          <w:b/>
          <w:bCs w:val="0"/>
          <w:color w:val="auto"/>
          <w:kern w:val="2"/>
          <w:sz w:val="28"/>
          <w:szCs w:val="28"/>
          <w:lang w:val="en-US" w:eastAsia="zh-CN" w:bidi="ar-SA"/>
        </w:rPr>
        <w:t>日</w:t>
      </w:r>
    </w:p>
    <w:p w14:paraId="3110DD7B">
      <w:pPr>
        <w:pStyle w:val="2"/>
        <w:numPr>
          <w:ilvl w:val="0"/>
          <w:numId w:val="0"/>
        </w:numPr>
        <w:spacing w:line="360" w:lineRule="auto"/>
        <w:jc w:val="center"/>
        <w:rPr>
          <w:rFonts w:hint="eastAsia" w:ascii="宋体" w:hAnsi="宋体" w:eastAsia="宋体" w:cs="宋体"/>
          <w:b/>
          <w:bCs/>
          <w:color w:val="auto"/>
          <w:sz w:val="28"/>
          <w:szCs w:val="36"/>
          <w:highlight w:val="none"/>
        </w:rPr>
      </w:pPr>
      <w:r>
        <w:rPr>
          <w:rFonts w:ascii="仿宋_GB2312" w:hAnsi="仿宋_GB2312" w:eastAsia="仿宋_GB2312" w:cs="仿宋_GB2312"/>
          <w:color w:val="auto"/>
        </w:rPr>
        <w:br w:type="page"/>
      </w:r>
      <w:r>
        <w:rPr>
          <w:rFonts w:hint="eastAsia" w:ascii="仿宋_GB2312" w:hAnsi="仿宋_GB2312" w:eastAsia="仿宋_GB2312" w:cs="仿宋_GB2312"/>
          <w:b/>
          <w:bCs/>
          <w:color w:val="auto"/>
          <w:sz w:val="28"/>
          <w:szCs w:val="20"/>
          <w:lang w:val="en-US" w:eastAsia="zh-CN"/>
        </w:rPr>
        <w:t>合同主要条款</w:t>
      </w:r>
    </w:p>
    <w:p w14:paraId="4FEA6160">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（本格式条款仅作为双方签订合同的参考，为阐明各方的权利和义务，经协商可增加新的条款。 但不得与竞争性磋商文件、响应文件的实质性内容相背离）</w:t>
      </w:r>
    </w:p>
    <w:p w14:paraId="5961FE60">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甲</w:t>
      </w:r>
      <w:r>
        <w:rPr>
          <w:rFonts w:hint="eastAsia" w:ascii="仿宋_GB2312" w:hAnsi="仿宋_GB2312" w:eastAsia="仿宋_GB2312" w:cs="仿宋_GB2312"/>
          <w:color w:val="auto"/>
          <w:sz w:val="24"/>
          <w:szCs w:val="24"/>
        </w:rPr>
        <w:t>方：</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（以下简称甲方）</w:t>
      </w:r>
    </w:p>
    <w:p w14:paraId="581F3D7F">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乙</w:t>
      </w:r>
      <w:r>
        <w:rPr>
          <w:rFonts w:hint="eastAsia" w:ascii="仿宋_GB2312" w:hAnsi="仿宋_GB2312" w:eastAsia="仿宋_GB2312" w:cs="仿宋_GB2312"/>
          <w:color w:val="auto"/>
          <w:sz w:val="24"/>
          <w:szCs w:val="24"/>
        </w:rPr>
        <w:t>方：</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（以下简称乙方）</w:t>
      </w:r>
    </w:p>
    <w:p w14:paraId="63F1D9EE">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依据《中华人民共和国</w:t>
      </w:r>
      <w:r>
        <w:rPr>
          <w:rFonts w:hint="eastAsia" w:ascii="仿宋_GB2312" w:hAnsi="仿宋_GB2312" w:eastAsia="仿宋_GB2312" w:cs="仿宋_GB2312"/>
          <w:color w:val="auto"/>
          <w:sz w:val="24"/>
          <w:szCs w:val="24"/>
          <w:lang w:val="en-US"/>
        </w:rPr>
        <w:t>民法典</w:t>
      </w:r>
      <w:r>
        <w:rPr>
          <w:rFonts w:hint="eastAsia" w:ascii="仿宋_GB2312" w:hAnsi="仿宋_GB2312" w:eastAsia="仿宋_GB2312" w:cs="仿宋_GB2312"/>
          <w:color w:val="auto"/>
          <w:sz w:val="24"/>
          <w:szCs w:val="24"/>
        </w:rPr>
        <w:t>》和《中华人民共和国政府采购法》及相关法律法规的规定，结合该</w:t>
      </w:r>
      <w:r>
        <w:rPr>
          <w:rFonts w:hint="eastAsia" w:ascii="仿宋_GB2312" w:hAnsi="仿宋_GB2312" w:eastAsia="仿宋_GB2312" w:cs="仿宋_GB2312"/>
          <w:color w:val="auto"/>
          <w:sz w:val="24"/>
          <w:szCs w:val="24"/>
          <w:lang w:eastAsia="zh-CN"/>
        </w:rPr>
        <w:t>项目</w:t>
      </w:r>
      <w:r>
        <w:rPr>
          <w:rFonts w:hint="eastAsia" w:ascii="仿宋_GB2312" w:hAnsi="仿宋_GB2312" w:eastAsia="仿宋_GB2312" w:cs="仿宋_GB2312"/>
          <w:color w:val="auto"/>
          <w:sz w:val="24"/>
          <w:szCs w:val="24"/>
        </w:rPr>
        <w:t>的具体情况，为明确责任、分工协作，协作配合，经双方协商一致，就本</w:t>
      </w:r>
      <w:r>
        <w:rPr>
          <w:rFonts w:hint="eastAsia" w:ascii="仿宋_GB2312" w:hAnsi="仿宋_GB2312" w:eastAsia="仿宋_GB2312" w:cs="仿宋_GB2312"/>
          <w:color w:val="auto"/>
          <w:sz w:val="24"/>
          <w:szCs w:val="24"/>
          <w:lang w:eastAsia="zh-CN"/>
        </w:rPr>
        <w:t>项目</w:t>
      </w:r>
      <w:r>
        <w:rPr>
          <w:rFonts w:hint="eastAsia" w:ascii="仿宋_GB2312" w:hAnsi="仿宋_GB2312" w:eastAsia="仿宋_GB2312" w:cs="仿宋_GB2312"/>
          <w:color w:val="auto"/>
          <w:sz w:val="24"/>
          <w:szCs w:val="24"/>
        </w:rPr>
        <w:t>监测工作签订合同，共同遵守。</w:t>
      </w:r>
    </w:p>
    <w:p w14:paraId="1497BC1F">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一、服务条件：</w:t>
      </w:r>
    </w:p>
    <w:p w14:paraId="60A1DCB5">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（一）服务地点：</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en-US" w:eastAsia="zh-CN"/>
        </w:rPr>
        <w:t>。</w:t>
      </w:r>
    </w:p>
    <w:p w14:paraId="01761DB3">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（二）合同履行期限：</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en-US" w:eastAsia="zh-CN"/>
        </w:rPr>
        <w:t xml:space="preserve"> 。</w:t>
      </w:r>
    </w:p>
    <w:p w14:paraId="6C2E38A0">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二、合同价款</w:t>
      </w:r>
    </w:p>
    <w:p w14:paraId="5FC3CCCC">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（一）合同总价款为：人民币大写</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en-US" w:eastAsia="zh-CN"/>
        </w:rPr>
        <w:t>（小写：</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en-US" w:eastAsia="zh-CN"/>
        </w:rPr>
        <w:t>元）；</w:t>
      </w:r>
    </w:p>
    <w:p w14:paraId="18D008DF">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（二）合同内容包括：</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en-US" w:eastAsia="zh-CN"/>
        </w:rPr>
        <w:t xml:space="preserve"> 。</w:t>
      </w:r>
    </w:p>
    <w:p w14:paraId="1DAF3FFD">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（三）合同总价一次性包死，不受市场价格变化因素的影响。</w:t>
      </w:r>
    </w:p>
    <w:p w14:paraId="1DF60F4F">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（四）合同价款是完成采购内容所需的全部费用，包括但不限于人工费、设计费、管理费、税金等一切相关费用。</w:t>
      </w:r>
    </w:p>
    <w:p w14:paraId="6E7ED43A">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三、款项结算</w:t>
      </w:r>
    </w:p>
    <w:p w14:paraId="5EA5E66F">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（一）合同款的支付：</w:t>
      </w:r>
    </w:p>
    <w:p w14:paraId="3280B7C6">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 付款条件说明： 每月15日前以转账结算方式向乙方支付上个月服务费（付前供应商应向采购人提供等额增值税发票，如遇学院寒暑假顺延至开学支付） ，达到付款条件起 10 日内，支付合同总金额的 8.30%。</w:t>
      </w:r>
    </w:p>
    <w:p w14:paraId="0B67F1FF">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 付款条件说明： 每月15日前以转账结算方式向乙方支付上个月服务费（付款前供应商应向采购人提供等额增值税发票，如遇学院寒暑假顺延至开学支付） ，达到付款条件起 10 日内，支付合同总金额的 8.30%。</w:t>
      </w:r>
    </w:p>
    <w:p w14:paraId="03A3D822">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 付款条件说明： 每月15日前以转账结算方式向乙方支付上个月服务费（付款前供应商应向采购人提供等额增值税发票，如遇学院寒暑假顺延至开学支付） ，达到付款条件起 10 日内，支付合同总金额的 8.30%。</w:t>
      </w:r>
    </w:p>
    <w:p w14:paraId="22E93D05">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4. 付款条件说明： 每月15日前以转账结算方式向乙方支付上个月服务费（付款前供应商应向采购人提供等额增值税发票，如遇学院寒暑假顺延至开学支付） ，达到付款条件起 10 日内，支付合同总金额的 8.30%。</w:t>
      </w:r>
    </w:p>
    <w:p w14:paraId="7505B8D9">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 付款条件说明： 每月15日前以转账结算方式向乙方支付上个月服务费（付款前供应商应向采购人提供等额增值税发票，如遇学院寒暑假顺延至开学支付） ，达到付款条件起 10 日内，支付合同总金额的 8.30%。</w:t>
      </w:r>
    </w:p>
    <w:p w14:paraId="1FAE66C6">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6. 付款条件说明： 每月15日前以转账结算方式向乙方支付上个月服务费（付款前供应商应向采购人提供等额增值税发票，如遇学院寒暑假顺延至开学支付） ，达到付款条件起 10 日内，支付合同总金额的 8.30%。</w:t>
      </w:r>
    </w:p>
    <w:p w14:paraId="19C54A2B">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7. 付款条件说明： 每月15日前以转账结算方式向乙方支付上个月服务费（付款前供应商应向采购人提供等额增值税发票，如遇学院寒暑假顺延至开学支付） ，达到付款条件起 10 日内，支付合同总金额的 8.30%。</w:t>
      </w:r>
    </w:p>
    <w:p w14:paraId="6DDBDFC6">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8. 付款条件说明： 每月15日前以转账结算方式向乙方支付上个月服务费（付款前供应商应向采购人提供等额增值税发票，如遇学院寒暑假顺延至开学支付） ，达到付款条件起 10 日内，支付合同总金额的 8.30%。</w:t>
      </w:r>
    </w:p>
    <w:p w14:paraId="2B612E0B">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9. 付款条件说明： 每月15日前以转账结算方式向乙方支付上个月服务费（付款前供应商应向采购人提供等额增值税发票，如遇学院寒暑假顺延至开学支付） ，达到付款条件起 10 日内，支付合同总金额的 8.30%。</w:t>
      </w:r>
    </w:p>
    <w:p w14:paraId="7C12774B">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10. 付款条件说明： 每月15日前以转账结算方式向乙方支付上个月服务费（付款前供应商应向采购人提供等额增值税发票，如遇学院寒暑假顺延至开学支付） ，达到付款条件起 10 日内，支付合同总金额的 8.30%。</w:t>
      </w:r>
    </w:p>
    <w:p w14:paraId="47472080">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11. 付款条件说明： 每月15日前以转账结算方式向乙方支付上个月服务费（付款前供应商应向采购人提供等额增值税发票，如遇学院寒暑假顺延至开学支付） ，达到付款条件起 10 日内，支付合同总金额的 8.50%。</w:t>
      </w:r>
    </w:p>
    <w:p w14:paraId="73603C5F">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12. 付款条件说明： 每月15日前以转账结算方式向乙方支付上个月服务费（付款前供应商应向采购人提供等额增值税发票，如遇学院寒暑假顺延至开学支付） ，达到付款条件起 10 日内，支付合同总金额的 8.50%。 </w:t>
      </w:r>
    </w:p>
    <w:p w14:paraId="6DD1ABA1">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（二）支付方式：银行转账。</w:t>
      </w:r>
    </w:p>
    <w:p w14:paraId="2D603255">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（三）结算方式：验收合格后供应商持成交通知书、服务合同、发票、政府采购项目验收单等，与采购人结算。</w:t>
      </w:r>
    </w:p>
    <w:p w14:paraId="19688919">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四、双方的权利和义务</w:t>
      </w:r>
    </w:p>
    <w:p w14:paraId="1B1C4266">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1、甲方按本项目具体情况提供乙方所需材料，甲方协助乙方完成资料、文件收集工作，并对其完整性、正确性及时限性负责，甲方不得要求乙方违反国家有关标准。</w:t>
      </w:r>
    </w:p>
    <w:p w14:paraId="74473E0A">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2、甲方变更委托项目、规模、条件或因提交资料的错误，或所提交的资料作重大修改，以至造成乙方返工时，双方除需另行协商补充协议、重新明确有关条款外，还需根据所耗工作量调整成果报告。</w:t>
      </w:r>
    </w:p>
    <w:p w14:paraId="0A33AF66">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3、乙方在中途需更换所指派的项目负责人，应事先征得甲方同意。</w:t>
      </w:r>
    </w:p>
    <w:p w14:paraId="138649E5">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4、乙方所交成果不符合国家法律法规和合同规定的，甲方有权拒收，并由乙方承担一切费用。</w:t>
      </w:r>
    </w:p>
    <w:p w14:paraId="2CC087D1">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5、乙方需保证本成果或其授予的权利不会侵犯任何第三人的知识产权或其他权利，也没有其他针对乙方拥有本成果权利的未决诉讼，或甲方行使乙方所提供的成果权利会侵犯任何第三人的合法权利。</w:t>
      </w:r>
    </w:p>
    <w:p w14:paraId="56C3EEE4">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五、违约责任</w:t>
      </w:r>
    </w:p>
    <w:p w14:paraId="11DDF303">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（一）按《民法典》中的相关条款执行。</w:t>
      </w:r>
    </w:p>
    <w:p w14:paraId="6CEBC469">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（二）双方必须严格遵守协议条款约定，若甲方严重违约导致本合同无法履行的，乙方有权单方解除本合同，甲方需支付协议总额款的10%作为违约金补偿与乙方。</w:t>
      </w:r>
    </w:p>
    <w:p w14:paraId="04BBE9D0">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三）按合同要求提供编制报告或报告质量不能满足采购技术要求，乙方必须无条件重新出具，提高技术，完善质量，否则，甲方会同监督机构、招标代理机构有权终止合同并对乙方违约行为进行追究，同时按《中华人民共和国政府采购法》进行相应的处罚。</w:t>
      </w:r>
    </w:p>
    <w:p w14:paraId="1F27B7F1">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（四）任何一方因不可抗力原因不能履行协议时，应尽快通知对方，双方均设法补偿。如仍无法履约协议，可协商延缓或撤销协议，双方责任免除。</w:t>
      </w:r>
    </w:p>
    <w:p w14:paraId="196A622A">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六、验收</w:t>
      </w:r>
    </w:p>
    <w:p w14:paraId="458B7A4C">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验收依据（包括但不限于）：</w:t>
      </w:r>
    </w:p>
    <w:p w14:paraId="6BE5BB38">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1.本合同及附加文本；</w:t>
      </w:r>
    </w:p>
    <w:p w14:paraId="69DBEAEC">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2.磋商文件、响应文件及澄清函；</w:t>
      </w:r>
    </w:p>
    <w:p w14:paraId="42A0829E">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3.国家相应的标准、规范。</w:t>
      </w:r>
    </w:p>
    <w:p w14:paraId="47C77CF8">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七、合同争议解决的方式</w:t>
      </w:r>
    </w:p>
    <w:p w14:paraId="515698A3">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本合同在履行过程中发生的争议，由甲、乙双方当事人协商解决，协商不成的按下列第（</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en-US" w:eastAsia="zh-CN"/>
        </w:rPr>
        <w:t>）种方式解决：</w:t>
      </w:r>
    </w:p>
    <w:p w14:paraId="308AEB58">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（一）提交西安仲裁委员会仲裁；</w:t>
      </w:r>
    </w:p>
    <w:p w14:paraId="1ECA8612">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（二）依法向甲方所在地人民法院起诉。</w:t>
      </w:r>
    </w:p>
    <w:p w14:paraId="665ADB69">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八、合同生效</w:t>
      </w:r>
    </w:p>
    <w:p w14:paraId="6265B44C">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（一）本合同经双方签字盖章后生效。</w:t>
      </w:r>
    </w:p>
    <w:p w14:paraId="1D3048D3">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（二）本合同须经甲、乙双方的法定代表人（授权代理人）在合同书上签字或加盖本单位公章后正式生效。</w:t>
      </w:r>
    </w:p>
    <w:p w14:paraId="475E392D">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（三）合同生效后，甲、乙双方须严格执行本合同条款的规定，全面履行合同，违者按有关规定承担相应责任。</w:t>
      </w:r>
    </w:p>
    <w:p w14:paraId="46943A43">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（四）本合同一式</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en-US" w:eastAsia="zh-CN"/>
        </w:rPr>
        <w:t>份，甲乙双方各执</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en-US" w:eastAsia="zh-CN"/>
        </w:rPr>
        <w:t>份。</w:t>
      </w:r>
    </w:p>
    <w:p w14:paraId="44B902F9">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（五）本合同如有未尽事宜，甲、乙双方协商解决。</w:t>
      </w:r>
    </w:p>
    <w:p w14:paraId="20F39BC9">
      <w:pPr>
        <w:pStyle w:val="9"/>
        <w:ind w:firstLine="480"/>
        <w:rPr>
          <w:rFonts w:hint="eastAsia" w:ascii="仿宋_GB2312" w:hAnsi="仿宋_GB2312" w:eastAsia="仿宋_GB2312" w:cs="仿宋_GB2312"/>
          <w:color w:val="auto"/>
          <w:sz w:val="24"/>
          <w:szCs w:val="24"/>
        </w:rPr>
      </w:pPr>
    </w:p>
    <w:tbl>
      <w:tblPr>
        <w:tblStyle w:val="6"/>
        <w:tblW w:w="503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87"/>
        <w:gridCol w:w="4290"/>
      </w:tblGrid>
      <w:tr w14:paraId="740BF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2499" w:type="pct"/>
            <w:shd w:val="clear" w:color="auto" w:fill="D8D8D8"/>
            <w:noWrap w:val="0"/>
            <w:vAlign w:val="center"/>
          </w:tcPr>
          <w:p w14:paraId="157A670B">
            <w:pPr>
              <w:pStyle w:val="9"/>
              <w:ind w:firstLine="48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甲  方</w:t>
            </w:r>
          </w:p>
        </w:tc>
        <w:tc>
          <w:tcPr>
            <w:tcW w:w="2500" w:type="pct"/>
            <w:shd w:val="clear" w:color="auto" w:fill="D8D8D8"/>
            <w:noWrap w:val="0"/>
            <w:vAlign w:val="center"/>
          </w:tcPr>
          <w:p w14:paraId="6F427702">
            <w:pPr>
              <w:pStyle w:val="9"/>
              <w:ind w:firstLine="48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乙  方</w:t>
            </w:r>
          </w:p>
        </w:tc>
      </w:tr>
      <w:tr w14:paraId="30752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2" w:hRule="atLeast"/>
          <w:jc w:val="center"/>
        </w:trPr>
        <w:tc>
          <w:tcPr>
            <w:tcW w:w="2499" w:type="pct"/>
            <w:noWrap w:val="0"/>
            <w:vAlign w:val="center"/>
          </w:tcPr>
          <w:p w14:paraId="18772FD0">
            <w:pPr>
              <w:pStyle w:val="9"/>
              <w:ind w:firstLine="48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采购人</w:t>
            </w:r>
          </w:p>
          <w:p w14:paraId="77DD7BFC">
            <w:pPr>
              <w:pStyle w:val="9"/>
              <w:ind w:firstLine="48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（公章）</w:t>
            </w:r>
          </w:p>
        </w:tc>
        <w:tc>
          <w:tcPr>
            <w:tcW w:w="2500" w:type="pct"/>
            <w:noWrap w:val="0"/>
            <w:vAlign w:val="center"/>
          </w:tcPr>
          <w:p w14:paraId="56B476F4">
            <w:pPr>
              <w:pStyle w:val="9"/>
              <w:ind w:firstLine="480"/>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eastAsia="zh-CN"/>
              </w:rPr>
              <w:t>成交供应商</w:t>
            </w:r>
          </w:p>
          <w:p w14:paraId="54A5AED9">
            <w:pPr>
              <w:pStyle w:val="9"/>
              <w:ind w:firstLine="48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（公章）</w:t>
            </w:r>
          </w:p>
        </w:tc>
      </w:tr>
      <w:tr w14:paraId="1C610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2499" w:type="pct"/>
            <w:noWrap w:val="0"/>
            <w:vAlign w:val="center"/>
          </w:tcPr>
          <w:p w14:paraId="151D7EE0">
            <w:pPr>
              <w:pStyle w:val="9"/>
              <w:ind w:firstLine="48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地址：</w:t>
            </w:r>
          </w:p>
        </w:tc>
        <w:tc>
          <w:tcPr>
            <w:tcW w:w="2500" w:type="pct"/>
            <w:noWrap w:val="0"/>
            <w:vAlign w:val="center"/>
          </w:tcPr>
          <w:p w14:paraId="6F7DBEC4">
            <w:pPr>
              <w:pStyle w:val="9"/>
              <w:ind w:firstLine="48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地址：</w:t>
            </w:r>
          </w:p>
        </w:tc>
      </w:tr>
      <w:tr w14:paraId="0E9D0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2499" w:type="pct"/>
            <w:noWrap w:val="0"/>
            <w:vAlign w:val="center"/>
          </w:tcPr>
          <w:p w14:paraId="2F2ABBBC">
            <w:pPr>
              <w:pStyle w:val="9"/>
              <w:ind w:firstLine="48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邮编：</w:t>
            </w:r>
          </w:p>
        </w:tc>
        <w:tc>
          <w:tcPr>
            <w:tcW w:w="2500" w:type="pct"/>
            <w:noWrap w:val="0"/>
            <w:vAlign w:val="center"/>
          </w:tcPr>
          <w:p w14:paraId="0A56FD09">
            <w:pPr>
              <w:pStyle w:val="9"/>
              <w:ind w:firstLine="48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邮编：</w:t>
            </w:r>
          </w:p>
        </w:tc>
      </w:tr>
      <w:tr w14:paraId="7D31B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2499" w:type="pct"/>
            <w:noWrap w:val="0"/>
            <w:vAlign w:val="center"/>
          </w:tcPr>
          <w:p w14:paraId="6F3AA5A0">
            <w:pPr>
              <w:pStyle w:val="9"/>
              <w:ind w:firstLine="48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法定代表人</w:t>
            </w:r>
            <w:r>
              <w:rPr>
                <w:rFonts w:hint="eastAsia" w:ascii="仿宋_GB2312" w:hAnsi="仿宋_GB2312" w:eastAsia="仿宋_GB2312" w:cs="仿宋_GB2312"/>
                <w:color w:val="auto"/>
                <w:sz w:val="24"/>
                <w:szCs w:val="24"/>
                <w:lang w:val="en-US" w:eastAsia="zh-CN"/>
              </w:rPr>
              <w:t>或代理人</w:t>
            </w:r>
            <w:r>
              <w:rPr>
                <w:rFonts w:hint="eastAsia" w:ascii="仿宋_GB2312" w:hAnsi="仿宋_GB2312" w:eastAsia="仿宋_GB2312" w:cs="仿宋_GB2312"/>
                <w:color w:val="auto"/>
                <w:sz w:val="24"/>
                <w:szCs w:val="24"/>
              </w:rPr>
              <w:t>：</w:t>
            </w:r>
          </w:p>
        </w:tc>
        <w:tc>
          <w:tcPr>
            <w:tcW w:w="2500" w:type="pct"/>
            <w:noWrap w:val="0"/>
            <w:vAlign w:val="center"/>
          </w:tcPr>
          <w:p w14:paraId="5048F4C1">
            <w:pPr>
              <w:pStyle w:val="9"/>
              <w:ind w:firstLine="48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法定代表人</w:t>
            </w:r>
            <w:r>
              <w:rPr>
                <w:rFonts w:hint="eastAsia" w:ascii="仿宋_GB2312" w:hAnsi="仿宋_GB2312" w:eastAsia="仿宋_GB2312" w:cs="仿宋_GB2312"/>
                <w:color w:val="auto"/>
                <w:sz w:val="24"/>
                <w:szCs w:val="24"/>
                <w:lang w:val="en-US" w:eastAsia="zh-CN"/>
              </w:rPr>
              <w:t>或代理人</w:t>
            </w:r>
            <w:r>
              <w:rPr>
                <w:rFonts w:hint="eastAsia" w:ascii="仿宋_GB2312" w:hAnsi="仿宋_GB2312" w:eastAsia="仿宋_GB2312" w:cs="仿宋_GB2312"/>
                <w:color w:val="auto"/>
                <w:sz w:val="24"/>
                <w:szCs w:val="24"/>
              </w:rPr>
              <w:t>：</w:t>
            </w:r>
          </w:p>
        </w:tc>
      </w:tr>
      <w:tr w14:paraId="3B937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2499" w:type="pct"/>
            <w:noWrap w:val="0"/>
            <w:vAlign w:val="center"/>
          </w:tcPr>
          <w:p w14:paraId="11100176">
            <w:pPr>
              <w:pStyle w:val="9"/>
              <w:ind w:firstLine="48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负责人：（签字）</w:t>
            </w:r>
          </w:p>
        </w:tc>
        <w:tc>
          <w:tcPr>
            <w:tcW w:w="2500" w:type="pct"/>
            <w:noWrap w:val="0"/>
            <w:vAlign w:val="center"/>
          </w:tcPr>
          <w:p w14:paraId="2FDDB26C">
            <w:pPr>
              <w:pStyle w:val="9"/>
              <w:ind w:firstLine="48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负责人：（签字）</w:t>
            </w:r>
          </w:p>
        </w:tc>
      </w:tr>
      <w:tr w14:paraId="11A53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2499" w:type="pct"/>
            <w:noWrap w:val="0"/>
            <w:vAlign w:val="center"/>
          </w:tcPr>
          <w:p w14:paraId="16CC42B7">
            <w:pPr>
              <w:pStyle w:val="9"/>
              <w:ind w:firstLine="48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电话：</w:t>
            </w:r>
          </w:p>
        </w:tc>
        <w:tc>
          <w:tcPr>
            <w:tcW w:w="2500" w:type="pct"/>
            <w:noWrap w:val="0"/>
            <w:vAlign w:val="center"/>
          </w:tcPr>
          <w:p w14:paraId="6C0C275A">
            <w:pPr>
              <w:pStyle w:val="9"/>
              <w:ind w:firstLine="48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电话：</w:t>
            </w:r>
          </w:p>
        </w:tc>
      </w:tr>
      <w:tr w14:paraId="1E911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2499" w:type="pct"/>
            <w:noWrap w:val="0"/>
            <w:vAlign w:val="center"/>
          </w:tcPr>
          <w:p w14:paraId="72ED346F">
            <w:pPr>
              <w:pStyle w:val="9"/>
              <w:ind w:firstLine="480"/>
              <w:rPr>
                <w:rFonts w:hint="eastAsia" w:ascii="仿宋_GB2312" w:hAnsi="仿宋_GB2312" w:eastAsia="仿宋_GB2312" w:cs="仿宋_GB2312"/>
                <w:color w:val="auto"/>
                <w:sz w:val="24"/>
                <w:szCs w:val="24"/>
              </w:rPr>
            </w:pPr>
          </w:p>
        </w:tc>
        <w:tc>
          <w:tcPr>
            <w:tcW w:w="2500" w:type="pct"/>
            <w:noWrap w:val="0"/>
            <w:vAlign w:val="center"/>
          </w:tcPr>
          <w:p w14:paraId="14B1D79F">
            <w:pPr>
              <w:pStyle w:val="9"/>
              <w:ind w:firstLine="48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开户银行：</w:t>
            </w:r>
          </w:p>
        </w:tc>
      </w:tr>
      <w:tr w14:paraId="2FF37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2499" w:type="pct"/>
            <w:noWrap w:val="0"/>
            <w:vAlign w:val="center"/>
          </w:tcPr>
          <w:p w14:paraId="5DE116D9">
            <w:pPr>
              <w:pStyle w:val="9"/>
              <w:ind w:firstLine="480"/>
              <w:rPr>
                <w:rFonts w:hint="eastAsia" w:ascii="仿宋_GB2312" w:hAnsi="仿宋_GB2312" w:eastAsia="仿宋_GB2312" w:cs="仿宋_GB2312"/>
                <w:color w:val="auto"/>
                <w:sz w:val="24"/>
                <w:szCs w:val="24"/>
              </w:rPr>
            </w:pPr>
          </w:p>
        </w:tc>
        <w:tc>
          <w:tcPr>
            <w:tcW w:w="2500" w:type="pct"/>
            <w:noWrap w:val="0"/>
            <w:vAlign w:val="center"/>
          </w:tcPr>
          <w:p w14:paraId="5BE20D01">
            <w:pPr>
              <w:pStyle w:val="9"/>
              <w:ind w:firstLine="48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账号：</w:t>
            </w:r>
          </w:p>
        </w:tc>
      </w:tr>
      <w:tr w14:paraId="63690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2499" w:type="pct"/>
            <w:noWrap w:val="0"/>
            <w:vAlign w:val="center"/>
          </w:tcPr>
          <w:p w14:paraId="0BDD143D">
            <w:pPr>
              <w:pStyle w:val="9"/>
              <w:ind w:firstLine="48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日期：   年  月  日</w:t>
            </w:r>
          </w:p>
        </w:tc>
        <w:tc>
          <w:tcPr>
            <w:tcW w:w="2500" w:type="pct"/>
            <w:noWrap w:val="0"/>
            <w:vAlign w:val="center"/>
          </w:tcPr>
          <w:p w14:paraId="229B04B1">
            <w:pPr>
              <w:pStyle w:val="9"/>
              <w:ind w:firstLine="48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日期：   年  月  日</w:t>
            </w:r>
          </w:p>
        </w:tc>
      </w:tr>
    </w:tbl>
    <w:p w14:paraId="224DFD65">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upperLetter"/>
      <w:pStyle w:val="2"/>
      <w:lvlText w:val="%1．"/>
      <w:lvlJc w:val="left"/>
      <w:pPr>
        <w:tabs>
          <w:tab w:val="left" w:pos="324"/>
        </w:tabs>
        <w:ind w:left="324" w:hanging="32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F9B34DB"/>
    <w:rsid w:val="6D0E7B7A"/>
    <w:rsid w:val="700D716B"/>
    <w:rsid w:val="71415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9"/>
    <w:pPr>
      <w:keepNext/>
      <w:numPr>
        <w:ilvl w:val="0"/>
        <w:numId w:val="1"/>
      </w:numPr>
      <w:jc w:val="center"/>
      <w:outlineLvl w:val="0"/>
    </w:pPr>
    <w:rPr>
      <w:rFonts w:ascii="黑体" w:eastAsia="黑体"/>
      <w:sz w:val="30"/>
      <w:szCs w:val="20"/>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rFonts w:ascii="仿宋_GB2312" w:eastAsia="仿宋_GB2312"/>
      <w:spacing w:val="-20"/>
      <w:sz w:val="28"/>
    </w:rPr>
  </w:style>
  <w:style w:type="paragraph" w:styleId="4">
    <w:name w:val="Body Text Indent"/>
    <w:basedOn w:val="1"/>
    <w:qFormat/>
    <w:uiPriority w:val="99"/>
    <w:pPr>
      <w:spacing w:line="360" w:lineRule="auto"/>
      <w:ind w:firstLine="480"/>
    </w:pPr>
    <w:rPr>
      <w:rFonts w:ascii="宋体"/>
      <w:sz w:val="24"/>
    </w:rPr>
  </w:style>
  <w:style w:type="paragraph" w:styleId="5">
    <w:name w:val="Body Text First Indent 2"/>
    <w:basedOn w:val="4"/>
    <w:unhideWhenUsed/>
    <w:qFormat/>
    <w:uiPriority w:val="0"/>
    <w:pPr>
      <w:ind w:firstLine="420" w:firstLineChars="200"/>
    </w:pPr>
    <w:rPr>
      <w:szCs w:val="20"/>
    </w:rPr>
  </w:style>
  <w:style w:type="paragraph" w:customStyle="1" w:styleId="8">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2541</Words>
  <Characters>2636</Characters>
  <Lines>0</Lines>
  <Paragraphs>0</Paragraphs>
  <TotalTime>0</TotalTime>
  <ScaleCrop>false</ScaleCrop>
  <LinksUpToDate>false</LinksUpToDate>
  <CharactersWithSpaces>2948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2025-07-17T09:23:00Z</dcterms:created>
  <dc:creator>1</dc:creator>
  <cp:lastModifiedBy>蕾</cp:lastModifiedBy>
  <dcterms:modified xsi:type="dcterms:W3CDTF">2026-05-11T08:37:43Z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eyJoZGlkIjoiMjM2MGNjNWJjNDVhY2Q5YmU1ZjA0ODkxNTk2YmNlYjkiLCJ1c2VySWQiOiI0MjgxODMzMTEifQ==</vt:lpwstr>
  </property>
  <property fmtid="{D5CDD505-2E9C-101B-9397-08002B2CF9AE}" pid="4" name="ICV">
    <vt:lpwstr>58E76D0D02844B1F8A5964C27E6B42F2_12</vt:lpwstr>
  </property>
</Properties>
</file>