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版本号：SYZB-2026-02320260609001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2026年度社区分馆运维保障项目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SYZB-2026-023</w:t>
      </w:r>
      <w:r>
        <w:br/>
      </w:r>
      <w:r>
        <w:br/>
      </w:r>
      <w:r>
        <w:br/>
      </w:r>
    </w:p>
    <w:p>
      <w:pPr>
        <w:pStyle w:val="null3"/>
        <w:jc w:val="center"/>
        <w:outlineLvl w:val="2"/>
      </w:pPr>
      <w:r>
        <w:rPr>
          <w:rFonts w:ascii="仿宋_GB2312" w:hAnsi="仿宋_GB2312" w:cs="仿宋_GB2312" w:eastAsia="仿宋_GB2312"/>
          <w:sz w:val="28"/>
          <w:b/>
        </w:rPr>
        <w:t>西安图书馆</w:t>
      </w:r>
    </w:p>
    <w:p>
      <w:pPr>
        <w:pStyle w:val="null3"/>
        <w:jc w:val="center"/>
        <w:outlineLvl w:val="2"/>
      </w:pPr>
      <w:r>
        <w:rPr>
          <w:rFonts w:ascii="仿宋_GB2312" w:hAnsi="仿宋_GB2312" w:cs="仿宋_GB2312" w:eastAsia="仿宋_GB2312"/>
          <w:sz w:val="28"/>
          <w:b/>
        </w:rPr>
        <w:t>陕西朔宇项目管理有限公司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陕西朔宇项目管理有限公司</w:t>
      </w:r>
      <w:r>
        <w:rPr>
          <w:rFonts w:ascii="仿宋_GB2312" w:hAnsi="仿宋_GB2312" w:cs="仿宋_GB2312" w:eastAsia="仿宋_GB2312"/>
        </w:rPr>
        <w:t>（以下简称“代理机构”）受</w:t>
      </w:r>
      <w:r>
        <w:rPr>
          <w:rFonts w:ascii="仿宋_GB2312" w:hAnsi="仿宋_GB2312" w:cs="仿宋_GB2312" w:eastAsia="仿宋_GB2312"/>
        </w:rPr>
        <w:t>西安图书馆</w:t>
      </w:r>
      <w:r>
        <w:rPr>
          <w:rFonts w:ascii="仿宋_GB2312" w:hAnsi="仿宋_GB2312" w:cs="仿宋_GB2312" w:eastAsia="仿宋_GB2312"/>
        </w:rPr>
        <w:t>委托，拟对</w:t>
      </w:r>
      <w:r>
        <w:rPr>
          <w:rFonts w:ascii="仿宋_GB2312" w:hAnsi="仿宋_GB2312" w:cs="仿宋_GB2312" w:eastAsia="仿宋_GB2312"/>
        </w:rPr>
        <w:t>2026年度社区分馆运维保障项目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SYZB-2026-023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2026年度社区分馆运维保障项目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2026年度社区分馆运维保障项目（具体采购内容及要求详见竞争性磋商文件）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采购包1（2026年度社区分馆运维保障项目）：属于专门面向中小企业采购。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2、财务状况报告（任选其一）：提供①2024年度或2025年度经审计的完整财务审计报告（成立时间至提交响应文件截止时间不足一年的可提供成立后任意时段的资产负债表）；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p>
      <w:pPr>
        <w:pStyle w:val="null3"/>
      </w:pPr>
      <w:r>
        <w:rPr>
          <w:rFonts w:ascii="仿宋_GB2312" w:hAnsi="仿宋_GB2312" w:cs="仿宋_GB2312" w:eastAsia="仿宋_GB2312"/>
        </w:rPr>
        <w:t>3、社保缴纳证明：提交响应文件截止时间前一年内至少一个月的社会保障资金缴存单据或社保机构开具的社会保险参保缴费情况证明，依法不需要缴纳社会保障资金的单位应提供相关证明材料。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4、税收缴纳证明：提供递交响应文件截止之日前一年内任意一个月的纳税证明或完税证明，依法免税的单位应提供相关证明材料。</w:t>
      </w:r>
    </w:p>
    <w:p>
      <w:pPr>
        <w:pStyle w:val="null3"/>
      </w:pPr>
      <w:r>
        <w:rPr>
          <w:rFonts w:ascii="仿宋_GB2312" w:hAnsi="仿宋_GB2312" w:cs="仿宋_GB2312" w:eastAsia="仿宋_GB2312"/>
        </w:rPr>
        <w:t>5、无重大违法记录声明：提供参加本次政府采购活动前3年内在经营活动中没有重大违法记录的书面声明。</w:t>
      </w:r>
    </w:p>
    <w:p>
      <w:pPr>
        <w:pStyle w:val="null3"/>
      </w:pPr>
      <w:r>
        <w:rPr>
          <w:rFonts w:ascii="仿宋_GB2312" w:hAnsi="仿宋_GB2312" w:cs="仿宋_GB2312" w:eastAsia="仿宋_GB2312"/>
        </w:rPr>
        <w:t>6、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7、声明：提供具有履行本合同所必需的设备和专业技术能力的声明。</w:t>
      </w:r>
    </w:p>
    <w:p>
      <w:pPr>
        <w:pStyle w:val="null3"/>
      </w:pPr>
      <w:r>
        <w:rPr>
          <w:rFonts w:ascii="仿宋_GB2312" w:hAnsi="仿宋_GB2312" w:cs="仿宋_GB2312" w:eastAsia="仿宋_GB2312"/>
        </w:rPr>
        <w:t>8、法定代表人授权委托书：法定代表人直接参加投标的须出具法定代表人身份证明及法定代表人身份证；法定代表人授权代表参加投标的须出具法定代表人授权书及授权代表身份证。</w:t>
      </w:r>
    </w:p>
    <w:p>
      <w:pPr>
        <w:pStyle w:val="null3"/>
      </w:pPr>
      <w:r>
        <w:rPr>
          <w:rFonts w:ascii="仿宋_GB2312" w:hAnsi="仿宋_GB2312" w:cs="仿宋_GB2312" w:eastAsia="仿宋_GB2312"/>
        </w:rPr>
        <w:t>9、本项目不接受联合体投标，不允许分包：本项目不接受联合体投标，不允许分包；供应商应提供《非联合体不分包投标声明》，视为独立投标，不分包。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西安图书馆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西安市未央区广运潭大道5333号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18591931817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陕西朔宇项目管理有限公司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陕西省西安市莲湖区杏园路太奥国际20楼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029-81501935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采购）代理服务费参照国家计委关于印发《招标代理服务收费管理暂行办法》的通知（计价格〔2002〕1980号）、《国家发展和改革委员会办公厅关于招标代理服务收费有关问题的通知》（发改办价格〔2003〕857号）标准，以实际中标（成交）金额为准确定招标代理服务费。 代理服务费账号信息如下： 公司名称：陕西朔宇项目管理有限公司 开户行：中国农业银行股份有限公司陕西自贸区西安唐延南路支行 账号：26126501040008944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西安图书馆</w:t>
      </w:r>
      <w:r>
        <w:rPr>
          <w:rFonts w:ascii="仿宋_GB2312" w:hAnsi="仿宋_GB2312" w:cs="仿宋_GB2312" w:eastAsia="仿宋_GB2312"/>
        </w:rPr>
        <w:t>和</w:t>
      </w:r>
      <w:r>
        <w:rPr>
          <w:rFonts w:ascii="仿宋_GB2312" w:hAnsi="仿宋_GB2312" w:cs="仿宋_GB2312" w:eastAsia="仿宋_GB2312"/>
        </w:rPr>
        <w:t>陕西朔宇项目管理有限公司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西安图书馆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陕西朔宇项目管理有限公司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西安图书馆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陕西朔宇项目管理有限公司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所验服务最终验收达不到磋商文件要求和响应文件承诺及国家或行业标准，或在使用中发现甲方不能容忍的缺陷等，将视为验收不合格，供应商应在甲方要求的时间内无条件完善或要求赔付甲方损失。 验收标准：按磋商文件、响应文件等技术指标进行逐项验收。各项指标均应符合验收标准及要求。 验收合格后，填写验收单，双方签字生效。 验收依据：（1）合同文本。（2）磋商文件、响应文件。（3）国家和行业制定的相应的标准和规范。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陕西朔宇项目管理有限公司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联系人：高倩</w:t>
      </w:r>
    </w:p>
    <w:p>
      <w:pPr>
        <w:pStyle w:val="null3"/>
      </w:pPr>
      <w:r>
        <w:rPr>
          <w:rFonts w:ascii="仿宋_GB2312" w:hAnsi="仿宋_GB2312" w:cs="仿宋_GB2312" w:eastAsia="仿宋_GB2312"/>
        </w:rPr>
        <w:t>联系电话：029-81501935</w:t>
      </w:r>
    </w:p>
    <w:p>
      <w:pPr>
        <w:pStyle w:val="null3"/>
      </w:pPr>
      <w:r>
        <w:rPr>
          <w:rFonts w:ascii="仿宋_GB2312" w:hAnsi="仿宋_GB2312" w:cs="仿宋_GB2312" w:eastAsia="仿宋_GB2312"/>
        </w:rPr>
        <w:t>地址：陕西省西安市莲湖区杏园路太奥国际20楼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2026年度社区分馆运维保障项目（具体采购内容及要求详见竞争性磋商文件）。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社区分馆运维保障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标的名称：社区分馆运维保障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项目名称</w:t>
            </w:r>
            <w:r>
              <w:rPr>
                <w:rFonts w:ascii="仿宋_GB2312" w:hAnsi="仿宋_GB2312" w:cs="仿宋_GB2312" w:eastAsia="仿宋_GB2312"/>
                <w:sz w:val="20"/>
              </w:rPr>
              <w:t>：</w:t>
            </w:r>
            <w:r>
              <w:rPr>
                <w:rFonts w:ascii="仿宋_GB2312" w:hAnsi="仿宋_GB2312" w:cs="仿宋_GB2312" w:eastAsia="仿宋_GB2312"/>
                <w:sz w:val="20"/>
              </w:rPr>
              <w:t>2026年度社区分馆运维保障项目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社区自助图书馆</w:t>
            </w:r>
            <w:r>
              <w:rPr>
                <w:rFonts w:ascii="仿宋_GB2312" w:hAnsi="仿宋_GB2312" w:cs="仿宋_GB2312" w:eastAsia="仿宋_GB2312"/>
                <w:sz w:val="20"/>
              </w:rPr>
              <w:t>分布</w:t>
            </w:r>
            <w:r>
              <w:rPr>
                <w:rFonts w:ascii="仿宋_GB2312" w:hAnsi="仿宋_GB2312" w:cs="仿宋_GB2312" w:eastAsia="仿宋_GB2312"/>
                <w:sz w:val="20"/>
              </w:rPr>
              <w:t>信息</w:t>
            </w:r>
          </w:p>
          <w:tbl>
            <w:tblPr>
              <w:tblInd w:type="dxa" w:w="135"/>
              <w:tblBorders>
                <w:top w:val="none" w:color="000000" w:sz="4"/>
                <w:left w:val="none" w:color="000000" w:sz="4"/>
                <w:bottom w:val="none" w:color="000000" w:sz="4"/>
                <w:right w:val="none" w:color="000000" w:sz="4"/>
                <w:insideH w:val="none"/>
                <w:insideV w:val="none"/>
              </w:tblBorders>
            </w:tblPr>
            <w:tblGrid>
              <w:gridCol w:w="142"/>
              <w:gridCol w:w="372"/>
              <w:gridCol w:w="831"/>
              <w:gridCol w:w="814"/>
              <w:gridCol w:w="195"/>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分馆</w:t>
                  </w:r>
                </w:p>
                <w:p>
                  <w:pPr>
                    <w:pStyle w:val="null3"/>
                    <w:jc w:val="both"/>
                  </w:pPr>
                  <w:r>
                    <w:rPr>
                      <w:rFonts w:ascii="仿宋_GB2312" w:hAnsi="仿宋_GB2312" w:cs="仿宋_GB2312" w:eastAsia="仿宋_GB2312"/>
                      <w:sz w:val="20"/>
                    </w:rPr>
                    <w:t>编号</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标牌名称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地址</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备注</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NO.032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西安图书馆白桦林居分馆</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凤城九路与明光路十字东南</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NO.033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西安图书馆文景西区分馆</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凤城九路与明光路十字</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NO.034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西安图书馆文景东区分馆</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未央区苑城路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NO.035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西安图书馆高山流水分馆</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未央区</w:t>
                  </w:r>
                  <w:r>
                    <w:rPr>
                      <w:rFonts w:ascii="仿宋_GB2312" w:hAnsi="仿宋_GB2312" w:cs="仿宋_GB2312" w:eastAsia="仿宋_GB2312"/>
                      <w:sz w:val="20"/>
                    </w:rPr>
                    <w:t>渭滨路</w:t>
                  </w:r>
                  <w:r>
                    <w:rPr>
                      <w:rFonts w:ascii="仿宋_GB2312" w:hAnsi="仿宋_GB2312" w:cs="仿宋_GB2312" w:eastAsia="仿宋_GB2312"/>
                      <w:sz w:val="20"/>
                    </w:rPr>
                    <w:t>南段</w:t>
                  </w:r>
                  <w:r>
                    <w:rPr>
                      <w:rFonts w:ascii="仿宋_GB2312" w:hAnsi="仿宋_GB2312" w:cs="仿宋_GB2312" w:eastAsia="仿宋_GB2312"/>
                      <w:sz w:val="20"/>
                    </w:rPr>
                    <w:t>320号</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NO.036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西安图书馆浐灞半岛分馆</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金茂一路浐灞半岛</w:t>
                  </w:r>
                  <w:r>
                    <w:rPr>
                      <w:rFonts w:ascii="仿宋_GB2312" w:hAnsi="仿宋_GB2312" w:cs="仿宋_GB2312" w:eastAsia="仿宋_GB2312"/>
                      <w:sz w:val="20"/>
                    </w:rPr>
                    <w:t>A13区</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NO.037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西安图书馆大唐分馆</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雁塔区雁塔西路</w:t>
                  </w:r>
                  <w:r>
                    <w:rPr>
                      <w:rFonts w:ascii="仿宋_GB2312" w:hAnsi="仿宋_GB2312" w:cs="仿宋_GB2312" w:eastAsia="仿宋_GB2312"/>
                      <w:sz w:val="20"/>
                    </w:rPr>
                    <w:t>12号</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NO.038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西安图书馆长安家园分馆</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长安区西京路</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NO.039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西安图书馆翠竹园分馆</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雁塔区曲江池南路</w:t>
                  </w:r>
                  <w:r>
                    <w:rPr>
                      <w:rFonts w:ascii="仿宋_GB2312" w:hAnsi="仿宋_GB2312" w:cs="仿宋_GB2312" w:eastAsia="仿宋_GB2312"/>
                      <w:sz w:val="20"/>
                    </w:rPr>
                    <w:t>276号</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9</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NO.040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西安图书馆亮丽家园分馆</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秦园西路</w:t>
                  </w:r>
                  <w:r>
                    <w:rPr>
                      <w:rFonts w:ascii="仿宋_GB2312" w:hAnsi="仿宋_GB2312" w:cs="仿宋_GB2312" w:eastAsia="仿宋_GB2312"/>
                      <w:sz w:val="20"/>
                    </w:rPr>
                    <w:t>239号</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NO.041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西安图书馆木塔南苑分馆</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木塔南街永阳一巷</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NO.042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西安图书馆海关分馆</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唐延路</w:t>
                  </w:r>
                  <w:r>
                    <w:rPr>
                      <w:rFonts w:ascii="仿宋_GB2312" w:hAnsi="仿宋_GB2312" w:cs="仿宋_GB2312" w:eastAsia="仿宋_GB2312"/>
                      <w:sz w:val="20"/>
                    </w:rPr>
                    <w:t>21号</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NO.043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西安图书馆丰盛园分馆</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莲湖区枣园西路</w:t>
                  </w:r>
                  <w:r>
                    <w:rPr>
                      <w:rFonts w:ascii="仿宋_GB2312" w:hAnsi="仿宋_GB2312" w:cs="仿宋_GB2312" w:eastAsia="仿宋_GB2312"/>
                      <w:sz w:val="20"/>
                    </w:rPr>
                    <w:t>128号</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需求</w:t>
            </w:r>
            <w:r>
              <w:rPr>
                <w:rFonts w:ascii="仿宋_GB2312" w:hAnsi="仿宋_GB2312" w:cs="仿宋_GB2312" w:eastAsia="仿宋_GB2312"/>
                <w:sz w:val="20"/>
              </w:rPr>
              <w:t>内容</w:t>
            </w:r>
          </w:p>
          <w:tbl>
            <w:tblPr>
              <w:tblBorders>
                <w:top w:val="none" w:color="000000" w:sz="4"/>
                <w:left w:val="none" w:color="000000" w:sz="4"/>
                <w:bottom w:val="none" w:color="000000" w:sz="4"/>
                <w:right w:val="none" w:color="000000" w:sz="4"/>
                <w:insideH w:val="none"/>
                <w:insideV w:val="none"/>
              </w:tblBorders>
            </w:tblPr>
            <w:tblGrid>
              <w:gridCol w:w="141"/>
              <w:gridCol w:w="357"/>
              <w:gridCol w:w="1289"/>
              <w:gridCol w:w="229"/>
              <w:gridCol w:w="334"/>
            </w:tblGrid>
            <w:tr>
              <w:tc>
                <w:tcPr>
                  <w:tcW w:type="dxa" w:w="14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序号</w:t>
                  </w:r>
                </w:p>
              </w:tc>
              <w:tc>
                <w:tcPr>
                  <w:tcW w:type="dxa" w:w="3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服务管理项目</w:t>
                  </w:r>
                </w:p>
              </w:tc>
              <w:tc>
                <w:tcPr>
                  <w:tcW w:type="dxa" w:w="1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服务要求</w:t>
                  </w:r>
                </w:p>
              </w:tc>
              <w:tc>
                <w:tcPr>
                  <w:tcW w:type="dxa" w:w="22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单位</w:t>
                  </w:r>
                </w:p>
              </w:tc>
              <w:tc>
                <w:tcPr>
                  <w:tcW w:type="dxa" w:w="33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数量</w:t>
                  </w:r>
                </w:p>
              </w:tc>
            </w:tr>
            <w:tr>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开放形式、</w:t>
                  </w:r>
                </w:p>
                <w:p>
                  <w:pPr>
                    <w:pStyle w:val="null3"/>
                    <w:jc w:val="both"/>
                  </w:pPr>
                  <w:r>
                    <w:rPr>
                      <w:rFonts w:ascii="仿宋_GB2312" w:hAnsi="仿宋_GB2312" w:cs="仿宋_GB2312" w:eastAsia="仿宋_GB2312"/>
                      <w:sz w:val="20"/>
                    </w:rPr>
                    <w:t>时间</w:t>
                  </w: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根据社区分馆周边人员、环境及辖区管理部门要求等实施免费开放。周开放时间不低于</w:t>
                  </w:r>
                  <w:r>
                    <w:rPr>
                      <w:rFonts w:ascii="仿宋_GB2312" w:hAnsi="仿宋_GB2312" w:cs="仿宋_GB2312" w:eastAsia="仿宋_GB2312"/>
                      <w:sz w:val="20"/>
                    </w:rPr>
                    <w:t>80小时。</w:t>
                  </w:r>
                </w:p>
              </w:tc>
              <w:tc>
                <w:tcPr>
                  <w:tcW w:type="dxa" w:w="229"/>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年度</w:t>
                  </w:r>
                </w:p>
              </w:tc>
              <w:tc>
                <w:tcPr>
                  <w:tcW w:type="dxa" w:w="334"/>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1年</w:t>
                  </w:r>
                </w:p>
              </w:tc>
            </w:tr>
            <w:tr>
              <w:tc>
                <w:tcPr>
                  <w:tcW w:type="dxa" w:w="14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2</w:t>
                  </w:r>
                </w:p>
              </w:tc>
              <w:tc>
                <w:tcPr>
                  <w:tcW w:type="dxa" w:w="35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互联网保障及安全运行</w:t>
                  </w: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1、在无外部因素（除区域性停电、停网）的情况下，保障社区分馆的业务操作系统网络畅通。</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2、保障社区分馆的网络畅通，协调维护网络设施的正常使用。</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3、保障图书馆业务数据传输稳定、无波动、无延迟、无中断。</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3</w:t>
                  </w:r>
                </w:p>
              </w:tc>
              <w:tc>
                <w:tcPr>
                  <w:tcW w:type="dxa" w:w="35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电力保障及</w:t>
                  </w:r>
                </w:p>
                <w:p>
                  <w:pPr>
                    <w:pStyle w:val="null3"/>
                    <w:jc w:val="both"/>
                  </w:pPr>
                  <w:r>
                    <w:rPr>
                      <w:rFonts w:ascii="仿宋_GB2312" w:hAnsi="仿宋_GB2312" w:cs="仿宋_GB2312" w:eastAsia="仿宋_GB2312"/>
                      <w:sz w:val="20"/>
                    </w:rPr>
                    <w:t>安全运行</w:t>
                  </w: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1、定期预缴电费，保障自助图书馆内各系统设备有充足的电力供应。</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2、在无外部因素（除区域性停电）的情况下，保障用电系统正常运行。</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3、建立用电安全保障机制，定期对馆舍内部电路、电路保护设备进行安全检查，及时排除用电安全隐患，建立用电系统检查与维护日志，保障自助图书馆用电系统正常运行。</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4</w:t>
                  </w:r>
                </w:p>
              </w:tc>
              <w:tc>
                <w:tcPr>
                  <w:tcW w:type="dxa" w:w="35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图书馆</w:t>
                  </w:r>
                </w:p>
                <w:p>
                  <w:pPr>
                    <w:pStyle w:val="null3"/>
                    <w:jc w:val="both"/>
                  </w:pPr>
                  <w:r>
                    <w:rPr>
                      <w:rFonts w:ascii="仿宋_GB2312" w:hAnsi="仿宋_GB2312" w:cs="仿宋_GB2312" w:eastAsia="仿宋_GB2312"/>
                      <w:sz w:val="20"/>
                    </w:rPr>
                    <w:t>业务</w:t>
                  </w:r>
                </w:p>
                <w:p>
                  <w:pPr>
                    <w:pStyle w:val="null3"/>
                    <w:jc w:val="both"/>
                  </w:pPr>
                  <w:r>
                    <w:rPr>
                      <w:rFonts w:ascii="仿宋_GB2312" w:hAnsi="仿宋_GB2312" w:cs="仿宋_GB2312" w:eastAsia="仿宋_GB2312"/>
                      <w:sz w:val="20"/>
                    </w:rPr>
                    <w:t>运行</w:t>
                  </w: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1、及时完成图书上架、下架、排架、整架等，对工作人员不定期进行专业培训。</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2、完成市图书馆与社区分馆图书的更换等,每个分馆每月图书更新率应当达到20%以上。</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3、根据读者个人阅读喜好、通过大数据挑选其所需图书调配至相应的分馆</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4、对破损图书及时进行保质修复或报送总馆处理；</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5</w:t>
                  </w:r>
                </w:p>
              </w:tc>
              <w:tc>
                <w:tcPr>
                  <w:tcW w:type="dxa" w:w="35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公共安全及</w:t>
                  </w:r>
                </w:p>
                <w:p>
                  <w:pPr>
                    <w:pStyle w:val="null3"/>
                    <w:jc w:val="both"/>
                  </w:pPr>
                  <w:r>
                    <w:rPr>
                      <w:rFonts w:ascii="仿宋_GB2312" w:hAnsi="仿宋_GB2312" w:cs="仿宋_GB2312" w:eastAsia="仿宋_GB2312"/>
                      <w:sz w:val="20"/>
                    </w:rPr>
                    <w:t>保障</w:t>
                  </w: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1、安全及秩序管理：建立分馆安全保障机制，加强后台远程实时监控，及时妥善处理突发事件，保障分馆财产设备安全，维持馆内正常借阅秩序。</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2、文明开放，强化管理，保证读者进出馆舍秩序井然，无占座、插队、吵闹喧哗现象。</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3、加强联系群众，做好群防群治。在分馆内外硬件及房体遭到自然或人为破坏时，可立即报备市图书馆和当地公安机关，并在现场张贴闭馆通知和设置围挡以确保安全，积极协助公安机关调查，协助辖区管理部门追究肇事者责任。</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4、消防设施设备摆放位置醒目，设施配备齐全、完好无损，可随时起用，组织开展消防法规及消防知识的宣传教育，明确各分馆消防安全责任人；保证消防疏散通道畅通；无火灾安全隐患。</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6</w:t>
                  </w:r>
                </w:p>
              </w:tc>
              <w:tc>
                <w:tcPr>
                  <w:tcW w:type="dxa" w:w="35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公共服务设施日常管理维护</w:t>
                  </w:r>
                </w:p>
              </w:tc>
              <w:tc>
                <w:tcPr>
                  <w:tcW w:type="dxa" w:w="12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1、保证各类照明灯具，包括馆舍外部灯箱、亮化灯、内部照明灯、应急灯正常运行，外观无破损，无安全隐患</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2、馆舍内外各类提示语、标牌、宣传标识完整，内容合规，无破损、褪色现象。</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3、房体外观完好、整洁，无乱贴、乱涂、乱画现象。</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4、书架、阅览桌椅等各类设施设备正常使用且外观无破损现象。</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5、及时对馆舍内外公共服务设施进行维修、清洗、保障灯具、标识标牌、锁具、空调、消防设备及供电系统、弱电网络系统等各项公共服务设施设备正常使用运行。</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7</w:t>
                  </w:r>
                </w:p>
              </w:tc>
              <w:tc>
                <w:tcPr>
                  <w:tcW w:type="dxa" w:w="35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环境卫生管理</w:t>
                  </w: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1、配备日常所需的保洁设备及消毒用品。</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2、室内垃圾日产日清，每日进行卫生消毒灭杀。</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3、馆舍外部房体及内部保持清洁，书架、阅览桌椅、各种设备整洁无灰尘、无乱贴、乱画现象，室内无纸屑、烟头等废弃物。</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4、做好环卫、禁烟宣传工作，提高卫生清洁意识。</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5、建全公共卫生安全保障机制，建立卫生保洁、消毒制度及灭</w:t>
                  </w:r>
                  <w:r>
                    <w:rPr>
                      <w:rFonts w:ascii="仿宋_GB2312" w:hAnsi="仿宋_GB2312" w:cs="仿宋_GB2312" w:eastAsia="仿宋_GB2312"/>
                      <w:sz w:val="20"/>
                    </w:rPr>
                    <w:t>“</w:t>
                  </w:r>
                  <w:r>
                    <w:rPr>
                      <w:rFonts w:ascii="仿宋_GB2312" w:hAnsi="仿宋_GB2312" w:cs="仿宋_GB2312" w:eastAsia="仿宋_GB2312"/>
                      <w:sz w:val="20"/>
                    </w:rPr>
                    <w:t>四害</w:t>
                  </w:r>
                  <w:r>
                    <w:rPr>
                      <w:rFonts w:ascii="仿宋_GB2312" w:hAnsi="仿宋_GB2312" w:cs="仿宋_GB2312" w:eastAsia="仿宋_GB2312"/>
                      <w:sz w:val="20"/>
                    </w:rPr>
                    <w:t>”</w:t>
                  </w:r>
                  <w:r>
                    <w:rPr>
                      <w:rFonts w:ascii="仿宋_GB2312" w:hAnsi="仿宋_GB2312" w:cs="仿宋_GB2312" w:eastAsia="仿宋_GB2312"/>
                      <w:sz w:val="20"/>
                    </w:rPr>
                    <w:t>工作日志。</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8</w:t>
                  </w:r>
                </w:p>
              </w:tc>
              <w:tc>
                <w:tcPr>
                  <w:tcW w:type="dxa" w:w="35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智能管理系统设施设备维护管理</w:t>
                  </w: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1、定期开展包括卫生检查、图书整理、设备隐患检查、治安巡查在内的自我巡查整改工作，并做好日常巡检和处理隐患的工作日志。</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2、每天查看馆舍内外的设施、RFID 智能设备的安全及各系统设备运行情况。如分馆内公共服务设施设备或智能化管理控制系统设施设备出现故障，立刻指派技术人员或联系设备供应商进行维修，并跟踪推进维修进度，一般故障确保在 2 小时内解除，确保馆内 RFID 设备的正常运行；若出现重大故障、事故须闭馆维修时应立即报备市图书馆并现场张贴闭馆通知和设置围挡确保安全。</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3、突发事件处理。遇到突发事情需及时电话对接处理，必要时</w:t>
                  </w:r>
                  <w:r>
                    <w:rPr>
                      <w:rFonts w:ascii="仿宋_GB2312" w:hAnsi="仿宋_GB2312" w:cs="仿宋_GB2312" w:eastAsia="仿宋_GB2312"/>
                      <w:sz w:val="20"/>
                    </w:rPr>
                    <w:t xml:space="preserve"> </w:t>
                  </w:r>
                  <w:r>
                    <w:rPr>
                      <w:rFonts w:ascii="仿宋_GB2312" w:hAnsi="仿宋_GB2312" w:cs="仿宋_GB2312" w:eastAsia="仿宋_GB2312"/>
                      <w:sz w:val="20"/>
                    </w:rPr>
                    <w:t>1.5</w:t>
                  </w:r>
                  <w:r>
                    <w:rPr>
                      <w:rFonts w:ascii="仿宋_GB2312" w:hAnsi="仿宋_GB2312" w:cs="仿宋_GB2312" w:eastAsia="仿宋_GB2312"/>
                      <w:sz w:val="20"/>
                    </w:rPr>
                    <w:t>小时内到达现场进行处理，并及时给予读者答复。</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4、及时预存各项费用。确保馆内不断电、手机不停机、SOS 能够正常使用、网络正常运转。</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 xml:space="preserve">5、定期维护馆内大数据监控中心的数据端口，保证数据端口的正常对接并确保馆内智能设备收集数据的准确性。  </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9</w:t>
                  </w:r>
                </w:p>
              </w:tc>
              <w:tc>
                <w:tcPr>
                  <w:tcW w:type="dxa" w:w="35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管理维护</w:t>
                  </w: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1、组建日常维护管理团队。负责分馆环境卫生、业务管理、读者管理、阅读推广活动等常态化服务管理，掌握智能调节分馆开馆、闭馆、通断电等技术。</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2、组建设备管理维护巡检团队。对各分馆设备运行情况进行巡检，及时处理设备故障，保障自助图书馆智能设备及软硬件系统正常运行。</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3、组建后台控制及综合指挥调度团队。对自助图书馆进行后台管理控制，包括视频摄像设备、语音广播呼叫系统、大数据摄像设备等；监测自助图书馆运行状态，及时发现问题并进行调度处理；综合协调处理其他自助图书馆运行过程中的其他工作和问题。</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10</w:t>
                  </w:r>
                </w:p>
              </w:tc>
              <w:tc>
                <w:tcPr>
                  <w:tcW w:type="dxa" w:w="357"/>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档案及日志管理</w:t>
                  </w: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1、建立日常管理及设备设施运行维护档案，保证各项工作日志齐全、准确。</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vMerge/>
                  <w:tcBorders>
                    <w:top w:val="none" w:color="000000" w:sz="4"/>
                    <w:left w:val="single" w:color="000000" w:sz="4"/>
                    <w:bottom w:val="single" w:color="000000" w:sz="4"/>
                    <w:right w:val="single" w:color="000000" w:sz="4"/>
                  </w:tcBorders>
                </w:tcPr>
                <w:p/>
              </w:tc>
              <w:tc>
                <w:tcPr>
                  <w:tcW w:type="dxa" w:w="357"/>
                  <w:vMerge/>
                  <w:tcBorders>
                    <w:top w:val="none" w:color="000000" w:sz="4"/>
                    <w:left w:val="none" w:color="000000" w:sz="4"/>
                    <w:bottom w:val="singl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2、定期统计、及时上报各类业务数据。</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11</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视频监控影像资料</w:t>
                  </w: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运营期间提供监控记录用于危机凭证处理：</w:t>
                  </w:r>
                  <w:r>
                    <w:br/>
                  </w:r>
                  <w:r>
                    <w:rPr>
                      <w:rFonts w:ascii="仿宋_GB2312" w:hAnsi="仿宋_GB2312" w:cs="仿宋_GB2312" w:eastAsia="仿宋_GB2312"/>
                      <w:sz w:val="20"/>
                    </w:rPr>
                    <w:t>1、提供不低于30个日历日、12个社区分馆视频监控影音资料；</w:t>
                  </w:r>
                  <w:r>
                    <w:br/>
                  </w:r>
                  <w:r>
                    <w:rPr>
                      <w:rFonts w:ascii="仿宋_GB2312" w:hAnsi="仿宋_GB2312" w:cs="仿宋_GB2312" w:eastAsia="仿宋_GB2312"/>
                      <w:sz w:val="20"/>
                    </w:rPr>
                    <w:t>2、每处社区分馆不低于4路监控线路的监控视频留存；</w:t>
                  </w:r>
                </w:p>
                <w:p>
                  <w:pPr>
                    <w:pStyle w:val="null3"/>
                    <w:jc w:val="both"/>
                  </w:pPr>
                  <w:r>
                    <w:rPr>
                      <w:rFonts w:ascii="仿宋_GB2312" w:hAnsi="仿宋_GB2312" w:cs="仿宋_GB2312" w:eastAsia="仿宋_GB2312"/>
                      <w:sz w:val="20"/>
                    </w:rPr>
                    <w:t>3、监控记录要求进行本地或者云存储，并能随时回放、调取；</w:t>
                  </w:r>
                </w:p>
                <w:p>
                  <w:pPr>
                    <w:pStyle w:val="null3"/>
                    <w:jc w:val="both"/>
                  </w:pPr>
                  <w:r>
                    <w:rPr>
                      <w:rFonts w:ascii="仿宋_GB2312" w:hAnsi="仿宋_GB2312" w:cs="仿宋_GB2312" w:eastAsia="仿宋_GB2312"/>
                      <w:sz w:val="20"/>
                    </w:rPr>
                    <w:t>4、要求不低于64路网络高清硬盘录像机、视频存储</w:t>
                  </w:r>
                  <w:r>
                    <w:rPr>
                      <w:rFonts w:ascii="仿宋_GB2312" w:hAnsi="仿宋_GB2312" w:cs="仿宋_GB2312" w:eastAsia="仿宋_GB2312"/>
                      <w:sz w:val="20"/>
                    </w:rPr>
                    <w:t>，</w:t>
                  </w:r>
                  <w:r>
                    <w:rPr>
                      <w:rFonts w:ascii="仿宋_GB2312" w:hAnsi="仿宋_GB2312" w:cs="仿宋_GB2312" w:eastAsia="仿宋_GB2312"/>
                      <w:sz w:val="20"/>
                    </w:rPr>
                    <w:t>硬盘不低于</w:t>
                  </w:r>
                  <w:r>
                    <w:rPr>
                      <w:rFonts w:ascii="仿宋_GB2312" w:hAnsi="仿宋_GB2312" w:cs="仿宋_GB2312" w:eastAsia="仿宋_GB2312"/>
                      <w:sz w:val="20"/>
                    </w:rPr>
                    <w:t>20T</w:t>
                  </w:r>
                  <w:r>
                    <w:rPr>
                      <w:rFonts w:ascii="仿宋_GB2312" w:hAnsi="仿宋_GB2312" w:cs="仿宋_GB2312" w:eastAsia="仿宋_GB2312"/>
                      <w:sz w:val="20"/>
                    </w:rPr>
                    <w:t>。</w:t>
                  </w:r>
                </w:p>
              </w:tc>
              <w:tc>
                <w:tcPr>
                  <w:tcW w:type="dxa" w:w="229"/>
                  <w:vMerge/>
                  <w:tcBorders>
                    <w:top w:val="none" w:color="000000" w:sz="4"/>
                    <w:left w:val="none" w:color="000000" w:sz="4"/>
                    <w:bottom w:val="single" w:color="000000" w:sz="4"/>
                    <w:right w:val="single" w:color="000000" w:sz="4"/>
                  </w:tcBorders>
                </w:tcPr>
                <w:p/>
              </w:tc>
              <w:tc>
                <w:tcPr>
                  <w:tcW w:type="dxa" w:w="334"/>
                  <w:vMerge/>
                  <w:tcBorders>
                    <w:top w:val="none" w:color="000000" w:sz="4"/>
                    <w:left w:val="none" w:color="000000" w:sz="4"/>
                    <w:bottom w:val="single" w:color="000000" w:sz="4"/>
                    <w:right w:val="single" w:color="000000" w:sz="4"/>
                  </w:tcBorders>
                </w:tcPr>
                <w:p/>
              </w:tc>
            </w:tr>
            <w:tr>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12</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阅读听书墙更新</w:t>
                  </w: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阅读听书墙每季更换听书内容，总计不少于</w:t>
                  </w:r>
                  <w:r>
                    <w:rPr>
                      <w:rFonts w:ascii="仿宋_GB2312" w:hAnsi="仿宋_GB2312" w:cs="仿宋_GB2312" w:eastAsia="仿宋_GB2312"/>
                      <w:sz w:val="20"/>
                    </w:rPr>
                    <w:t>200</w:t>
                  </w:r>
                  <w:r>
                    <w:rPr>
                      <w:rFonts w:ascii="仿宋_GB2312" w:hAnsi="仿宋_GB2312" w:cs="仿宋_GB2312" w:eastAsia="仿宋_GB2312"/>
                      <w:sz w:val="20"/>
                    </w:rPr>
                    <w:t>册；</w:t>
                  </w:r>
                </w:p>
                <w:p>
                  <w:pPr>
                    <w:pStyle w:val="null3"/>
                    <w:jc w:val="both"/>
                  </w:pPr>
                  <w:r>
                    <w:rPr>
                      <w:rFonts w:ascii="仿宋_GB2312" w:hAnsi="仿宋_GB2312" w:cs="仿宋_GB2312" w:eastAsia="仿宋_GB2312"/>
                      <w:sz w:val="20"/>
                    </w:rPr>
                    <w:t>一、听书操作方式：扫描二维码即可在微信端打开听书内容页进行听书；</w:t>
                  </w:r>
                </w:p>
                <w:p>
                  <w:pPr>
                    <w:pStyle w:val="null3"/>
                    <w:jc w:val="both"/>
                  </w:pPr>
                  <w:r>
                    <w:rPr>
                      <w:rFonts w:ascii="仿宋_GB2312" w:hAnsi="仿宋_GB2312" w:cs="仿宋_GB2312" w:eastAsia="仿宋_GB2312"/>
                      <w:sz w:val="20"/>
                    </w:rPr>
                    <w:t>二、听书内容要求：</w:t>
                  </w:r>
                </w:p>
                <w:p>
                  <w:pPr>
                    <w:pStyle w:val="null3"/>
                    <w:jc w:val="both"/>
                  </w:pPr>
                  <w:r>
                    <w:rPr>
                      <w:rFonts w:ascii="仿宋_GB2312" w:hAnsi="仿宋_GB2312" w:cs="仿宋_GB2312" w:eastAsia="仿宋_GB2312"/>
                      <w:sz w:val="20"/>
                    </w:rPr>
                    <w:t xml:space="preserve">1. </w:t>
                  </w:r>
                  <w:r>
                    <w:rPr>
                      <w:rFonts w:ascii="仿宋_GB2312" w:hAnsi="仿宋_GB2312" w:cs="仿宋_GB2312" w:eastAsia="仿宋_GB2312"/>
                      <w:sz w:val="20"/>
                    </w:rPr>
                    <w:t>提供不少于</w:t>
                  </w:r>
                  <w:r>
                    <w:rPr>
                      <w:rFonts w:ascii="仿宋_GB2312" w:hAnsi="仿宋_GB2312" w:cs="仿宋_GB2312" w:eastAsia="仿宋_GB2312"/>
                      <w:sz w:val="20"/>
                    </w:rPr>
                    <w:t>20000</w:t>
                  </w:r>
                  <w:r>
                    <w:rPr>
                      <w:rFonts w:ascii="仿宋_GB2312" w:hAnsi="仿宋_GB2312" w:cs="仿宋_GB2312" w:eastAsia="仿宋_GB2312"/>
                      <w:sz w:val="20"/>
                    </w:rPr>
                    <w:t>集</w:t>
                  </w:r>
                  <w:r>
                    <w:rPr>
                      <w:rFonts w:ascii="仿宋_GB2312" w:hAnsi="仿宋_GB2312" w:cs="仿宋_GB2312" w:eastAsia="仿宋_GB2312"/>
                      <w:sz w:val="20"/>
                    </w:rPr>
                    <w:t>正版有声书籍（提供证明材料），内容主要涉及党政、财经、文学、人文、历史、成功、有声小说、儿童、健康、生活等门类，</w:t>
                  </w:r>
                  <w:r>
                    <w:rPr>
                      <w:rFonts w:ascii="仿宋_GB2312" w:hAnsi="仿宋_GB2312" w:cs="仿宋_GB2312" w:eastAsia="仿宋_GB2312"/>
                      <w:sz w:val="20"/>
                    </w:rPr>
                    <w:t>且听书资源持续更新上线</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提供听书图书要求是</w:t>
                  </w:r>
                  <w:r>
                    <w:rPr>
                      <w:rFonts w:ascii="仿宋_GB2312" w:hAnsi="仿宋_GB2312" w:cs="仿宋_GB2312" w:eastAsia="仿宋_GB2312"/>
                      <w:sz w:val="20"/>
                    </w:rPr>
                    <w:t>国家新闻出版署依法备案</w:t>
                  </w:r>
                  <w:r>
                    <w:rPr>
                      <w:rFonts w:ascii="仿宋_GB2312" w:hAnsi="仿宋_GB2312" w:cs="仿宋_GB2312" w:eastAsia="仿宋_GB2312"/>
                      <w:sz w:val="20"/>
                    </w:rPr>
                    <w:t>出版机构</w:t>
                  </w:r>
                  <w:r>
                    <w:rPr>
                      <w:rFonts w:ascii="仿宋_GB2312" w:hAnsi="仿宋_GB2312" w:cs="仿宋_GB2312" w:eastAsia="仿宋_GB2312"/>
                      <w:sz w:val="20"/>
                    </w:rPr>
                    <w:t>的正规出版物</w:t>
                  </w:r>
                  <w:r>
                    <w:rPr>
                      <w:rFonts w:ascii="仿宋_GB2312" w:hAnsi="仿宋_GB2312" w:cs="仿宋_GB2312" w:eastAsia="仿宋_GB2312"/>
                      <w:sz w:val="20"/>
                    </w:rPr>
                    <w:t>，</w:t>
                  </w:r>
                  <w:r>
                    <w:rPr>
                      <w:rFonts w:ascii="仿宋_GB2312" w:hAnsi="仿宋_GB2312" w:cs="仿宋_GB2312" w:eastAsia="仿宋_GB2312"/>
                      <w:sz w:val="20"/>
                    </w:rPr>
                    <w:t>并</w:t>
                  </w:r>
                  <w:r>
                    <w:rPr>
                      <w:rFonts w:ascii="仿宋_GB2312" w:hAnsi="仿宋_GB2312" w:cs="仿宋_GB2312" w:eastAsia="仿宋_GB2312"/>
                      <w:sz w:val="20"/>
                    </w:rPr>
                    <w:t>提供以上合作出版社版权协议</w:t>
                  </w:r>
                  <w:r>
                    <w:rPr>
                      <w:rFonts w:ascii="仿宋_GB2312" w:hAnsi="仿宋_GB2312" w:cs="仿宋_GB2312" w:eastAsia="仿宋_GB2312"/>
                      <w:sz w:val="20"/>
                    </w:rPr>
                    <w:t>合作承诺函。</w:t>
                  </w:r>
                </w:p>
                <w:p>
                  <w:pPr>
                    <w:pStyle w:val="null3"/>
                    <w:jc w:val="both"/>
                  </w:pPr>
                  <w:r>
                    <w:rPr>
                      <w:rFonts w:ascii="仿宋_GB2312" w:hAnsi="仿宋_GB2312" w:cs="仿宋_GB2312" w:eastAsia="仿宋_GB2312"/>
                      <w:sz w:val="20"/>
                    </w:rPr>
                    <w:t>3、资源分类至少包含如下：</w:t>
                  </w:r>
                </w:p>
                <w:p>
                  <w:pPr>
                    <w:pStyle w:val="null3"/>
                    <w:jc w:val="both"/>
                  </w:pPr>
                  <w:r>
                    <w:rPr>
                      <w:rFonts w:ascii="仿宋_GB2312" w:hAnsi="仿宋_GB2312" w:cs="仿宋_GB2312" w:eastAsia="仿宋_GB2312"/>
                      <w:sz w:val="20"/>
                    </w:rPr>
                    <w:t>党政类：新思想、党政学习等；</w:t>
                  </w:r>
                </w:p>
                <w:p>
                  <w:pPr>
                    <w:pStyle w:val="null3"/>
                    <w:jc w:val="both"/>
                  </w:pPr>
                  <w:r>
                    <w:rPr>
                      <w:rFonts w:ascii="仿宋_GB2312" w:hAnsi="仿宋_GB2312" w:cs="仿宋_GB2312" w:eastAsia="仿宋_GB2312"/>
                      <w:sz w:val="20"/>
                    </w:rPr>
                    <w:t>财经类：商业智慧、股市、投资理财、创业、管理营销等；</w:t>
                  </w:r>
                </w:p>
                <w:p>
                  <w:pPr>
                    <w:pStyle w:val="null3"/>
                    <w:jc w:val="both"/>
                  </w:pPr>
                  <w:r>
                    <w:rPr>
                      <w:rFonts w:ascii="仿宋_GB2312" w:hAnsi="仿宋_GB2312" w:cs="仿宋_GB2312" w:eastAsia="仿宋_GB2312"/>
                      <w:sz w:val="20"/>
                    </w:rPr>
                    <w:t>文学类：科幻小说、探险小说、推理小说、军旅文学、古典文学、影视文学、青春文学、散文诗歌、外国文学、通俗文学、名家名著等；</w:t>
                  </w:r>
                </w:p>
                <w:p>
                  <w:pPr>
                    <w:pStyle w:val="null3"/>
                    <w:jc w:val="both"/>
                  </w:pPr>
                  <w:r>
                    <w:rPr>
                      <w:rFonts w:ascii="仿宋_GB2312" w:hAnsi="仿宋_GB2312" w:cs="仿宋_GB2312" w:eastAsia="仿宋_GB2312"/>
                      <w:sz w:val="20"/>
                    </w:rPr>
                    <w:t>人文类：农林渔牧、心理百科、文艺文化、时政热点、纪实传奇、科学科普等；</w:t>
                  </w:r>
                </w:p>
                <w:p>
                  <w:pPr>
                    <w:pStyle w:val="null3"/>
                    <w:jc w:val="both"/>
                  </w:pPr>
                  <w:r>
                    <w:rPr>
                      <w:rFonts w:ascii="仿宋_GB2312" w:hAnsi="仿宋_GB2312" w:cs="仿宋_GB2312" w:eastAsia="仿宋_GB2312"/>
                      <w:sz w:val="20"/>
                    </w:rPr>
                    <w:t>历史类：世界史、红色足迹、历史小说、中国古代史、中国近代史等；</w:t>
                  </w:r>
                </w:p>
                <w:p>
                  <w:pPr>
                    <w:pStyle w:val="null3"/>
                    <w:jc w:val="both"/>
                  </w:pPr>
                  <w:r>
                    <w:rPr>
                      <w:rFonts w:ascii="仿宋_GB2312" w:hAnsi="仿宋_GB2312" w:cs="仿宋_GB2312" w:eastAsia="仿宋_GB2312"/>
                      <w:sz w:val="20"/>
                    </w:rPr>
                    <w:t>成功类：心灵素养、职场进阶、就业指导、演讲口才、专业考试等；</w:t>
                  </w:r>
                </w:p>
                <w:p>
                  <w:pPr>
                    <w:pStyle w:val="null3"/>
                    <w:jc w:val="both"/>
                  </w:pPr>
                  <w:r>
                    <w:rPr>
                      <w:rFonts w:ascii="仿宋_GB2312" w:hAnsi="仿宋_GB2312" w:cs="仿宋_GB2312" w:eastAsia="仿宋_GB2312"/>
                      <w:sz w:val="20"/>
                    </w:rPr>
                    <w:t>有声小说类：热血军事、穿越架空、悬疑推理、青春校园、科幻世界等；</w:t>
                  </w:r>
                </w:p>
              </w:tc>
              <w:tc>
                <w:tcPr>
                  <w:tcW w:type="dxa" w:w="2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12套</w:t>
                  </w:r>
                </w:p>
              </w:tc>
              <w:tc>
                <w:tcPr>
                  <w:tcW w:type="dxa" w:w="3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41"/>
                  <w:vMerge w:val="restart"/>
                  <w:tcBorders>
                    <w:top w:val="none" w:color="000000" w:sz="4"/>
                    <w:left w:val="single" w:color="000000" w:sz="4"/>
                    <w:bottom w:val="non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13</w:t>
                  </w:r>
                </w:p>
              </w:tc>
              <w:tc>
                <w:tcPr>
                  <w:tcW w:type="dxa" w:w="357"/>
                  <w:vMerge w:val="restart"/>
                  <w:tcBorders>
                    <w:top w:val="none" w:color="000000" w:sz="4"/>
                    <w:left w:val="none" w:color="000000" w:sz="4"/>
                    <w:bottom w:val="non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读者服务</w:t>
                  </w: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1、读者服务。分馆正常开放期间认真接听读者电话咨询并及时对接各执行部门，尽快处理解决读者问题。</w:t>
                  </w:r>
                </w:p>
              </w:tc>
              <w:tc>
                <w:tcPr>
                  <w:tcW w:type="dxa" w:w="2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3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141"/>
                  <w:vMerge/>
                  <w:tcBorders>
                    <w:top w:val="none" w:color="000000" w:sz="4"/>
                    <w:left w:val="single" w:color="000000" w:sz="4"/>
                    <w:bottom w:val="none" w:color="000000" w:sz="4"/>
                    <w:right w:val="single" w:color="000000" w:sz="4"/>
                  </w:tcBorders>
                </w:tcPr>
                <w:p/>
              </w:tc>
              <w:tc>
                <w:tcPr>
                  <w:tcW w:type="dxa" w:w="357"/>
                  <w:vMerge/>
                  <w:tcBorders>
                    <w:top w:val="none" w:color="000000" w:sz="4"/>
                    <w:left w:val="none" w:color="000000" w:sz="4"/>
                    <w:bottom w:val="non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2、及时收集整理读者意见并回复读者留言，加强与读者交流，提升分馆美誉度。</w:t>
                  </w:r>
                </w:p>
              </w:tc>
              <w:tc>
                <w:tcPr>
                  <w:tcW w:type="dxa" w:w="2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3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141"/>
                  <w:vMerge/>
                  <w:tcBorders>
                    <w:top w:val="none" w:color="000000" w:sz="4"/>
                    <w:left w:val="single" w:color="000000" w:sz="4"/>
                    <w:bottom w:val="none" w:color="000000" w:sz="4"/>
                    <w:right w:val="single" w:color="000000" w:sz="4"/>
                  </w:tcBorders>
                </w:tcPr>
                <w:p/>
              </w:tc>
              <w:tc>
                <w:tcPr>
                  <w:tcW w:type="dxa" w:w="357"/>
                  <w:vMerge/>
                  <w:tcBorders>
                    <w:top w:val="none" w:color="000000" w:sz="4"/>
                    <w:left w:val="none" w:color="000000" w:sz="4"/>
                    <w:bottom w:val="non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3、活动策划：根据周边读者群等信息策划积极开展文化活动，以活动为载体，拓宽分馆宣传渠道。</w:t>
                  </w:r>
                </w:p>
              </w:tc>
              <w:tc>
                <w:tcPr>
                  <w:tcW w:type="dxa" w:w="2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3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141"/>
                  <w:vMerge/>
                  <w:tcBorders>
                    <w:top w:val="none" w:color="000000" w:sz="4"/>
                    <w:left w:val="single" w:color="000000" w:sz="4"/>
                    <w:bottom w:val="none" w:color="000000" w:sz="4"/>
                    <w:right w:val="single" w:color="000000" w:sz="4"/>
                  </w:tcBorders>
                </w:tcPr>
                <w:p/>
              </w:tc>
              <w:tc>
                <w:tcPr>
                  <w:tcW w:type="dxa" w:w="357"/>
                  <w:vMerge/>
                  <w:tcBorders>
                    <w:top w:val="none" w:color="000000" w:sz="4"/>
                    <w:left w:val="none" w:color="000000" w:sz="4"/>
                    <w:bottom w:val="non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4、配合西安图书馆微信公众号</w:t>
                  </w:r>
                  <w:r>
                    <w:rPr>
                      <w:rFonts w:ascii="仿宋_GB2312" w:hAnsi="仿宋_GB2312" w:cs="仿宋_GB2312" w:eastAsia="仿宋_GB2312"/>
                      <w:sz w:val="20"/>
                    </w:rPr>
                    <w:t>推文，</w:t>
                  </w:r>
                  <w:r>
                    <w:rPr>
                      <w:rFonts w:ascii="仿宋_GB2312" w:hAnsi="仿宋_GB2312" w:cs="仿宋_GB2312" w:eastAsia="仿宋_GB2312"/>
                      <w:sz w:val="20"/>
                    </w:rPr>
                    <w:t>通过线上线下的互动，多形式服务读者，推动全民阅读活动的开展；</w:t>
                  </w:r>
                </w:p>
              </w:tc>
              <w:tc>
                <w:tcPr>
                  <w:tcW w:type="dxa" w:w="2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3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141"/>
                  <w:vMerge/>
                  <w:tcBorders>
                    <w:top w:val="none" w:color="000000" w:sz="4"/>
                    <w:left w:val="single" w:color="000000" w:sz="4"/>
                    <w:bottom w:val="none" w:color="000000" w:sz="4"/>
                    <w:right w:val="single" w:color="000000" w:sz="4"/>
                  </w:tcBorders>
                </w:tcPr>
                <w:p/>
              </w:tc>
              <w:tc>
                <w:tcPr>
                  <w:tcW w:type="dxa" w:w="357"/>
                  <w:vMerge/>
                  <w:tcBorders>
                    <w:top w:val="none" w:color="000000" w:sz="4"/>
                    <w:left w:val="none" w:color="000000" w:sz="4"/>
                    <w:bottom w:val="non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5、制定统一的管理服务标准。根据西安图书馆要求，制定专业化、标准化的服务细则，提供统一的标准化管理服务，确保各项服务功能设施设备和阅读服务让市民满意。</w:t>
                  </w:r>
                </w:p>
              </w:tc>
              <w:tc>
                <w:tcPr>
                  <w:tcW w:type="dxa" w:w="2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3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141"/>
                  <w:vMerge/>
                  <w:tcBorders>
                    <w:top w:val="none" w:color="000000" w:sz="4"/>
                    <w:left w:val="single" w:color="000000" w:sz="4"/>
                    <w:bottom w:val="none" w:color="000000" w:sz="4"/>
                    <w:right w:val="single" w:color="000000" w:sz="4"/>
                  </w:tcBorders>
                </w:tcPr>
                <w:p/>
              </w:tc>
              <w:tc>
                <w:tcPr>
                  <w:tcW w:type="dxa" w:w="357"/>
                  <w:vMerge/>
                  <w:tcBorders>
                    <w:top w:val="none" w:color="000000" w:sz="4"/>
                    <w:left w:val="none" w:color="000000" w:sz="4"/>
                    <w:bottom w:val="non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6、在社区分馆馆舍内显著位置向读者公示服务范围、服务内容、开放时间、服务公约、服务承诺以及读者须知、办证方法、借阅规则等信息。因故必须闭馆时，须及时向读者公告。</w:t>
                  </w:r>
                </w:p>
              </w:tc>
              <w:tc>
                <w:tcPr>
                  <w:tcW w:type="dxa" w:w="2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3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141"/>
                  <w:vMerge/>
                  <w:tcBorders>
                    <w:top w:val="none" w:color="000000" w:sz="4"/>
                    <w:left w:val="single" w:color="000000" w:sz="4"/>
                    <w:bottom w:val="none" w:color="000000" w:sz="4"/>
                    <w:right w:val="single" w:color="000000" w:sz="4"/>
                  </w:tcBorders>
                </w:tcPr>
                <w:p/>
              </w:tc>
              <w:tc>
                <w:tcPr>
                  <w:tcW w:type="dxa" w:w="357"/>
                  <w:vMerge/>
                  <w:tcBorders>
                    <w:top w:val="none" w:color="000000" w:sz="4"/>
                    <w:left w:val="none" w:color="000000" w:sz="4"/>
                    <w:bottom w:val="none" w:color="000000" w:sz="4"/>
                    <w:right w:val="single" w:color="000000" w:sz="4"/>
                  </w:tcBorders>
                </w:tcP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7、做好各分馆志愿者服务管理与维护。建立长期有效的志愿者服务工作机制，负责分馆志愿者队伍的管理，扩大宣传，吸引更多的公益机构和社会人员加入维护分馆正常运行的志愿者队伍。</w:t>
                  </w:r>
                </w:p>
              </w:tc>
              <w:tc>
                <w:tcPr>
                  <w:tcW w:type="dxa" w:w="2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3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14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14</w:t>
                  </w:r>
                </w:p>
              </w:tc>
              <w:tc>
                <w:tcPr>
                  <w:tcW w:type="dxa" w:w="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阅读推广</w:t>
                  </w:r>
                </w:p>
              </w:tc>
              <w:tc>
                <w:tcPr>
                  <w:tcW w:type="dxa" w:w="12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0"/>
                    </w:rPr>
                    <w:t>配合市图书馆开展阅读推广工作，根据社区分馆的读者需求开展阅读宣传活动，</w:t>
                  </w:r>
                  <w:r>
                    <w:rPr>
                      <w:rFonts w:ascii="仿宋_GB2312" w:hAnsi="仿宋_GB2312" w:cs="仿宋_GB2312" w:eastAsia="仿宋_GB2312"/>
                      <w:sz w:val="20"/>
                    </w:rPr>
                    <w:t>打造分馆</w:t>
                  </w:r>
                  <w:r>
                    <w:rPr>
                      <w:rFonts w:ascii="仿宋_GB2312" w:hAnsi="仿宋_GB2312" w:cs="仿宋_GB2312" w:eastAsia="仿宋_GB2312"/>
                      <w:sz w:val="20"/>
                    </w:rPr>
                    <w:t>ip阅读品牌，</w:t>
                  </w:r>
                  <w:r>
                    <w:rPr>
                      <w:rFonts w:ascii="仿宋_GB2312" w:hAnsi="仿宋_GB2312" w:cs="仿宋_GB2312" w:eastAsia="仿宋_GB2312"/>
                      <w:sz w:val="20"/>
                    </w:rPr>
                    <w:t>全年</w:t>
                  </w:r>
                  <w:r>
                    <w:rPr>
                      <w:rFonts w:ascii="仿宋_GB2312" w:hAnsi="仿宋_GB2312" w:cs="仿宋_GB2312" w:eastAsia="仿宋_GB2312"/>
                      <w:sz w:val="20"/>
                    </w:rPr>
                    <w:t>线下</w:t>
                  </w:r>
                  <w:r>
                    <w:rPr>
                      <w:rFonts w:ascii="仿宋_GB2312" w:hAnsi="仿宋_GB2312" w:cs="仿宋_GB2312" w:eastAsia="仿宋_GB2312"/>
                      <w:sz w:val="20"/>
                    </w:rPr>
                    <w:t>活动不低于</w:t>
                  </w:r>
                  <w:r>
                    <w:rPr>
                      <w:rFonts w:ascii="仿宋_GB2312" w:hAnsi="仿宋_GB2312" w:cs="仿宋_GB2312" w:eastAsia="仿宋_GB2312"/>
                      <w:sz w:val="20"/>
                    </w:rPr>
                    <w:t>12</w:t>
                  </w:r>
                  <w:r>
                    <w:rPr>
                      <w:rFonts w:ascii="仿宋_GB2312" w:hAnsi="仿宋_GB2312" w:cs="仿宋_GB2312" w:eastAsia="仿宋_GB2312"/>
                      <w:sz w:val="20"/>
                    </w:rPr>
                    <w:t>场次</w:t>
                  </w:r>
                  <w:r>
                    <w:rPr>
                      <w:rFonts w:ascii="仿宋_GB2312" w:hAnsi="仿宋_GB2312" w:cs="仿宋_GB2312" w:eastAsia="仿宋_GB2312"/>
                      <w:sz w:val="20"/>
                    </w:rPr>
                    <w:t>(国家法定节假日保证活动开展)</w:t>
                  </w:r>
                  <w:r>
                    <w:rPr>
                      <w:rFonts w:ascii="仿宋_GB2312" w:hAnsi="仿宋_GB2312" w:cs="仿宋_GB2312" w:eastAsia="仿宋_GB2312"/>
                      <w:sz w:val="20"/>
                    </w:rPr>
                    <w:t>，</w:t>
                  </w:r>
                  <w:r>
                    <w:rPr>
                      <w:rFonts w:ascii="仿宋_GB2312" w:hAnsi="仿宋_GB2312" w:cs="仿宋_GB2312" w:eastAsia="仿宋_GB2312"/>
                      <w:sz w:val="20"/>
                    </w:rPr>
                    <w:t>线上活动不低于</w:t>
                  </w:r>
                  <w:r>
                    <w:rPr>
                      <w:rFonts w:ascii="仿宋_GB2312" w:hAnsi="仿宋_GB2312" w:cs="仿宋_GB2312" w:eastAsia="仿宋_GB2312"/>
                      <w:sz w:val="20"/>
                    </w:rPr>
                    <w:t>48场，并</w:t>
                  </w:r>
                  <w:r>
                    <w:rPr>
                      <w:rFonts w:ascii="仿宋_GB2312" w:hAnsi="仿宋_GB2312" w:cs="仿宋_GB2312" w:eastAsia="仿宋_GB2312"/>
                      <w:sz w:val="20"/>
                    </w:rPr>
                    <w:t>配合市图书馆将</w:t>
                  </w:r>
                  <w:r>
                    <w:rPr>
                      <w:rFonts w:ascii="仿宋_GB2312" w:hAnsi="仿宋_GB2312" w:cs="仿宋_GB2312" w:eastAsia="仿宋_GB2312"/>
                      <w:sz w:val="20"/>
                    </w:rPr>
                    <w:t>活动内容形成文字、视频等多形式素材，经技术处理后发布在</w:t>
                  </w:r>
                  <w:r>
                    <w:rPr>
                      <w:rFonts w:ascii="仿宋_GB2312" w:hAnsi="仿宋_GB2312" w:cs="仿宋_GB2312" w:eastAsia="仿宋_GB2312"/>
                      <w:sz w:val="20"/>
                    </w:rPr>
                    <w:t>西安图书馆微信公众号</w:t>
                  </w:r>
                  <w:r>
                    <w:rPr>
                      <w:rFonts w:ascii="仿宋_GB2312" w:hAnsi="仿宋_GB2312" w:cs="仿宋_GB2312" w:eastAsia="仿宋_GB2312"/>
                      <w:sz w:val="20"/>
                    </w:rPr>
                    <w:t>、</w:t>
                  </w:r>
                  <w:r>
                    <w:rPr>
                      <w:rFonts w:ascii="仿宋_GB2312" w:hAnsi="仿宋_GB2312" w:cs="仿宋_GB2312" w:eastAsia="仿宋_GB2312"/>
                      <w:sz w:val="20"/>
                    </w:rPr>
                    <w:t>视频号、抖音等官方宣传渠道及新华社、西安发布等各级媒体平台。全年完成中央级媒体（人民日报、新华社、中国文化报、央视）宣传报道不少于</w:t>
                  </w:r>
                  <w:r>
                    <w:rPr>
                      <w:rFonts w:ascii="仿宋_GB2312" w:hAnsi="仿宋_GB2312" w:cs="仿宋_GB2312" w:eastAsia="仿宋_GB2312"/>
                      <w:sz w:val="20"/>
                    </w:rPr>
                    <w:t>2篇、省级媒体（陕西日报、陕西电视台）宣传报道不少于3篇，本地媒体（西安日报、华商报、西安发布、古城先锋）宣传报道不少于5篇，报道内容需贴合图书馆工作实际、突出文化特色，符合央媒、省媒发稿规范，确保内容真实准确、格式合规，相关报道成果需提交甲方审核备案。</w:t>
                  </w:r>
                </w:p>
              </w:tc>
              <w:tc>
                <w:tcPr>
                  <w:tcW w:type="dxa" w:w="2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33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根据项目需求合理配备相关专业背景的相关技术人员，组建综合型技术团队，满足项目服务要求。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服务方根据项目采购项目特性及要求，自行配置投入履行合同所必需的各类设施设备（不限于专业设备、辅助设备、工具、软件等）及场所，保证项目顺利实施。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1.服务标准：完全响应招标服务标准。2.成果交付要求 （1）基础合规资料交付：需按时提交派驻人员资料、档案管理、费用明细等材料。 （2）专项服务成果交付：针对核心服务，各项指标需达到合同约定标准。 （3）成果需电子+纸质双备份，格式统一且加盖公章，严格遵守保密要求，验收不合格项需按期整改并重交。</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所验服务最终验收达不到磋商文件要求和响应文件承诺及国家或行业标准，或在使用中发现甲方不能容忍的缺陷等，将视为验收不合格，供应商应在甲方要求的时间内无条件完善或要求赔付甲方损失。 验收标准：按磋商文件、响应文件等技术指标进行逐项验收。各项指标均应符合验收标准及要求。验收合格后，填写验收单，双方签字生效。 验收依据： （1）合同文本。 （2）磋商文件、响应文件。 （3）国家和行业制定的相应的标准和规范。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其他，采购人按财政部门的相关规定及采购合同的约定进行支付，达到付款条件起30个工作日内，支付合同总金额的50.0%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其他，采购人按财政部门的相关规定及采购合同的约定进行支付，达到付款条件起30个工作日内，支付合同总金额的50.0%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一、本合同到期后将自动解除。 二、若乙方因破产、歇业或被吊销营业执照而不能继续为甲方提供服务，应提前一个月通知甲方，在甲方找到新的服务商之前，甲方有权要求乙方继续提供服务。 三、如乙方未按合同约定提供服务或提供服务不符合合同要求，未能达到约定的管理目标，乙方及时予以整改。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提供①2024年度或2025年度经审计的完整财务审计报告（成立时间至提交响应文件截止时间不足一年的可提供成立后任意时段的资产负债表）；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法定代表人直接参加投标的须出具法定代表人身份证明及法定代表人身份证；法定代表人授权代表参加投标的须出具法定代表人授权书及授权代表身份证。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本项目不接受联合体投标，不允许分包；供应商应提供《非联合体不分包投标声明》，视为独立投标，不分包。</w:t>
            </w:r>
          </w:p>
        </w:tc>
        <w:tc>
          <w:tcPr>
            <w:tcW w:type="dxa" w:w="1661"/>
          </w:tcPr>
          <w:p>
            <w:pPr>
              <w:pStyle w:val="null3"/>
            </w:pPr>
            <w:r>
              <w:rPr>
                <w:rFonts w:ascii="仿宋_GB2312" w:hAnsi="仿宋_GB2312" w:cs="仿宋_GB2312" w:eastAsia="仿宋_GB2312"/>
              </w:rPr>
              <w:t>供应商认为有必要补充说明的事项.docx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1.货币单位符合磋商文件要求 2.报价符合唯一性要求 3.未超出采购包最高限价 4.符合《报价表》《分项报价表》的填报要求。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完全响应磋商文件要求的各项技术及服务、商务实质性条款。</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签字盖章均符合磋商文件要求，且无遗漏。</w:t>
            </w:r>
          </w:p>
        </w:tc>
        <w:tc>
          <w:tcPr>
            <w:tcW w:type="dxa" w:w="1661"/>
          </w:tcPr>
          <w:p>
            <w:pPr>
              <w:pStyle w:val="null3"/>
            </w:pPr>
            <w:r>
              <w:rPr>
                <w:rFonts w:ascii="仿宋_GB2312" w:hAnsi="仿宋_GB2312" w:cs="仿宋_GB2312" w:eastAsia="仿宋_GB2312"/>
              </w:rPr>
              <w:t>供应商类似项目业绩一览表.docx 中小企业声明函 授权委托书.docx 商务应答表 供应商应提交的相关资格证明材料 服务内容及服务要求应答表 报价表 响应文件封面 供应商认为有必要补充说明的事项.docx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2021年06月01日至今类似项目业绩，投标文件中附有其业绩证明材料，业绩以合同（协议）或中标（成交）通知书为依据，每提供1个得2分，满分10分。（业绩以合同签订日期为准，未提供或不清晰导致无法识别的不予以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一、供应商应提供针对本项目采购需求的理解，至少应包括：①工作重点；②关键点分析；③工作难点；④服务优势；⑤合理化建议；⑥服务质量保障措施；⑦作业流程规范等。 二、评审标准：①完善性：方案全面，对评审内容中的各项要求有详细阐述；②可实施性：切合本项目实际情况，提出步骤清晰、合理的方案； ③针对性：方案能够紧扣项目实际情况，内容科学合理。 上述评审内容全部满足评审标准得14分，评审内容缺项每项扣2分，每有一项评审内容存在缺陷，扣1分，扣完为止。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核心运维服务方案</w:t>
            </w:r>
          </w:p>
        </w:tc>
        <w:tc>
          <w:tcPr>
            <w:tcW w:type="dxa" w:w="2492"/>
          </w:tcPr>
          <w:p>
            <w:pPr>
              <w:pStyle w:val="null3"/>
            </w:pPr>
            <w:r>
              <w:rPr>
                <w:rFonts w:ascii="仿宋_GB2312" w:hAnsi="仿宋_GB2312" w:cs="仿宋_GB2312" w:eastAsia="仿宋_GB2312"/>
              </w:rPr>
              <w:t>一、供应商应提供针对本项目详细的服务方案，至少应包括：①图书馆开放时间运维保障服务；②互联网保障运行服务；③电力保障及安全运行服务；④读图书馆业务运行保障服务；⑤阅读听书墙更新；⑥读者服务；⑦阅读推广服务。 二、评审标准：①完善性：方案全面，对评审内容中的各项要求有详细阐述； ②可实施性：切合本项目实际情况，提出步骤清晰、合理的方案； ③针对性：方案能够紧扣项目实际情况，内容科学合理。 上述评审内容全部满足评审标准得21分，评审内容缺项每项扣3分，每有一项评审内容存在缺陷，扣1分，扣完为止。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公共安全及保障服务方案</w:t>
            </w:r>
          </w:p>
        </w:tc>
        <w:tc>
          <w:tcPr>
            <w:tcW w:type="dxa" w:w="2492"/>
          </w:tcPr>
          <w:p>
            <w:pPr>
              <w:pStyle w:val="null3"/>
            </w:pPr>
            <w:r>
              <w:rPr>
                <w:rFonts w:ascii="仿宋_GB2312" w:hAnsi="仿宋_GB2312" w:cs="仿宋_GB2312" w:eastAsia="仿宋_GB2312"/>
              </w:rPr>
              <w:t>一、供应商应提供针对本项目详细的服务方案，至少应包括：①消防安全全维度管理；②公共服务设施日常管理维护；③智能管理系统设施设备维护管理；④环境卫生管理；⑤安全及秩序管理。 二、评审标准：①完善性：方案全面，对评审内容中的各项要求有详细阐述；②可实施性：切合本项目实际情况，提出步骤清晰、合理的方案； ③针对性：方案能够紧扣项目实际情况，内容科学合理。 上述评审内容全部满足评审标准得10分，评审内容缺项每项扣2分，每有一项评审内容存在缺陷，扣1分，扣完为止。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管理维护服务方案</w:t>
            </w:r>
          </w:p>
        </w:tc>
        <w:tc>
          <w:tcPr>
            <w:tcW w:type="dxa" w:w="2492"/>
          </w:tcPr>
          <w:p>
            <w:pPr>
              <w:pStyle w:val="null3"/>
            </w:pPr>
            <w:r>
              <w:rPr>
                <w:rFonts w:ascii="仿宋_GB2312" w:hAnsi="仿宋_GB2312" w:cs="仿宋_GB2312" w:eastAsia="仿宋_GB2312"/>
              </w:rPr>
              <w:t>一、供应商应提供针对本项目详细的服务方案，至少应包括：①日常维护管理；② 档案及日志管理；③视频监控影像资料。 二、评审标准： ①完善性：方案全面，对评审内容中的各项要求有详细阐述； ② 可实施性：切合本项目实际情况，提出步骤清晰、合理的方案； ③针对性：方案能够紧扣项目实际情况，内容科学合理。 上述评审内容全部满足评审标准得6分，评审内容缺项每项扣2分，每有一项评审内容存在缺陷，扣1分，扣完为止。 说明：缺陷是指内容没有结合项目实际需求、虽有内容但不完善、内容表述前后不一致、套用其他项目方案或与项目需求不匹配及其他不利于项目实施的等任意一种情形。未提供相关内容本项得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提供针对本项目拟定的各岗位管理制度、自查制度、内控制度、工作职责、工作质量标准、档案管理制度等。 有明确的岗位职责及工作标准；各项管理制度规范完善、科学有效，工作流程科学完整，得10分； 有部门职责，工作流程较完整，各类规章制度较健全，得7分； 无部门职责，或无工作流程的描述或不够完善、可行性一般，或规章制度不健全，得3分；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供应商针对本项目的各项服务内容可能出现的突发情况，制定针对性的突发应急预案措施。 方案考量全面，针对性、规范性、可操作性强，得5分； 方案较为详细、规范性较好、可操作性较好，得3分； 方案笼统、无针对性，可操作性差，得1分； 无本方案，得0分。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具备图书馆运营、文化活动策划、文创项目管理相关经验，拥有文旅、宣传、汉语言、传媒、设计相关专业背景或相关项目管理经验，履历优秀得4分；履历一般得2分；履历较差得1分。 注：1.由评标专家结合各投标人拟任项目负责人履历、从业经历、同类业绩、成果佐证材料等进行横向对比；2.供应商应提供相应证明材料，未提供证明材料得0分。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提供人员配备情况，包括管理组织架构、骨干的配置、员工素质标准等。 人员配备合理，分工明确，且能针对性满足本项目需求，得5分; 人员配备较合理、分工基本明确，能较好满足本项目需要得2分; 人员配备合理性差、分工不明确，得1分；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服务质量保证措施及服务承诺</w:t>
            </w:r>
          </w:p>
        </w:tc>
        <w:tc>
          <w:tcPr>
            <w:tcW w:type="dxa" w:w="2492"/>
          </w:tcPr>
          <w:p>
            <w:pPr>
              <w:pStyle w:val="null3"/>
            </w:pPr>
            <w:r>
              <w:rPr>
                <w:rFonts w:ascii="仿宋_GB2312" w:hAnsi="仿宋_GB2312" w:cs="仿宋_GB2312" w:eastAsia="仿宋_GB2312"/>
              </w:rPr>
              <w:t>提供具体的服务质量保证措施及服务承诺。 质量保证措施完善、科学、合理，服务承诺可靠性高，得5分； 质量保证措施基本完善，服务承诺可行，基本符合本项目实际需求3分； 质量保证措施及服务承诺针对性较差，得1分；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一、经资格审查、符合性审查合格的磋商响应文件，其磋商报价为有效磋商报价。 二、满足磋商文件实质性要求且最后报价最低的供应商的价格为磋商基准价，其价格分为满分10分。 三、磋商报价得分=(磋商基准价/最终磋商报价）×10的公式计算得分。 四、不正当竞争预防措施：在评审过程中,磋商小组认定某供应商的报价明显低于其他通过符合性审查供应商的报价，有可能影响服务质量或者不能诚信履约的,有权要求该供应商在磋商现场合理时间内，提供必要的书面文件予以解释和说明并附带相关证明材料。磋商单位书面说明应当签字确认或者加盖公章,否则无效。磋商单位拒绝或者变相拒绝提供有效书面说明或者书面说明不能证明其报价合理性的,磋商小组将按照其响应文件作为无效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详见附件：2026年度社区分馆运维保障项目-合同.docx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