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版本号：JZDCG-2026-02320260521001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2025年省级林业草原改革发展资金林草有害生物防治项目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JZDCG-2026-023</w:t>
      </w:r>
      <w:r>
        <w:br/>
      </w:r>
      <w:r>
        <w:br/>
      </w:r>
      <w:r>
        <w:br/>
      </w:r>
    </w:p>
    <w:p>
      <w:pPr>
        <w:pStyle w:val="null3"/>
        <w:jc w:val="center"/>
        <w:outlineLvl w:val="2"/>
      </w:pPr>
      <w:r>
        <w:rPr>
          <w:rFonts w:ascii="仿宋_GB2312" w:hAnsi="仿宋_GB2312" w:cs="仿宋_GB2312" w:eastAsia="仿宋_GB2312"/>
          <w:sz w:val="28"/>
          <w:b/>
        </w:rPr>
        <w:t>白水县林业技术推广站</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白水县林业技术推广站</w:t>
      </w:r>
      <w:r>
        <w:rPr>
          <w:rFonts w:ascii="仿宋_GB2312" w:hAnsi="仿宋_GB2312" w:cs="仿宋_GB2312" w:eastAsia="仿宋_GB2312"/>
        </w:rPr>
        <w:t>委托，拟对</w:t>
      </w:r>
      <w:r>
        <w:rPr>
          <w:rFonts w:ascii="仿宋_GB2312" w:hAnsi="仿宋_GB2312" w:cs="仿宋_GB2312" w:eastAsia="仿宋_GB2312"/>
        </w:rPr>
        <w:t>2025年省级林业草原改革发展资金林草有害生物防治项目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JZDCG-2026-023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2025年省级林业草原改革发展资金林草有害生物防治项目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本项目为2025年省级林业草原改革发展资金林草有害生物防治，主要服务内容为刺槐尺蠖防控建设、鼠兔害防控建设、美国白蛾监测建设、松树钻驻害虫外业调查。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采购包1（2025年省级林业草原改革发展资金林草有害生物防治项目）：属于专门面向中小企业采购。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2025年11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3、税收缴纳证明：自2025年11月01日以来已缴存的至少一个月的纳税证明或完税证明，纳税证明或完税证明上应有代收机构或税务机关的公章或业务专用章。依法免税的供应商应提供相关文件证明；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5、法定代表人授权委托书：须提供法定代表人授权书(附法定代表人、被授权人身份证复印件)；法定代表人直接参加磋商的，须提供法定代表人身份证明文件；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8、联合体不得参与：供应商应提供针对本项目的非联合体声明；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白水县林业技术推广站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白水县四马路东段枫叶丽都</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高红艳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15091398519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王军、刘萌萌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白水县林业技术推广站</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白水县林业技术推广站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白水县林业技术推广站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联系人：王军、刘萌萌</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本项目为2025年省级林业草原改革发展资金林草有害生物防治，主要服务内容为刺槐尺蠖防控建设、鼠兔害防控建设、美国白蛾监测建设、松树钻驻害虫外业调查。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 2025年省级林业草原改革发展资金林草有害生物防治项目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2025年省级林业草原改革发展资金林草有害生物防治项目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p>
            <w:pPr>
              <w:pStyle w:val="null3"/>
            </w:pPr>
            <w:r>
              <w:rPr>
                <w:rFonts w:ascii="仿宋_GB2312" w:hAnsi="仿宋_GB2312" w:cs="仿宋_GB2312" w:eastAsia="仿宋_GB2312"/>
              </w:rPr>
              <w:t>1.刺槐尺蠖防控建设</w:t>
            </w:r>
          </w:p>
          <w:p>
            <w:pPr>
              <w:pStyle w:val="null3"/>
            </w:pPr>
            <w:r>
              <w:rPr>
                <w:rFonts w:ascii="仿宋_GB2312" w:hAnsi="仿宋_GB2312" w:cs="仿宋_GB2312" w:eastAsia="仿宋_GB2312"/>
              </w:rPr>
              <w:t>（1）飞机喷药防控</w:t>
            </w:r>
          </w:p>
          <w:p>
            <w:pPr>
              <w:pStyle w:val="null3"/>
            </w:pPr>
            <w:r>
              <w:rPr>
                <w:rFonts w:ascii="仿宋_GB2312" w:hAnsi="仿宋_GB2312" w:cs="仿宋_GB2312" w:eastAsia="仿宋_GB2312"/>
              </w:rPr>
              <w:t>①作业地点：方山林区、刘家坪林区、高河林区和铁牛河流域刺槐林集中区域；</w:t>
            </w:r>
          </w:p>
          <w:p>
            <w:pPr>
              <w:pStyle w:val="null3"/>
            </w:pPr>
            <w:r>
              <w:rPr>
                <w:rFonts w:ascii="仿宋_GB2312" w:hAnsi="仿宋_GB2312" w:cs="仿宋_GB2312" w:eastAsia="仿宋_GB2312"/>
              </w:rPr>
              <w:t>②作业面积：25000亩；</w:t>
            </w:r>
          </w:p>
          <w:p>
            <w:pPr>
              <w:pStyle w:val="null3"/>
            </w:pPr>
            <w:r>
              <w:rPr>
                <w:rFonts w:ascii="仿宋_GB2312" w:hAnsi="仿宋_GB2312" w:cs="仿宋_GB2312" w:eastAsia="仿宋_GB2312"/>
              </w:rPr>
              <w:t>③根据飞防作业区地形地势、林木分布、林分条件和防治作业效果等选择适宜的植保无人机进行喷洒药物防治作业，药品应喷洒在树干、树冠部；</w:t>
            </w:r>
          </w:p>
          <w:p>
            <w:pPr>
              <w:pStyle w:val="null3"/>
            </w:pPr>
            <w:r>
              <w:rPr>
                <w:rFonts w:ascii="仿宋_GB2312" w:hAnsi="仿宋_GB2312" w:cs="仿宋_GB2312" w:eastAsia="仿宋_GB2312"/>
              </w:rPr>
              <w:t>（2）使用药品及数量：甲维盐（3%）100ml/亩，喷防25000亩。农药选择应符合国家标准，具备农药生产许可证或农药生产批准文件、农药登记证、农药产品标准证；</w:t>
            </w:r>
          </w:p>
          <w:p>
            <w:pPr>
              <w:pStyle w:val="null3"/>
            </w:pPr>
            <w:r>
              <w:rPr>
                <w:rFonts w:ascii="仿宋_GB2312" w:hAnsi="仿宋_GB2312" w:cs="仿宋_GB2312" w:eastAsia="仿宋_GB2312"/>
              </w:rPr>
              <w:t>2.鼠兔害防控建设</w:t>
            </w:r>
          </w:p>
          <w:p>
            <w:pPr>
              <w:pStyle w:val="null3"/>
            </w:pPr>
            <w:r>
              <w:rPr>
                <w:rFonts w:ascii="仿宋_GB2312" w:hAnsi="仿宋_GB2312" w:cs="仿宋_GB2312" w:eastAsia="仿宋_GB2312"/>
              </w:rPr>
              <w:t>（1）作业地点：尧禾镇李塬村；</w:t>
            </w:r>
          </w:p>
          <w:p>
            <w:pPr>
              <w:pStyle w:val="null3"/>
            </w:pPr>
            <w:r>
              <w:rPr>
                <w:rFonts w:ascii="仿宋_GB2312" w:hAnsi="仿宋_GB2312" w:cs="仿宋_GB2312" w:eastAsia="仿宋_GB2312"/>
              </w:rPr>
              <w:t>（2）作业面积：500亩；</w:t>
            </w:r>
          </w:p>
          <w:p>
            <w:pPr>
              <w:pStyle w:val="null3"/>
            </w:pPr>
            <w:r>
              <w:rPr>
                <w:rFonts w:ascii="仿宋_GB2312" w:hAnsi="仿宋_GB2312" w:cs="仿宋_GB2312" w:eastAsia="仿宋_GB2312"/>
              </w:rPr>
              <w:t>（3）鼠兔抓捕笼数量：200套；</w:t>
            </w:r>
          </w:p>
          <w:p>
            <w:pPr>
              <w:pStyle w:val="null3"/>
            </w:pPr>
            <w:r>
              <w:rPr>
                <w:rFonts w:ascii="仿宋_GB2312" w:hAnsi="仿宋_GB2312" w:cs="仿宋_GB2312" w:eastAsia="仿宋_GB2312"/>
              </w:rPr>
              <w:t>3.美国白蛾监测建设</w:t>
            </w:r>
          </w:p>
          <w:p>
            <w:pPr>
              <w:pStyle w:val="null3"/>
            </w:pPr>
            <w:r>
              <w:rPr>
                <w:rFonts w:ascii="仿宋_GB2312" w:hAnsi="仿宋_GB2312" w:cs="仿宋_GB2312" w:eastAsia="仿宋_GB2312"/>
              </w:rPr>
              <w:t>（1）作业地点：五个临时监测站点区域；</w:t>
            </w:r>
          </w:p>
          <w:p>
            <w:pPr>
              <w:pStyle w:val="null3"/>
            </w:pPr>
            <w:r>
              <w:rPr>
                <w:rFonts w:ascii="仿宋_GB2312" w:hAnsi="仿宋_GB2312" w:cs="仿宋_GB2312" w:eastAsia="仿宋_GB2312"/>
              </w:rPr>
              <w:t>（2）美国白蛾诱捕器数量：50套；</w:t>
            </w:r>
          </w:p>
          <w:p>
            <w:pPr>
              <w:pStyle w:val="null3"/>
            </w:pPr>
            <w:r>
              <w:rPr>
                <w:rFonts w:ascii="仿宋_GB2312" w:hAnsi="仿宋_GB2312" w:cs="仿宋_GB2312" w:eastAsia="仿宋_GB2312"/>
              </w:rPr>
              <w:t>（3）作业内容：在两仙庙、高速东出口、高速北出口、方山林场、高速史官出口五个临时监测站处设置5个监测点，在监测点悬挂50个诱捕器进行监测，定期对监测点的诱捕器进行检查，并做好台账记录，发现可疑性有害生物第一时间按程序上报。</w:t>
            </w:r>
          </w:p>
          <w:p>
            <w:pPr>
              <w:pStyle w:val="null3"/>
            </w:pPr>
            <w:r>
              <w:rPr>
                <w:rFonts w:ascii="仿宋_GB2312" w:hAnsi="仿宋_GB2312" w:cs="仿宋_GB2312" w:eastAsia="仿宋_GB2312"/>
              </w:rPr>
              <w:t>4.松树钻驻害虫外业调查</w:t>
            </w:r>
          </w:p>
          <w:p>
            <w:pPr>
              <w:pStyle w:val="null3"/>
            </w:pPr>
            <w:r>
              <w:rPr>
                <w:rFonts w:ascii="仿宋_GB2312" w:hAnsi="仿宋_GB2312" w:cs="仿宋_GB2312" w:eastAsia="仿宋_GB2312"/>
              </w:rPr>
              <w:t>（1）调查对象：包括天牛类、小蠹虫类、木蠹蛾、象甲类、梢斑螟类、吉丁甲类、树蜂类等；主要松树钻蛀类害虫天敌昆虫；</w:t>
            </w:r>
          </w:p>
          <w:p>
            <w:pPr>
              <w:pStyle w:val="null3"/>
            </w:pPr>
            <w:r>
              <w:rPr>
                <w:rFonts w:ascii="仿宋_GB2312" w:hAnsi="仿宋_GB2312" w:cs="仿宋_GB2312" w:eastAsia="仿宋_GB2312"/>
              </w:rPr>
              <w:t>（2）普查方法：对全县松林重点区域的松林进行调查，通过踏查法、标准地调查法、诱捕调查法、解剖调查法等步骤逐次进行，进行数据汇总，数据分析，风险评估；</w:t>
            </w:r>
          </w:p>
          <w:p>
            <w:pPr>
              <w:pStyle w:val="null3"/>
            </w:pPr>
            <w:r>
              <w:rPr>
                <w:rFonts w:ascii="仿宋_GB2312" w:hAnsi="仿宋_GB2312" w:cs="仿宋_GB2312" w:eastAsia="仿宋_GB2312"/>
              </w:rPr>
              <w:t>（3）调查地点：全县松林重点区域。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1.服务内所用药剂应符合国家标准，农药生产许可证或农药生产批准文件、农药登记证、农药产品标准证三证齐全，高效低毒、安全环保；</w:t>
            </w:r>
          </w:p>
          <w:p>
            <w:pPr>
              <w:pStyle w:val="null3"/>
            </w:pPr>
            <w:r>
              <w:rPr>
                <w:rFonts w:ascii="仿宋_GB2312" w:hAnsi="仿宋_GB2312" w:cs="仿宋_GB2312" w:eastAsia="仿宋_GB2312"/>
              </w:rPr>
              <w:t>2.应根据此次“林草有害生物防治”服务内容的时间安排，科学、合理配置人员，并做好人员实施前培训工作，确保服务按期完成；</w:t>
            </w:r>
          </w:p>
          <w:p>
            <w:pPr>
              <w:pStyle w:val="null3"/>
            </w:pPr>
            <w:r>
              <w:rPr>
                <w:rFonts w:ascii="仿宋_GB2312" w:hAnsi="仿宋_GB2312" w:cs="仿宋_GB2312" w:eastAsia="仿宋_GB2312"/>
              </w:rPr>
              <w:t>3.刺槐林尺蠖防控建设应根据飞防作业区地形地势、林木分布、林分条件和防治作业效果等选择适宜的植保无人机进行喷洒药物防治作业；</w:t>
            </w:r>
          </w:p>
          <w:p>
            <w:pPr>
              <w:pStyle w:val="null3"/>
            </w:pPr>
            <w:r>
              <w:rPr>
                <w:rFonts w:ascii="仿宋_GB2312" w:hAnsi="仿宋_GB2312" w:cs="仿宋_GB2312" w:eastAsia="仿宋_GB2312"/>
              </w:rPr>
              <w:t>4.鼠兔害防控应选用专用鼠兔抓捕笼，确保网体坚韧耐啃咬。优先在鼠兔活动频繁的林地边缘、灌丛与林地交界带、鼠洞密集区布设，成林地按一定间距放置；</w:t>
            </w:r>
          </w:p>
          <w:p>
            <w:pPr>
              <w:pStyle w:val="null3"/>
            </w:pPr>
            <w:r>
              <w:rPr>
                <w:rFonts w:ascii="仿宋_GB2312" w:hAnsi="仿宋_GB2312" w:cs="仿宋_GB2312" w:eastAsia="仿宋_GB2312"/>
              </w:rPr>
              <w:t>5.美国白蛾监测须设置5个监测站点，在监测站点悬挂50个诱捕器进行监测，定期对监测点的诱捕器进行检查，并做好台账记录，发现可疑性有害生物第一时间按程序上报；</w:t>
            </w:r>
          </w:p>
          <w:p>
            <w:pPr>
              <w:pStyle w:val="null3"/>
            </w:pPr>
            <w:r>
              <w:rPr>
                <w:rFonts w:ascii="仿宋_GB2312" w:hAnsi="仿宋_GB2312" w:cs="仿宋_GB2312" w:eastAsia="仿宋_GB2312"/>
              </w:rPr>
              <w:t>6.松树钻蛀类害虫外业调查以新卓林场的松林为重点，进行详细的调查、监测，同时辐射全县的零星松林小班，做到重点普查，全面覆盖，确保摸清我县松树类钻蛀害虫的种类及危害程度，给以后的防治工作打好基础，做好精准防治。</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注：本项目使用药品甲维盐（3%）需提供农药生产许可证（或农药生产批准文件）、农药登记证、农药产品标准证；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在项目实施过程中，应根据项目实施的具体内容、实施进度以及采购人的要求，配备或增减相应的专业技术及服务人员。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自合同签订之日起至2027年03月31日前完成。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渭南市白水县内采购人指定地点。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进度款，完成全部监测及防治服务，经双方验收合格，并经财政部门资金审核后，达到付款条件起15个工作日内，支付合同总金额的60.0%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至少包括资产负债表、利润表、现金流量表及财务报表附注，成立时间至提交投标文件截止时间不足一年的可提供成立后任意时段的资产负债表），或开标前3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自2025年11月01日以来已缴存的至少一个月的纳税证明或完税证明，纳税证明或完税证明上应有代收机构或税务机关的公章或业务专用章。依法免税的供应商应提供相关文件证明；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须提供法定代表人授权书(附法定代表人、被授权人身份证复印件)；法定代表人直接参加磋商的，须提供法定代表人身份证明文件；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供应商应提供针对本项目的非联合体声明；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服务响应偏离表 商务响应偏离表 中小企业声明函 一般资格审查证明材料 特殊资格审查资料 响应函 服务方案说明 类似业绩一览表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响应文件封面 服务响应偏离表 商务响应偏离表 中小企业声明函 残疾人福利性单位声明函 一般资格审查证明材料 特殊资格审查资料 响应函 服务方案说明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服务响应偏离表 商务响应偏离表 一般资格审查证明材料 特殊资格审查资料 服务方案说明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服务响应偏离表 商务响应偏离表 标的清单 报价表 响应函 服务方案说明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项目理解与整体规划</w:t>
            </w:r>
          </w:p>
        </w:tc>
        <w:tc>
          <w:tcPr>
            <w:tcW w:type="dxa" w:w="2492"/>
          </w:tcPr>
          <w:p>
            <w:pPr>
              <w:pStyle w:val="null3"/>
            </w:pPr>
            <w:r>
              <w:rPr>
                <w:rFonts w:ascii="仿宋_GB2312" w:hAnsi="仿宋_GB2312" w:cs="仿宋_GB2312" w:eastAsia="仿宋_GB2312"/>
              </w:rPr>
              <w:t>1、评审内容 包含5项：①项目理解；②刺槐尺蠖防控建设规划；③鼠兔害防控建设规划；④美国白蛾监测建设规划；⑤松树钻驻害虫外业调查规划； 2、评审标准 （1）评审内容每项满分为3分，共15分；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飞机喷药防控实施方案</w:t>
            </w:r>
          </w:p>
        </w:tc>
        <w:tc>
          <w:tcPr>
            <w:tcW w:type="dxa" w:w="2492"/>
          </w:tcPr>
          <w:p>
            <w:pPr>
              <w:pStyle w:val="null3"/>
            </w:pPr>
            <w:r>
              <w:rPr>
                <w:rFonts w:ascii="仿宋_GB2312" w:hAnsi="仿宋_GB2312" w:cs="仿宋_GB2312" w:eastAsia="仿宋_GB2312"/>
              </w:rPr>
              <w:t>1、评审内容 包含3项：①无人机的选型及配置；②农药供应保障方案；③飞防作业技术方案；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鼠兔害防控建设实施方案</w:t>
            </w:r>
          </w:p>
        </w:tc>
        <w:tc>
          <w:tcPr>
            <w:tcW w:type="dxa" w:w="2492"/>
          </w:tcPr>
          <w:p>
            <w:pPr>
              <w:pStyle w:val="null3"/>
            </w:pPr>
            <w:r>
              <w:rPr>
                <w:rFonts w:ascii="仿宋_GB2312" w:hAnsi="仿宋_GB2312" w:cs="仿宋_GB2312" w:eastAsia="仿宋_GB2312"/>
              </w:rPr>
              <w:t>1、评审内容 包含3项：①鼠兔抓捕笼选型；②鼠兔抓捕笼投放方案；③后期维护与回收；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美国白蛾监测建设实施方案</w:t>
            </w:r>
          </w:p>
        </w:tc>
        <w:tc>
          <w:tcPr>
            <w:tcW w:type="dxa" w:w="2492"/>
          </w:tcPr>
          <w:p>
            <w:pPr>
              <w:pStyle w:val="null3"/>
            </w:pPr>
            <w:r>
              <w:rPr>
                <w:rFonts w:ascii="仿宋_GB2312" w:hAnsi="仿宋_GB2312" w:cs="仿宋_GB2312" w:eastAsia="仿宋_GB2312"/>
              </w:rPr>
              <w:t>1、评审内容 包含4项：①监测点选择；②诱捕器投放方案；③监测数据收集与整理；④监测报告编制；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松树钻驻害虫外业调查实施方案</w:t>
            </w:r>
          </w:p>
        </w:tc>
        <w:tc>
          <w:tcPr>
            <w:tcW w:type="dxa" w:w="2492"/>
          </w:tcPr>
          <w:p>
            <w:pPr>
              <w:pStyle w:val="null3"/>
            </w:pPr>
            <w:r>
              <w:rPr>
                <w:rFonts w:ascii="仿宋_GB2312" w:hAnsi="仿宋_GB2312" w:cs="仿宋_GB2312" w:eastAsia="仿宋_GB2312"/>
              </w:rPr>
              <w:t>1、评审内容 包含3项：①外业调查工作流程；②外业调查资料的收集；③技术成果编制及汇报；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服务质量控制措施</w:t>
            </w:r>
          </w:p>
        </w:tc>
        <w:tc>
          <w:tcPr>
            <w:tcW w:type="dxa" w:w="2492"/>
          </w:tcPr>
          <w:p>
            <w:pPr>
              <w:pStyle w:val="null3"/>
            </w:pPr>
            <w:r>
              <w:rPr>
                <w:rFonts w:ascii="仿宋_GB2312" w:hAnsi="仿宋_GB2312" w:cs="仿宋_GB2312" w:eastAsia="仿宋_GB2312"/>
              </w:rPr>
              <w:t>1、评审内容 包含3项：①服务质量目标；②服务质量保障措施；③服务质量监控考核；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1、评审内容 包含3项：①人员整体配备情况；②岗位分工及职责；③人员培训； 2、评审标准 （1）评审内容每项满分为3分，共9分；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1、评审内容 包含4项：①喷洒用药存储及使用安全；②环境污染预防措施；③无人机作业过程中安全保障措施；④外业调查作业中人员安全保障措施； 2、评审标准 （1）评审内容每项满分为3分，共12分；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供应商提供2023年1月1日以来独立承担过类似项目业绩，每个业绩计2分，最高计6分。注：业绩证明文件以合同为准，时间以合同签订时间为准，未提供或不清晰导致无法识别的不予认可。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满足磋商文件要求且最终报价最低的供应商的价格为磋商基准价得10分，其他各供应商的最终报价得分按下列公式计算：（磋商基准价/最终磋商报价）×10％×100。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详见附件：服务方案说明</w:t>
      </w:r>
    </w:p>
    <w:p>
      <w:pPr>
        <w:pStyle w:val="null3"/>
        <w:ind w:firstLine="960"/>
      </w:pPr>
      <w:r>
        <w:rPr>
          <w:rFonts w:ascii="仿宋_GB2312" w:hAnsi="仿宋_GB2312" w:cs="仿宋_GB2312" w:eastAsia="仿宋_GB2312"/>
        </w:rPr>
        <w:t>详见附件：类似业绩一览表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