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BF742">
      <w:pPr>
        <w:spacing w:line="360" w:lineRule="auto"/>
        <w:jc w:val="center"/>
        <w:rPr>
          <w:rFonts w:ascii="宋体" w:hAnsi="宋体" w:cs="宋体"/>
          <w:highlight w:val="none"/>
        </w:rPr>
      </w:pPr>
    </w:p>
    <w:p w14:paraId="27920DBE">
      <w:pPr>
        <w:spacing w:line="360" w:lineRule="auto"/>
        <w:jc w:val="center"/>
        <w:rPr>
          <w:rFonts w:ascii="宋体" w:hAnsi="宋体" w:cs="宋体"/>
          <w:sz w:val="32"/>
          <w:szCs w:val="28"/>
          <w:highlight w:val="none"/>
        </w:rPr>
      </w:pPr>
    </w:p>
    <w:p w14:paraId="543FEF23">
      <w:pPr>
        <w:spacing w:line="360" w:lineRule="auto"/>
        <w:jc w:val="center"/>
        <w:rPr>
          <w:rFonts w:ascii="宋体" w:hAnsi="宋体" w:cs="宋体"/>
          <w:sz w:val="32"/>
          <w:szCs w:val="28"/>
          <w:highlight w:val="none"/>
        </w:rPr>
      </w:pPr>
    </w:p>
    <w:p w14:paraId="7BAB722D">
      <w:pPr>
        <w:spacing w:line="360" w:lineRule="auto"/>
        <w:jc w:val="center"/>
        <w:rPr>
          <w:rFonts w:hint="eastAsia" w:ascii="宋体" w:hAnsi="宋体" w:eastAsia="宋体" w:cs="宋体"/>
          <w:sz w:val="40"/>
          <w:szCs w:val="36"/>
          <w:highlight w:val="none"/>
          <w:lang w:val="en-US" w:eastAsia="zh-CN"/>
        </w:rPr>
      </w:pPr>
      <w:r>
        <w:rPr>
          <w:rFonts w:hint="eastAsia" w:ascii="宋体" w:hAnsi="宋体" w:cs="宋体"/>
          <w:sz w:val="40"/>
          <w:szCs w:val="36"/>
          <w:highlight w:val="none"/>
          <w:lang w:eastAsia="zh-CN"/>
        </w:rPr>
        <w:t>三原县正谊幼儿园设备添置及建设项目</w:t>
      </w:r>
    </w:p>
    <w:p w14:paraId="64CFB2BD">
      <w:pPr>
        <w:spacing w:line="360" w:lineRule="auto"/>
        <w:jc w:val="center"/>
        <w:rPr>
          <w:rFonts w:ascii="宋体" w:hAnsi="宋体" w:cs="宋体"/>
          <w:highlight w:val="none"/>
        </w:rPr>
      </w:pPr>
    </w:p>
    <w:p w14:paraId="472990D3">
      <w:pPr>
        <w:spacing w:line="247" w:lineRule="auto"/>
        <w:rPr>
          <w:rFonts w:ascii="Arial"/>
          <w:sz w:val="21"/>
          <w:highlight w:val="none"/>
        </w:rPr>
      </w:pPr>
    </w:p>
    <w:p w14:paraId="6C76EDBB">
      <w:pPr>
        <w:spacing w:line="248" w:lineRule="auto"/>
        <w:rPr>
          <w:rFonts w:ascii="Arial"/>
          <w:sz w:val="21"/>
          <w:highlight w:val="none"/>
        </w:rPr>
      </w:pPr>
    </w:p>
    <w:p w14:paraId="6480F410">
      <w:pPr>
        <w:spacing w:line="248" w:lineRule="auto"/>
        <w:rPr>
          <w:rFonts w:ascii="Arial"/>
          <w:sz w:val="21"/>
          <w:highlight w:val="none"/>
        </w:rPr>
      </w:pPr>
    </w:p>
    <w:p w14:paraId="076140BA">
      <w:pPr>
        <w:spacing w:line="248" w:lineRule="auto"/>
        <w:rPr>
          <w:rFonts w:ascii="Arial"/>
          <w:sz w:val="21"/>
          <w:highlight w:val="none"/>
        </w:rPr>
      </w:pPr>
    </w:p>
    <w:p w14:paraId="76498FE9">
      <w:pPr>
        <w:spacing w:line="248" w:lineRule="auto"/>
        <w:rPr>
          <w:rFonts w:ascii="Arial"/>
          <w:sz w:val="21"/>
          <w:highlight w:val="none"/>
        </w:rPr>
      </w:pPr>
    </w:p>
    <w:p w14:paraId="6D788F8F">
      <w:pPr>
        <w:spacing w:line="248" w:lineRule="auto"/>
        <w:rPr>
          <w:rFonts w:ascii="Arial"/>
          <w:sz w:val="21"/>
          <w:highlight w:val="none"/>
        </w:rPr>
      </w:pPr>
    </w:p>
    <w:p w14:paraId="7119ECFD">
      <w:pPr>
        <w:pStyle w:val="7"/>
        <w:spacing w:before="228" w:line="219" w:lineRule="auto"/>
        <w:ind w:left="2973"/>
        <w:rPr>
          <w:sz w:val="70"/>
          <w:szCs w:val="70"/>
          <w:highlight w:val="none"/>
        </w:rPr>
      </w:pPr>
      <w:r>
        <w:rPr>
          <w:rFonts w:hint="eastAsia"/>
          <w:b/>
          <w:bCs/>
          <w:spacing w:val="8"/>
          <w:sz w:val="70"/>
          <w:szCs w:val="70"/>
          <w:highlight w:val="none"/>
          <w:lang w:eastAsia="zh-CN"/>
        </w:rPr>
        <w:t>采购</w:t>
      </w:r>
      <w:r>
        <w:rPr>
          <w:b/>
          <w:bCs/>
          <w:spacing w:val="8"/>
          <w:sz w:val="70"/>
          <w:szCs w:val="70"/>
          <w:highlight w:val="none"/>
        </w:rPr>
        <w:t>合同</w:t>
      </w:r>
    </w:p>
    <w:p w14:paraId="7B7B82B9">
      <w:pPr>
        <w:rPr>
          <w:rFonts w:ascii="Arial"/>
          <w:sz w:val="21"/>
          <w:highlight w:val="none"/>
        </w:rPr>
      </w:pPr>
    </w:p>
    <w:p w14:paraId="63CA934B">
      <w:pPr>
        <w:rPr>
          <w:rFonts w:ascii="Arial"/>
          <w:sz w:val="21"/>
          <w:highlight w:val="none"/>
        </w:rPr>
      </w:pPr>
    </w:p>
    <w:p w14:paraId="4FD50FE7">
      <w:pPr>
        <w:rPr>
          <w:rFonts w:ascii="Arial"/>
          <w:sz w:val="21"/>
          <w:highlight w:val="none"/>
        </w:rPr>
      </w:pPr>
    </w:p>
    <w:p w14:paraId="484518B8">
      <w:pPr>
        <w:rPr>
          <w:rFonts w:ascii="Arial"/>
          <w:sz w:val="21"/>
          <w:highlight w:val="none"/>
        </w:rPr>
      </w:pPr>
    </w:p>
    <w:p w14:paraId="2CC2C6E6">
      <w:pPr>
        <w:spacing w:line="241" w:lineRule="auto"/>
        <w:rPr>
          <w:rFonts w:ascii="Arial"/>
          <w:sz w:val="21"/>
          <w:highlight w:val="none"/>
        </w:rPr>
      </w:pPr>
    </w:p>
    <w:p w14:paraId="3EE5A665">
      <w:pPr>
        <w:spacing w:line="241" w:lineRule="auto"/>
        <w:rPr>
          <w:rFonts w:ascii="Arial"/>
          <w:sz w:val="21"/>
          <w:highlight w:val="none"/>
        </w:rPr>
      </w:pPr>
    </w:p>
    <w:p w14:paraId="3BA1FEB8">
      <w:pPr>
        <w:spacing w:line="241" w:lineRule="auto"/>
        <w:rPr>
          <w:rFonts w:ascii="Arial"/>
          <w:sz w:val="21"/>
          <w:highlight w:val="none"/>
        </w:rPr>
      </w:pPr>
    </w:p>
    <w:p w14:paraId="6E394C5B">
      <w:pPr>
        <w:pStyle w:val="7"/>
        <w:tabs>
          <w:tab w:val="left" w:pos="7832"/>
          <w:tab w:val="left" w:pos="7842"/>
        </w:tabs>
        <w:spacing w:before="101" w:line="456" w:lineRule="auto"/>
        <w:ind w:left="1223" w:right="493"/>
        <w:jc w:val="both"/>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采购方(甲方):</w:t>
      </w:r>
      <w:r>
        <w:rPr>
          <w:rFonts w:hint="eastAsia" w:ascii="宋体" w:hAnsi="宋体" w:eastAsia="宋体" w:cs="宋体"/>
          <w:spacing w:val="-44"/>
          <w:sz w:val="24"/>
          <w:szCs w:val="24"/>
          <w:highlight w:val="none"/>
        </w:rPr>
        <w:t xml:space="preserve"> </w:t>
      </w:r>
      <w:r>
        <w:rPr>
          <w:rFonts w:hint="eastAsia" w:ascii="宋体" w:hAnsi="宋体" w:eastAsia="宋体" w:cs="宋体"/>
          <w:sz w:val="24"/>
          <w:szCs w:val="24"/>
          <w:highlight w:val="none"/>
          <w:u w:val="single" w:color="auto"/>
        </w:rPr>
        <w:tab/>
      </w:r>
      <w:r>
        <w:rPr>
          <w:rFonts w:hint="eastAsia" w:ascii="宋体" w:hAnsi="宋体" w:eastAsia="宋体" w:cs="宋体"/>
          <w:sz w:val="24"/>
          <w:szCs w:val="24"/>
          <w:highlight w:val="none"/>
        </w:rPr>
        <w:t xml:space="preserve"> </w:t>
      </w:r>
    </w:p>
    <w:p w14:paraId="2A1FF226">
      <w:pPr>
        <w:pStyle w:val="7"/>
        <w:tabs>
          <w:tab w:val="left" w:pos="7832"/>
          <w:tab w:val="left" w:pos="7842"/>
        </w:tabs>
        <w:spacing w:before="101" w:line="456" w:lineRule="auto"/>
        <w:ind w:left="1223" w:right="493"/>
        <w:jc w:val="both"/>
        <w:rPr>
          <w:rFonts w:hint="eastAsia" w:ascii="宋体" w:hAnsi="宋体" w:eastAsia="宋体" w:cs="宋体"/>
          <w:sz w:val="24"/>
          <w:szCs w:val="24"/>
          <w:highlight w:val="none"/>
        </w:rPr>
      </w:pPr>
      <w:r>
        <w:rPr>
          <w:rFonts w:hint="eastAsia" w:ascii="宋体" w:hAnsi="宋体" w:cs="宋体"/>
          <w:spacing w:val="27"/>
          <w:sz w:val="24"/>
          <w:szCs w:val="24"/>
          <w:highlight w:val="none"/>
          <w:lang w:eastAsia="zh-CN"/>
        </w:rPr>
        <w:t>供应商</w:t>
      </w:r>
      <w:r>
        <w:rPr>
          <w:rFonts w:hint="eastAsia" w:ascii="宋体" w:hAnsi="宋体" w:eastAsia="宋体" w:cs="宋体"/>
          <w:spacing w:val="27"/>
          <w:sz w:val="24"/>
          <w:szCs w:val="24"/>
          <w:highlight w:val="none"/>
        </w:rPr>
        <w:t>(乙方):</w:t>
      </w:r>
      <w:r>
        <w:rPr>
          <w:rFonts w:hint="eastAsia" w:ascii="宋体" w:hAnsi="宋体" w:eastAsia="宋体" w:cs="宋体"/>
          <w:spacing w:val="-28"/>
          <w:sz w:val="24"/>
          <w:szCs w:val="24"/>
          <w:highlight w:val="none"/>
        </w:rPr>
        <w:t xml:space="preserve"> </w:t>
      </w:r>
      <w:r>
        <w:rPr>
          <w:rFonts w:hint="eastAsia" w:ascii="宋体" w:hAnsi="宋体" w:eastAsia="宋体" w:cs="宋体"/>
          <w:sz w:val="24"/>
          <w:szCs w:val="24"/>
          <w:highlight w:val="none"/>
          <w:u w:val="single" w:color="auto"/>
        </w:rPr>
        <w:tab/>
      </w:r>
      <w:r>
        <w:rPr>
          <w:rFonts w:hint="eastAsia" w:ascii="宋体" w:hAnsi="宋体" w:eastAsia="宋体" w:cs="宋体"/>
          <w:sz w:val="24"/>
          <w:szCs w:val="24"/>
          <w:highlight w:val="none"/>
        </w:rPr>
        <w:t xml:space="preserve"> </w:t>
      </w:r>
    </w:p>
    <w:p w14:paraId="1C78B2B5">
      <w:pPr>
        <w:pStyle w:val="7"/>
        <w:tabs>
          <w:tab w:val="left" w:pos="7832"/>
          <w:tab w:val="left" w:pos="7842"/>
        </w:tabs>
        <w:spacing w:before="101" w:line="456" w:lineRule="auto"/>
        <w:ind w:left="1223" w:right="493"/>
        <w:jc w:val="both"/>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签</w:t>
      </w:r>
      <w:r>
        <w:rPr>
          <w:rFonts w:hint="eastAsia" w:ascii="宋体" w:hAnsi="宋体" w:eastAsia="宋体" w:cs="宋体"/>
          <w:spacing w:val="-34"/>
          <w:sz w:val="24"/>
          <w:szCs w:val="24"/>
          <w:highlight w:val="none"/>
        </w:rPr>
        <w:t xml:space="preserve"> </w:t>
      </w:r>
      <w:r>
        <w:rPr>
          <w:rFonts w:hint="eastAsia" w:ascii="宋体" w:hAnsi="宋体" w:eastAsia="宋体" w:cs="宋体"/>
          <w:spacing w:val="-20"/>
          <w:sz w:val="24"/>
          <w:szCs w:val="24"/>
          <w:highlight w:val="none"/>
        </w:rPr>
        <w:t>订</w:t>
      </w:r>
      <w:r>
        <w:rPr>
          <w:rFonts w:hint="eastAsia" w:ascii="宋体" w:hAnsi="宋体" w:eastAsia="宋体" w:cs="宋体"/>
          <w:spacing w:val="-39"/>
          <w:sz w:val="24"/>
          <w:szCs w:val="24"/>
          <w:highlight w:val="none"/>
        </w:rPr>
        <w:t xml:space="preserve"> </w:t>
      </w:r>
      <w:r>
        <w:rPr>
          <w:rFonts w:hint="eastAsia" w:ascii="宋体" w:hAnsi="宋体" w:eastAsia="宋体" w:cs="宋体"/>
          <w:spacing w:val="-20"/>
          <w:sz w:val="24"/>
          <w:szCs w:val="24"/>
          <w:highlight w:val="none"/>
        </w:rPr>
        <w:t>地</w:t>
      </w:r>
      <w:r>
        <w:rPr>
          <w:rFonts w:hint="eastAsia" w:ascii="宋体" w:hAnsi="宋体" w:eastAsia="宋体" w:cs="宋体"/>
          <w:spacing w:val="-22"/>
          <w:sz w:val="24"/>
          <w:szCs w:val="24"/>
          <w:highlight w:val="none"/>
        </w:rPr>
        <w:t xml:space="preserve"> </w:t>
      </w:r>
      <w:r>
        <w:rPr>
          <w:rFonts w:hint="eastAsia" w:ascii="宋体" w:hAnsi="宋体" w:eastAsia="宋体" w:cs="宋体"/>
          <w:spacing w:val="-20"/>
          <w:sz w:val="24"/>
          <w:szCs w:val="24"/>
          <w:highlight w:val="none"/>
        </w:rPr>
        <w:t>点 ：</w:t>
      </w:r>
      <w:r>
        <w:rPr>
          <w:rFonts w:hint="eastAsia" w:ascii="宋体" w:hAnsi="宋体" w:eastAsia="宋体" w:cs="宋体"/>
          <w:spacing w:val="109"/>
          <w:sz w:val="24"/>
          <w:szCs w:val="24"/>
          <w:highlight w:val="none"/>
          <w:u w:val="single"/>
        </w:rPr>
        <w:t xml:space="preserve"> </w:t>
      </w:r>
      <w:r>
        <w:rPr>
          <w:rFonts w:hint="eastAsia" w:ascii="宋体" w:hAnsi="宋体" w:eastAsia="宋体" w:cs="宋体"/>
          <w:sz w:val="24"/>
          <w:szCs w:val="24"/>
          <w:highlight w:val="none"/>
          <w:u w:val="single" w:color="auto"/>
        </w:rPr>
        <w:tab/>
      </w:r>
      <w:r>
        <w:rPr>
          <w:rFonts w:hint="eastAsia" w:ascii="宋体" w:hAnsi="宋体" w:eastAsia="宋体" w:cs="宋体"/>
          <w:sz w:val="24"/>
          <w:szCs w:val="24"/>
          <w:highlight w:val="none"/>
          <w:u w:val="single" w:color="auto"/>
        </w:rPr>
        <w:tab/>
      </w:r>
      <w:r>
        <w:rPr>
          <w:rFonts w:hint="eastAsia" w:ascii="宋体" w:hAnsi="宋体" w:eastAsia="宋体" w:cs="宋体"/>
          <w:sz w:val="24"/>
          <w:szCs w:val="24"/>
          <w:highlight w:val="none"/>
        </w:rPr>
        <w:t xml:space="preserve"> </w:t>
      </w:r>
    </w:p>
    <w:p w14:paraId="2937B76F">
      <w:pPr>
        <w:pStyle w:val="7"/>
        <w:tabs>
          <w:tab w:val="left" w:pos="7832"/>
          <w:tab w:val="left" w:pos="7842"/>
        </w:tabs>
        <w:spacing w:before="101" w:line="456" w:lineRule="auto"/>
        <w:ind w:left="1223" w:right="493"/>
        <w:jc w:val="both"/>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签 订 日 期 ：</w:t>
      </w:r>
      <w:r>
        <w:rPr>
          <w:rFonts w:hint="eastAsia" w:ascii="宋体" w:hAnsi="宋体" w:eastAsia="宋体" w:cs="宋体"/>
          <w:spacing w:val="-23"/>
          <w:sz w:val="24"/>
          <w:szCs w:val="24"/>
          <w:highlight w:val="none"/>
          <w:u w:val="single"/>
        </w:rPr>
        <w:t xml:space="preserve">  </w:t>
      </w:r>
      <w:r>
        <w:rPr>
          <w:rFonts w:hint="eastAsia" w:ascii="宋体" w:hAnsi="宋体" w:eastAsia="宋体" w:cs="宋体"/>
          <w:spacing w:val="51"/>
          <w:sz w:val="24"/>
          <w:szCs w:val="24"/>
          <w:highlight w:val="none"/>
          <w:u w:val="single" w:color="auto"/>
        </w:rPr>
        <w:t xml:space="preserve">   </w:t>
      </w:r>
      <w:r>
        <w:rPr>
          <w:rFonts w:hint="eastAsia" w:ascii="宋体" w:hAnsi="宋体" w:eastAsia="宋体" w:cs="宋体"/>
          <w:spacing w:val="-23"/>
          <w:sz w:val="24"/>
          <w:szCs w:val="24"/>
          <w:highlight w:val="none"/>
          <w:u w:val="single" w:color="auto"/>
        </w:rPr>
        <w:t xml:space="preserve">年    </w:t>
      </w:r>
      <w:r>
        <w:rPr>
          <w:rFonts w:hint="eastAsia" w:ascii="宋体" w:hAnsi="宋体" w:eastAsia="宋体" w:cs="宋体"/>
          <w:spacing w:val="-23"/>
          <w:sz w:val="24"/>
          <w:szCs w:val="24"/>
          <w:highlight w:val="none"/>
          <w:u w:val="single" w:color="auto"/>
          <w:lang w:val="en-US" w:eastAsia="zh-CN"/>
        </w:rPr>
        <w:t xml:space="preserve">     </w:t>
      </w:r>
      <w:r>
        <w:rPr>
          <w:rFonts w:hint="eastAsia" w:ascii="宋体" w:hAnsi="宋体" w:eastAsia="宋体" w:cs="宋体"/>
          <w:spacing w:val="-23"/>
          <w:sz w:val="24"/>
          <w:szCs w:val="24"/>
          <w:highlight w:val="none"/>
          <w:u w:val="single" w:color="auto"/>
        </w:rPr>
        <w:t xml:space="preserve"> 月 </w:t>
      </w:r>
      <w:r>
        <w:rPr>
          <w:rFonts w:hint="eastAsia" w:ascii="宋体" w:hAnsi="宋体" w:eastAsia="宋体" w:cs="宋体"/>
          <w:position w:val="6"/>
          <w:sz w:val="24"/>
          <w:szCs w:val="24"/>
          <w:highlight w:val="none"/>
          <w:u w:val="single" w:color="auto"/>
        </w:rPr>
        <w:t xml:space="preserve">     </w:t>
      </w:r>
      <w:r>
        <w:rPr>
          <w:rFonts w:hint="eastAsia" w:ascii="宋体" w:hAnsi="宋体" w:eastAsia="宋体" w:cs="宋体"/>
          <w:spacing w:val="-23"/>
          <w:sz w:val="24"/>
          <w:szCs w:val="24"/>
          <w:highlight w:val="none"/>
          <w:u w:val="single" w:color="auto"/>
        </w:rPr>
        <w:t xml:space="preserve">   </w:t>
      </w:r>
      <w:r>
        <w:rPr>
          <w:rFonts w:hint="eastAsia" w:ascii="宋体" w:hAnsi="宋体" w:eastAsia="宋体" w:cs="宋体"/>
          <w:spacing w:val="-23"/>
          <w:sz w:val="24"/>
          <w:szCs w:val="24"/>
          <w:highlight w:val="none"/>
          <w:u w:val="single" w:color="auto"/>
          <w:lang w:eastAsia="zh-CN"/>
        </w:rPr>
        <w:t>日</w:t>
      </w:r>
      <w:r>
        <w:rPr>
          <w:rFonts w:hint="eastAsia" w:ascii="宋体" w:hAnsi="宋体" w:eastAsia="宋体" w:cs="宋体"/>
          <w:spacing w:val="-23"/>
          <w:sz w:val="24"/>
          <w:szCs w:val="24"/>
          <w:highlight w:val="none"/>
          <w:u w:val="single" w:color="auto"/>
        </w:rPr>
        <w:t xml:space="preserve">  </w:t>
      </w:r>
      <w:r>
        <w:rPr>
          <w:rFonts w:hint="eastAsia" w:ascii="宋体" w:hAnsi="宋体" w:eastAsia="宋体" w:cs="宋体"/>
          <w:spacing w:val="-23"/>
          <w:sz w:val="24"/>
          <w:szCs w:val="24"/>
          <w:highlight w:val="none"/>
          <w:u w:val="single" w:color="auto"/>
          <w:lang w:val="en-US" w:eastAsia="zh-CN"/>
        </w:rPr>
        <w:t xml:space="preserve"> </w:t>
      </w:r>
      <w:r>
        <w:rPr>
          <w:rFonts w:hint="eastAsia" w:ascii="宋体" w:hAnsi="宋体" w:eastAsia="宋体" w:cs="宋体"/>
          <w:position w:val="6"/>
          <w:sz w:val="24"/>
          <w:szCs w:val="24"/>
          <w:highlight w:val="none"/>
          <w:u w:val="single" w:color="auto"/>
          <w:lang w:val="en-US" w:eastAsia="zh-CN"/>
        </w:rPr>
        <w:t xml:space="preserve">   </w:t>
      </w:r>
      <w:r>
        <w:rPr>
          <w:rFonts w:hint="eastAsia" w:ascii="宋体" w:hAnsi="宋体" w:eastAsia="宋体" w:cs="宋体"/>
          <w:position w:val="6"/>
          <w:sz w:val="24"/>
          <w:szCs w:val="24"/>
          <w:highlight w:val="none"/>
          <w:u w:val="single" w:color="auto"/>
        </w:rPr>
        <w:t xml:space="preserve">       </w:t>
      </w:r>
      <w:r>
        <w:rPr>
          <w:rFonts w:hint="eastAsia" w:ascii="宋体" w:hAnsi="宋体" w:eastAsia="宋体" w:cs="宋体"/>
          <w:position w:val="6"/>
          <w:sz w:val="24"/>
          <w:szCs w:val="24"/>
          <w:highlight w:val="none"/>
          <w:u w:val="single" w:color="auto"/>
          <w:lang w:val="en-US" w:eastAsia="zh-CN"/>
        </w:rPr>
        <w:t xml:space="preserve">  </w:t>
      </w:r>
      <w:r>
        <w:rPr>
          <w:rFonts w:hint="eastAsia" w:ascii="宋体" w:hAnsi="宋体" w:eastAsia="宋体" w:cs="宋体"/>
          <w:position w:val="6"/>
          <w:sz w:val="24"/>
          <w:szCs w:val="24"/>
          <w:highlight w:val="none"/>
          <w:u w:val="single" w:color="auto"/>
        </w:rPr>
        <w:t xml:space="preserve">     </w:t>
      </w:r>
    </w:p>
    <w:p w14:paraId="4DD6854A">
      <w:pPr>
        <w:spacing w:line="456" w:lineRule="auto"/>
        <w:rPr>
          <w:sz w:val="20"/>
          <w:szCs w:val="20"/>
          <w:highlight w:val="none"/>
        </w:rPr>
      </w:pPr>
    </w:p>
    <w:p w14:paraId="4C854874">
      <w:pPr>
        <w:spacing w:line="360" w:lineRule="auto"/>
        <w:rPr>
          <w:rFonts w:hint="eastAsia" w:ascii="宋体" w:hAnsi="宋体" w:cs="宋体"/>
          <w:b/>
          <w:sz w:val="28"/>
          <w:szCs w:val="28"/>
          <w:highlight w:val="none"/>
        </w:rPr>
      </w:pPr>
    </w:p>
    <w:p w14:paraId="414AD962">
      <w:pPr>
        <w:pStyle w:val="7"/>
        <w:spacing w:after="0" w:line="480" w:lineRule="auto"/>
        <w:ind w:right="0"/>
        <w:rPr>
          <w:b/>
          <w:bCs/>
          <w:color w:val="auto"/>
          <w:spacing w:val="-14"/>
          <w:sz w:val="24"/>
          <w:szCs w:val="24"/>
          <w:highlight w:val="none"/>
        </w:rPr>
      </w:pPr>
      <w:r>
        <w:rPr>
          <w:rFonts w:hint="eastAsia" w:ascii="宋体" w:hAnsi="宋体" w:cs="宋体"/>
          <w:b/>
          <w:sz w:val="28"/>
          <w:szCs w:val="28"/>
          <w:highlight w:val="none"/>
        </w:rPr>
        <w:t>备注：</w:t>
      </w:r>
      <w:r>
        <w:rPr>
          <w:b/>
          <w:bCs/>
          <w:color w:val="auto"/>
          <w:spacing w:val="-11"/>
          <w:sz w:val="24"/>
          <w:szCs w:val="24"/>
          <w:highlight w:val="none"/>
        </w:rPr>
        <w:t>上述合同仅作为参考文本，合同签订时双方可根据项目的具体要求进行</w:t>
      </w:r>
      <w:r>
        <w:rPr>
          <w:b/>
          <w:bCs/>
          <w:color w:val="auto"/>
          <w:spacing w:val="-12"/>
          <w:sz w:val="24"/>
          <w:szCs w:val="24"/>
          <w:highlight w:val="none"/>
        </w:rPr>
        <w:t>修订，实质性</w:t>
      </w:r>
      <w:r>
        <w:rPr>
          <w:b/>
          <w:bCs/>
          <w:color w:val="auto"/>
          <w:spacing w:val="-14"/>
          <w:sz w:val="24"/>
          <w:szCs w:val="24"/>
          <w:highlight w:val="none"/>
        </w:rPr>
        <w:t>内容不得违背招标文件的条款。</w:t>
      </w:r>
    </w:p>
    <w:p w14:paraId="24D5DB8B">
      <w:pPr>
        <w:tabs>
          <w:tab w:val="left" w:pos="735"/>
        </w:tabs>
        <w:autoSpaceDE w:val="0"/>
        <w:autoSpaceDN w:val="0"/>
        <w:adjustRightInd w:val="0"/>
        <w:snapToGrid w:val="0"/>
        <w:spacing w:before="240" w:beforeLines="100" w:line="500" w:lineRule="exact"/>
        <w:ind w:firstLine="629"/>
        <w:rPr>
          <w:rFonts w:hint="eastAsia" w:ascii="宋体" w:hAnsi="宋体" w:cs="宋体"/>
          <w:b/>
          <w:bCs/>
          <w:sz w:val="24"/>
          <w:szCs w:val="24"/>
          <w:highlight w:val="none"/>
          <w:lang w:val="zh-CN"/>
        </w:rPr>
      </w:pPr>
      <w:bookmarkStart w:id="0" w:name="_Toc822"/>
      <w:bookmarkStart w:id="1" w:name="_Toc15463527"/>
      <w:r>
        <w:rPr>
          <w:rFonts w:hint="eastAsia" w:ascii="宋体" w:hAnsi="宋体" w:cs="宋体"/>
          <w:b/>
          <w:bCs/>
          <w:sz w:val="24"/>
          <w:szCs w:val="24"/>
          <w:highlight w:val="none"/>
          <w:lang w:val="zh-CN"/>
        </w:rPr>
        <w:t>甲方：</w:t>
      </w:r>
      <w:r>
        <w:rPr>
          <w:rFonts w:hint="eastAsia" w:ascii="宋体" w:hAnsi="宋体" w:cs="宋体"/>
          <w:bCs/>
          <w:sz w:val="24"/>
          <w:szCs w:val="24"/>
          <w:highlight w:val="none"/>
          <w:lang w:val="zh-CN"/>
        </w:rPr>
        <w:t>（前款所称采购人）     住所：</w:t>
      </w:r>
    </w:p>
    <w:p w14:paraId="2E1B0C20">
      <w:pPr>
        <w:tabs>
          <w:tab w:val="left" w:pos="735"/>
        </w:tabs>
        <w:autoSpaceDE w:val="0"/>
        <w:autoSpaceDN w:val="0"/>
        <w:adjustRightInd w:val="0"/>
        <w:snapToGrid w:val="0"/>
        <w:spacing w:line="500" w:lineRule="exact"/>
        <w:ind w:firstLine="631"/>
        <w:rPr>
          <w:rFonts w:hint="eastAsia" w:ascii="宋体" w:hAnsi="宋体" w:cs="宋体"/>
          <w:bCs/>
          <w:sz w:val="24"/>
          <w:szCs w:val="24"/>
          <w:highlight w:val="none"/>
          <w:lang w:val="zh-CN"/>
        </w:rPr>
      </w:pPr>
      <w:r>
        <w:rPr>
          <w:rFonts w:hint="eastAsia" w:ascii="宋体" w:hAnsi="宋体" w:cs="宋体"/>
          <w:b/>
          <w:bCs/>
          <w:sz w:val="24"/>
          <w:szCs w:val="24"/>
          <w:highlight w:val="none"/>
          <w:lang w:val="zh-CN"/>
        </w:rPr>
        <w:t>乙方：</w:t>
      </w:r>
      <w:r>
        <w:rPr>
          <w:rFonts w:hint="eastAsia" w:ascii="宋体" w:hAnsi="宋体" w:cs="宋体"/>
          <w:bCs/>
          <w:sz w:val="24"/>
          <w:szCs w:val="24"/>
          <w:highlight w:val="none"/>
          <w:lang w:val="zh-CN"/>
        </w:rPr>
        <w:t>（前款所称中标人）     住所：</w:t>
      </w:r>
    </w:p>
    <w:p w14:paraId="48CF6BA9">
      <w:pPr>
        <w:pStyle w:val="3"/>
        <w:rPr>
          <w:rFonts w:hint="eastAsia"/>
          <w:highlight w:val="none"/>
          <w:lang w:val="zh-CN"/>
        </w:rPr>
      </w:pPr>
    </w:p>
    <w:p w14:paraId="71C93481">
      <w:pPr>
        <w:pStyle w:val="2"/>
        <w:snapToGrid w:val="0"/>
        <w:spacing w:line="500" w:lineRule="exact"/>
        <w:ind w:firstLine="482" w:firstLineChars="200"/>
        <w:rPr>
          <w:rFonts w:hint="eastAsia" w:ascii="宋体" w:hAnsi="宋体" w:eastAsia="宋体" w:cs="宋体"/>
          <w:sz w:val="24"/>
          <w:szCs w:val="24"/>
          <w:highlight w:val="none"/>
          <w:lang w:val="zh-CN"/>
        </w:rPr>
      </w:pPr>
      <w:bookmarkStart w:id="2" w:name="_Toc16620"/>
      <w:bookmarkStart w:id="3" w:name="_Toc15463516"/>
      <w:r>
        <w:rPr>
          <w:rFonts w:hint="eastAsia" w:ascii="宋体" w:hAnsi="宋体" w:eastAsia="宋体" w:cs="宋体"/>
          <w:sz w:val="24"/>
          <w:szCs w:val="24"/>
          <w:highlight w:val="none"/>
          <w:lang w:val="zh-CN"/>
        </w:rPr>
        <w:t>一、合同内容（供货清单、数量、质量等）:</w:t>
      </w:r>
      <w:bookmarkEnd w:id="2"/>
      <w:bookmarkEnd w:id="3"/>
    </w:p>
    <w:p w14:paraId="753EE741">
      <w:pPr>
        <w:pStyle w:val="2"/>
        <w:spacing w:line="500" w:lineRule="exact"/>
        <w:ind w:firstLine="482" w:firstLineChars="200"/>
        <w:rPr>
          <w:rFonts w:hint="eastAsia" w:ascii="宋体" w:hAnsi="宋体" w:eastAsia="宋体" w:cs="宋体"/>
          <w:sz w:val="24"/>
          <w:szCs w:val="24"/>
          <w:highlight w:val="none"/>
          <w:lang w:val="zh-CN"/>
        </w:rPr>
      </w:pPr>
      <w:bookmarkStart w:id="4" w:name="_Toc15463517"/>
      <w:bookmarkStart w:id="5" w:name="_Toc9837"/>
      <w:r>
        <w:rPr>
          <w:rFonts w:hint="eastAsia" w:ascii="宋体" w:hAnsi="宋体" w:eastAsia="宋体" w:cs="宋体"/>
          <w:sz w:val="24"/>
          <w:szCs w:val="24"/>
          <w:highlight w:val="none"/>
          <w:lang w:val="zh-CN"/>
        </w:rPr>
        <w:t>二、合同价款</w:t>
      </w:r>
      <w:bookmarkEnd w:id="4"/>
      <w:bookmarkEnd w:id="5"/>
    </w:p>
    <w:p w14:paraId="54776251">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1、合同总价：</w:t>
      </w:r>
    </w:p>
    <w:p w14:paraId="3F217F6C">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2、合同总价包括：</w:t>
      </w:r>
      <w:r>
        <w:rPr>
          <w:rFonts w:hint="eastAsia" w:ascii="宋体" w:hAnsi="宋体" w:cs="宋体"/>
          <w:sz w:val="24"/>
          <w:szCs w:val="24"/>
          <w:highlight w:val="none"/>
          <w:lang w:val="zh-CN"/>
        </w:rPr>
        <w:t>货物总价、运杂费、税金及其它一切费用</w:t>
      </w:r>
      <w:r>
        <w:rPr>
          <w:rFonts w:hint="eastAsia" w:ascii="宋体" w:hAnsi="宋体" w:cs="宋体"/>
          <w:sz w:val="24"/>
          <w:szCs w:val="24"/>
          <w:highlight w:val="none"/>
        </w:rPr>
        <w:t>。</w:t>
      </w:r>
    </w:p>
    <w:p w14:paraId="7360616A">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w:t>
      </w:r>
      <w:r>
        <w:rPr>
          <w:rFonts w:hint="eastAsia" w:ascii="宋体" w:hAnsi="宋体" w:cs="宋体"/>
          <w:sz w:val="24"/>
          <w:szCs w:val="24"/>
          <w:highlight w:val="none"/>
          <w:lang w:val="zh-CN"/>
        </w:rPr>
        <w:t>在交货期间，合同总价一次包死，不受国家政策性调价或原材料变化的影响，并作为最终结算的唯一依据</w:t>
      </w:r>
      <w:r>
        <w:rPr>
          <w:rFonts w:hint="eastAsia" w:ascii="宋体" w:hAnsi="宋体" w:cs="宋体"/>
          <w:sz w:val="24"/>
          <w:szCs w:val="24"/>
          <w:highlight w:val="none"/>
        </w:rPr>
        <w:t>。</w:t>
      </w:r>
    </w:p>
    <w:p w14:paraId="557B599A">
      <w:pPr>
        <w:pStyle w:val="2"/>
        <w:spacing w:line="500" w:lineRule="exact"/>
        <w:ind w:firstLine="482" w:firstLineChars="200"/>
        <w:rPr>
          <w:rFonts w:hint="eastAsia" w:ascii="宋体" w:hAnsi="宋体" w:eastAsia="宋体" w:cs="宋体"/>
          <w:sz w:val="24"/>
          <w:szCs w:val="24"/>
          <w:highlight w:val="none"/>
          <w:lang w:val="zh-CN"/>
        </w:rPr>
      </w:pPr>
      <w:bookmarkStart w:id="6" w:name="_Toc15463518"/>
      <w:bookmarkStart w:id="7" w:name="_Toc30343"/>
      <w:r>
        <w:rPr>
          <w:rFonts w:hint="eastAsia" w:ascii="宋体" w:hAnsi="宋体" w:eastAsia="宋体" w:cs="宋体"/>
          <w:sz w:val="24"/>
          <w:szCs w:val="24"/>
          <w:highlight w:val="none"/>
          <w:lang w:val="zh-CN"/>
        </w:rPr>
        <w:t>三、合同结算</w:t>
      </w:r>
      <w:bookmarkEnd w:id="6"/>
      <w:bookmarkEnd w:id="7"/>
    </w:p>
    <w:p w14:paraId="3C3385B1">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1、付款比例：</w:t>
      </w:r>
    </w:p>
    <w:p w14:paraId="0DE46476">
      <w:pPr>
        <w:adjustRightInd w:val="0"/>
        <w:snapToGrid w:val="0"/>
        <w:spacing w:line="500" w:lineRule="exact"/>
        <w:ind w:firstLine="482" w:firstLineChars="200"/>
        <w:rPr>
          <w:rFonts w:hint="eastAsia" w:ascii="宋体" w:hAnsi="宋体" w:eastAsia="宋体" w:cs="宋体"/>
          <w:b/>
          <w:bCs/>
          <w:color w:val="auto"/>
          <w:sz w:val="24"/>
          <w:szCs w:val="24"/>
          <w:highlight w:val="none"/>
          <w:lang w:val="zh-CN" w:eastAsia="zh-CN"/>
        </w:rPr>
      </w:pPr>
      <w:r>
        <w:rPr>
          <w:rFonts w:hint="eastAsia" w:ascii="宋体" w:hAnsi="宋体" w:cs="宋体"/>
          <w:b/>
          <w:bCs/>
          <w:color w:val="auto"/>
          <w:sz w:val="24"/>
          <w:szCs w:val="24"/>
          <w:highlight w:val="none"/>
          <w:lang w:val="zh-CN"/>
        </w:rPr>
        <w:t>1.1、付款方式：</w:t>
      </w:r>
      <w:r>
        <w:rPr>
          <w:rFonts w:hint="eastAsia" w:ascii="宋体" w:hAnsi="宋体" w:eastAsia="宋体" w:cs="宋体"/>
          <w:b/>
          <w:bCs/>
          <w:color w:val="auto"/>
          <w:sz w:val="24"/>
          <w:szCs w:val="24"/>
          <w:highlight w:val="none"/>
          <w:lang w:val="en-US" w:eastAsia="zh-CN"/>
        </w:rPr>
        <w:t>合同签订后所有货物到达甲方指定地点，安装、调试完毕并验收合格后</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zh-CN" w:eastAsia="zh-CN"/>
        </w:rPr>
        <w:t>提供全额发票、验收证明及供货清单，支付</w:t>
      </w:r>
      <w:r>
        <w:rPr>
          <w:rFonts w:hint="eastAsia" w:ascii="宋体" w:hAnsi="宋体" w:eastAsia="宋体" w:cs="宋体"/>
          <w:b/>
          <w:bCs/>
          <w:color w:val="auto"/>
          <w:sz w:val="24"/>
          <w:szCs w:val="24"/>
          <w:highlight w:val="none"/>
          <w:lang w:val="en-US" w:eastAsia="zh-CN"/>
        </w:rPr>
        <w:t>合同总价款的100</w:t>
      </w:r>
      <w:r>
        <w:rPr>
          <w:rFonts w:hint="eastAsia" w:ascii="宋体" w:hAnsi="宋体" w:eastAsia="宋体" w:cs="宋体"/>
          <w:b/>
          <w:bCs/>
          <w:color w:val="auto"/>
          <w:sz w:val="24"/>
          <w:szCs w:val="24"/>
          <w:highlight w:val="none"/>
          <w:lang w:val="zh-CN" w:eastAsia="zh-CN"/>
        </w:rPr>
        <w:t>%。</w:t>
      </w:r>
    </w:p>
    <w:p w14:paraId="47C94E1A">
      <w:pPr>
        <w:adjustRightInd w:val="0"/>
        <w:snapToGrid w:val="0"/>
        <w:spacing w:line="500" w:lineRule="exact"/>
        <w:ind w:firstLine="482" w:firstLineChars="200"/>
        <w:rPr>
          <w:rFonts w:hint="eastAsia" w:ascii="宋体" w:hAnsi="宋体" w:cs="宋体"/>
          <w:b/>
          <w:bCs/>
          <w:sz w:val="24"/>
          <w:szCs w:val="24"/>
          <w:highlight w:val="none"/>
          <w:lang w:eastAsia="zh-CN"/>
        </w:rPr>
      </w:pPr>
      <w:r>
        <w:rPr>
          <w:rFonts w:hint="eastAsia" w:ascii="宋体" w:hAnsi="宋体" w:cs="宋体"/>
          <w:b/>
          <w:bCs/>
          <w:sz w:val="24"/>
          <w:szCs w:val="24"/>
          <w:highlight w:val="none"/>
        </w:rPr>
        <w:t>1.2、质保期：</w:t>
      </w:r>
      <w:r>
        <w:rPr>
          <w:rFonts w:hint="eastAsia" w:ascii="宋体" w:hAnsi="宋体" w:cs="宋体"/>
          <w:b/>
          <w:bCs/>
          <w:sz w:val="24"/>
          <w:szCs w:val="24"/>
          <w:highlight w:val="none"/>
          <w:lang w:val="en-US" w:eastAsia="zh-CN"/>
        </w:rPr>
        <w:t>质保期自采购人在货物质量验收单(终验)上签名之日起计算，质保期3年。</w:t>
      </w:r>
      <w:bookmarkStart w:id="24" w:name="_GoBack"/>
      <w:bookmarkEnd w:id="24"/>
    </w:p>
    <w:p w14:paraId="3B371B3B">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2、结算方式：银行转账。</w:t>
      </w:r>
    </w:p>
    <w:p w14:paraId="0F5A2277">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3、结算单位：由</w:t>
      </w:r>
      <w:r>
        <w:rPr>
          <w:rFonts w:hint="eastAsia" w:ascii="宋体" w:hAnsi="宋体" w:cs="宋体"/>
          <w:sz w:val="24"/>
          <w:szCs w:val="24"/>
          <w:highlight w:val="none"/>
          <w:u w:val="single"/>
        </w:rPr>
        <w:t>采购人</w:t>
      </w:r>
      <w:r>
        <w:rPr>
          <w:rFonts w:hint="eastAsia" w:ascii="宋体" w:hAnsi="宋体" w:cs="宋体"/>
          <w:sz w:val="24"/>
          <w:szCs w:val="24"/>
          <w:highlight w:val="none"/>
        </w:rPr>
        <w:t>负责结算，乙方开具合同总价数的全额发票交采购人。</w:t>
      </w:r>
    </w:p>
    <w:p w14:paraId="36EA7094">
      <w:pPr>
        <w:pStyle w:val="2"/>
        <w:spacing w:line="500" w:lineRule="exact"/>
        <w:ind w:firstLine="482" w:firstLineChars="200"/>
        <w:rPr>
          <w:rFonts w:hint="eastAsia" w:ascii="宋体" w:hAnsi="宋体" w:eastAsia="宋体" w:cs="宋体"/>
          <w:sz w:val="24"/>
          <w:szCs w:val="24"/>
          <w:highlight w:val="none"/>
          <w:lang w:val="zh-CN"/>
        </w:rPr>
      </w:pPr>
      <w:bookmarkStart w:id="8" w:name="_Toc21780"/>
      <w:bookmarkStart w:id="9" w:name="_Toc15463519"/>
      <w:r>
        <w:rPr>
          <w:rFonts w:hint="eastAsia" w:ascii="宋体" w:hAnsi="宋体" w:eastAsia="宋体" w:cs="宋体"/>
          <w:sz w:val="24"/>
          <w:szCs w:val="24"/>
          <w:highlight w:val="none"/>
          <w:lang w:val="zh-CN"/>
        </w:rPr>
        <w:t>四、供货期要求、地点及方式:</w:t>
      </w:r>
      <w:bookmarkEnd w:id="8"/>
      <w:bookmarkEnd w:id="9"/>
    </w:p>
    <w:p w14:paraId="2749539B">
      <w:pPr>
        <w:adjustRightInd w:val="0"/>
        <w:snapToGrid w:val="0"/>
        <w:spacing w:line="500" w:lineRule="exact"/>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rPr>
        <w:t>1、供货期：合同签订之日起30天内</w:t>
      </w:r>
      <w:r>
        <w:rPr>
          <w:rFonts w:hint="eastAsia" w:ascii="宋体" w:hAnsi="宋体" w:cs="宋体"/>
          <w:sz w:val="24"/>
          <w:szCs w:val="24"/>
          <w:highlight w:val="none"/>
          <w:lang w:eastAsia="zh-CN"/>
        </w:rPr>
        <w:t>。</w:t>
      </w:r>
    </w:p>
    <w:p w14:paraId="6811FCC4">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2、地点：</w:t>
      </w:r>
      <w:r>
        <w:rPr>
          <w:rFonts w:hint="eastAsia" w:ascii="宋体" w:hAnsi="宋体"/>
          <w:sz w:val="24"/>
          <w:szCs w:val="24"/>
          <w:highlight w:val="none"/>
        </w:rPr>
        <w:t>三原县正谊幼儿园</w:t>
      </w:r>
      <w:r>
        <w:rPr>
          <w:rFonts w:hint="eastAsia" w:ascii="宋体" w:hAnsi="宋体" w:cs="宋体"/>
          <w:bCs/>
          <w:sz w:val="24"/>
          <w:szCs w:val="24"/>
          <w:highlight w:val="none"/>
          <w:lang w:val="zh-CN"/>
        </w:rPr>
        <w:t>。</w:t>
      </w:r>
    </w:p>
    <w:p w14:paraId="2321FF95">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3、方式：</w:t>
      </w:r>
      <w:r>
        <w:rPr>
          <w:rFonts w:hint="eastAsia" w:ascii="宋体" w:hAnsi="宋体" w:cs="宋体"/>
          <w:bCs/>
          <w:sz w:val="24"/>
          <w:szCs w:val="24"/>
          <w:highlight w:val="none"/>
          <w:lang w:val="zh-CN"/>
        </w:rPr>
        <w:t>按照合同约定的方式进行履行。</w:t>
      </w:r>
    </w:p>
    <w:p w14:paraId="0B5F4A5F">
      <w:pPr>
        <w:pStyle w:val="2"/>
        <w:spacing w:line="500" w:lineRule="exact"/>
        <w:ind w:firstLine="482" w:firstLineChars="200"/>
        <w:rPr>
          <w:rFonts w:hint="eastAsia" w:ascii="宋体" w:hAnsi="宋体" w:eastAsia="宋体" w:cs="宋体"/>
          <w:sz w:val="24"/>
          <w:szCs w:val="24"/>
          <w:highlight w:val="none"/>
          <w:lang w:val="zh-CN"/>
        </w:rPr>
      </w:pPr>
      <w:bookmarkStart w:id="10" w:name="_Toc6862"/>
      <w:bookmarkStart w:id="11" w:name="_Toc15463520"/>
      <w:r>
        <w:rPr>
          <w:rFonts w:hint="eastAsia" w:ascii="宋体" w:hAnsi="宋体" w:eastAsia="宋体" w:cs="宋体"/>
          <w:sz w:val="24"/>
          <w:szCs w:val="24"/>
          <w:highlight w:val="none"/>
          <w:lang w:val="zh-CN"/>
        </w:rPr>
        <w:t>五、运输</w:t>
      </w:r>
      <w:bookmarkEnd w:id="10"/>
      <w:bookmarkEnd w:id="11"/>
    </w:p>
    <w:p w14:paraId="014F654E">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1、乙方负责所有货物的运输。确保货物安全、完整到达使用地点，运杂费用包含在总价内，包括货物从供货地点到使用地点的运输费、保险费、搬运费等。</w:t>
      </w:r>
    </w:p>
    <w:p w14:paraId="7FC7B7DC">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2、所有货物在运输、搬运、安装的过程中，造成甲方损失的，由乙方为甲方修复或更新。</w:t>
      </w:r>
    </w:p>
    <w:p w14:paraId="13CCAB9C">
      <w:pPr>
        <w:pStyle w:val="2"/>
        <w:spacing w:line="500" w:lineRule="exact"/>
        <w:ind w:firstLine="482" w:firstLineChars="200"/>
        <w:rPr>
          <w:rFonts w:hint="eastAsia" w:ascii="宋体" w:hAnsi="宋体" w:eastAsia="宋体" w:cs="宋体"/>
          <w:sz w:val="24"/>
          <w:szCs w:val="24"/>
          <w:highlight w:val="none"/>
          <w:lang w:val="zh-CN"/>
        </w:rPr>
      </w:pPr>
      <w:bookmarkStart w:id="12" w:name="_Toc31663"/>
      <w:bookmarkStart w:id="13" w:name="_Toc15463521"/>
      <w:r>
        <w:rPr>
          <w:rFonts w:hint="eastAsia" w:ascii="宋体" w:hAnsi="宋体" w:eastAsia="宋体" w:cs="宋体"/>
          <w:sz w:val="24"/>
          <w:szCs w:val="24"/>
          <w:highlight w:val="none"/>
          <w:lang w:val="zh-CN"/>
        </w:rPr>
        <w:t>六、质量保证</w:t>
      </w:r>
      <w:bookmarkEnd w:id="12"/>
      <w:bookmarkEnd w:id="13"/>
    </w:p>
    <w:p w14:paraId="3951282B">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1、乙方提供货物必须是原品牌制造厂制造的最新工艺、生产的最新产品。</w:t>
      </w:r>
    </w:p>
    <w:p w14:paraId="21215FB0">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2、所供货物必须是经过办理正常手续的全新产品。</w:t>
      </w:r>
    </w:p>
    <w:p w14:paraId="7C5F5A1B">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3、所供货物是经过国家法定检验、注册、准许市场销售的合法产品。</w:t>
      </w:r>
    </w:p>
    <w:p w14:paraId="34E86593">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4、货物性能稳定、具有较好的使用效果，质量保证措施完善，符合国家相关标准。</w:t>
      </w:r>
    </w:p>
    <w:p w14:paraId="2377C953">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本采购项目所采购货物质保期为：质保期自采购人在货物质量验收单(终验)上签名之日起计算，货物(产品)的质保期不少于2年。供应商承诺超过磋商文件要求的，按其承诺的质保期进行质保。其中电子类产品要求质保3年。</w:t>
      </w:r>
    </w:p>
    <w:p w14:paraId="473ECBB9">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6、包装要求</w:t>
      </w:r>
    </w:p>
    <w:p w14:paraId="5DCC509A">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6-1、除合同另有规定外，乙方提供的全部货物，均应按标准保护措施进行包装，并确保货物安全无损运抵甲方指定地点。</w:t>
      </w:r>
    </w:p>
    <w:p w14:paraId="7651CA8B">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6-2、每一个包装箱内应附一份详细装箱单和质量合格证。</w:t>
      </w:r>
    </w:p>
    <w:p w14:paraId="6711396D">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7、乙方应保证甲方在使用该货物或其任何一部分时免受第三方提出侵犯其专利权、商标权或工业设计权的起诉。</w:t>
      </w:r>
    </w:p>
    <w:p w14:paraId="23FCB91D">
      <w:pPr>
        <w:pStyle w:val="2"/>
        <w:spacing w:line="500" w:lineRule="exact"/>
        <w:ind w:firstLine="482" w:firstLineChars="200"/>
        <w:rPr>
          <w:rFonts w:hint="eastAsia" w:ascii="宋体" w:hAnsi="宋体" w:eastAsia="宋体" w:cs="宋体"/>
          <w:sz w:val="24"/>
          <w:szCs w:val="24"/>
          <w:highlight w:val="none"/>
          <w:lang w:val="zh-CN"/>
        </w:rPr>
      </w:pPr>
      <w:bookmarkStart w:id="14" w:name="_Toc15463522"/>
      <w:bookmarkStart w:id="15" w:name="_Toc76"/>
      <w:r>
        <w:rPr>
          <w:rFonts w:hint="eastAsia" w:ascii="宋体" w:hAnsi="宋体" w:eastAsia="宋体" w:cs="宋体"/>
          <w:sz w:val="24"/>
          <w:szCs w:val="24"/>
          <w:highlight w:val="none"/>
          <w:lang w:val="zh-CN"/>
        </w:rPr>
        <w:t>七、技术服务</w:t>
      </w:r>
      <w:bookmarkEnd w:id="14"/>
      <w:bookmarkEnd w:id="15"/>
    </w:p>
    <w:p w14:paraId="76AEBB1E">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1、对技术服务的要求：</w:t>
      </w:r>
    </w:p>
    <w:p w14:paraId="72DB7AF4">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2、技术资料：</w:t>
      </w:r>
    </w:p>
    <w:p w14:paraId="250310E9">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2-1、产品合格证及检验报告；</w:t>
      </w:r>
    </w:p>
    <w:p w14:paraId="070D8889">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2-2、产品使用说明书（中文）；</w:t>
      </w:r>
    </w:p>
    <w:p w14:paraId="06557B38">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2-3、中国商品检验局出具的商检合格证明（进口产品）；</w:t>
      </w:r>
    </w:p>
    <w:p w14:paraId="771AF877">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2-4、其它资料。</w:t>
      </w:r>
    </w:p>
    <w:p w14:paraId="69FB2344">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3、技术培训：</w:t>
      </w:r>
    </w:p>
    <w:p w14:paraId="3F62F9ED">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3-1、培训内容：</w:t>
      </w:r>
    </w:p>
    <w:p w14:paraId="06946AD4">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3-2、培训地点：</w:t>
      </w:r>
    </w:p>
    <w:p w14:paraId="25D489E9">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3-3、培训时间：</w:t>
      </w:r>
    </w:p>
    <w:p w14:paraId="42CE77D2">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3-4、培训人数：</w:t>
      </w:r>
    </w:p>
    <w:p w14:paraId="337A8BA8">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3-5、培训费用：受训人员的食宿费、资料费、培训场地费、耗材（包括水电费等）费等已包含在合同总价中，甲方不再另行支付。</w:t>
      </w:r>
    </w:p>
    <w:p w14:paraId="262D395A">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4、售后服务</w:t>
      </w:r>
    </w:p>
    <w:p w14:paraId="2F9F92C0">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4-1、乙方在接到甲方保修电话故障通知后在</w:t>
      </w:r>
      <w:r>
        <w:rPr>
          <w:rFonts w:hint="eastAsia" w:ascii="宋体" w:hAnsi="宋体" w:cs="宋体"/>
          <w:sz w:val="24"/>
          <w:szCs w:val="24"/>
          <w:highlight w:val="none"/>
          <w:u w:val="single"/>
        </w:rPr>
        <w:t>8</w:t>
      </w:r>
      <w:r>
        <w:rPr>
          <w:rFonts w:hint="eastAsia" w:ascii="宋体" w:hAnsi="宋体" w:cs="宋体"/>
          <w:sz w:val="24"/>
          <w:szCs w:val="24"/>
          <w:highlight w:val="none"/>
        </w:rPr>
        <w:t>小时内派出合格的维修人员到达现场进行维修服务，承担相应费用，若需将产品送回生产厂，乙方应提供备用机、承担维修产品所需的往返费用。</w:t>
      </w:r>
    </w:p>
    <w:p w14:paraId="76E91CDF">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4-2、如果乙方在收到通知后两天内没有弥补缺陷，甲方可采取必要的补救措施，但其风险和费用将由乙方承担，甲方根据合同规定对乙方行使的其它权力不受影响。甲方亦可从质保金中扣回索赔金额。</w:t>
      </w:r>
    </w:p>
    <w:p w14:paraId="5BEE80FE">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5、伴随服务</w:t>
      </w:r>
    </w:p>
    <w:p w14:paraId="33F77212">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5-1、乙方应随同每套货物提供相应的中文的技术文件。</w:t>
      </w:r>
    </w:p>
    <w:p w14:paraId="44DAF854">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5-1-1、完整的操作使用手册和维护、修理技术文件，图纸、保修卡等。</w:t>
      </w:r>
    </w:p>
    <w:p w14:paraId="6C31C286">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5-1-2、制造厂的检验、测试报告、检验合格证书，计量合格等级证书，质量保证书等文件须随产品装箱提供。</w:t>
      </w:r>
    </w:p>
    <w:p w14:paraId="4E52387B">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5-1-3、必须的其它技术资料。</w:t>
      </w:r>
    </w:p>
    <w:p w14:paraId="5415322D">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5-2、伴随服务的费用已含在合同价中，不单独进行支付。</w:t>
      </w:r>
    </w:p>
    <w:p w14:paraId="0D9CA6E5">
      <w:pPr>
        <w:pStyle w:val="2"/>
        <w:spacing w:line="500" w:lineRule="exact"/>
        <w:ind w:firstLine="482" w:firstLineChars="200"/>
        <w:rPr>
          <w:rFonts w:hint="eastAsia" w:ascii="宋体" w:hAnsi="宋体" w:eastAsia="宋体" w:cs="宋体"/>
          <w:sz w:val="24"/>
          <w:szCs w:val="24"/>
          <w:highlight w:val="none"/>
          <w:lang w:val="zh-CN"/>
        </w:rPr>
      </w:pPr>
      <w:bookmarkStart w:id="16" w:name="_Toc1131"/>
      <w:bookmarkStart w:id="17" w:name="_Toc15463523"/>
      <w:r>
        <w:rPr>
          <w:rFonts w:hint="eastAsia" w:ascii="宋体" w:hAnsi="宋体" w:eastAsia="宋体" w:cs="宋体"/>
          <w:sz w:val="24"/>
          <w:szCs w:val="24"/>
          <w:highlight w:val="none"/>
          <w:lang w:val="zh-CN"/>
        </w:rPr>
        <w:t>八、验收</w:t>
      </w:r>
      <w:bookmarkEnd w:id="16"/>
      <w:bookmarkEnd w:id="17"/>
    </w:p>
    <w:p w14:paraId="590EE749">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1、到货验收：货物到货后，由甲方与乙方共同进行外观验收，验收内容包括，外包装的完好性，货物品牌、规格、数量及产地与合同要求的一致性。</w:t>
      </w:r>
    </w:p>
    <w:p w14:paraId="76B507D7">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2、货物运行验收：乙方安装调试合格后，向甲方提出验收申请，甲方接到乙方验收申请后组织验收（必要时可聘请相应专家或委托相应部门验收），验收合格后，出具使用验收合格证明。</w:t>
      </w:r>
    </w:p>
    <w:p w14:paraId="7C6304B0">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3、最终验收：最终验收结果作为付款依据，乙方填写验收单，并向甲方提交实施过程中的所有资料，以便甲方日后管理和维护。</w:t>
      </w:r>
    </w:p>
    <w:p w14:paraId="3B862C4D">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4、质保期满后：由乙方出具质保期运行质量报告，作为质保金支付依据，若存在质量问题，应按相应规定协商处理。</w:t>
      </w:r>
    </w:p>
    <w:p w14:paraId="39C28679">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5、验收依据：</w:t>
      </w:r>
    </w:p>
    <w:p w14:paraId="6335B4AC">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5-1、合同文本、合同附件、招标文件、招标响应文件。</w:t>
      </w:r>
    </w:p>
    <w:p w14:paraId="50869419">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5-2、国内相应的标准、规范。</w:t>
      </w:r>
    </w:p>
    <w:p w14:paraId="3DBDBAF5">
      <w:pPr>
        <w:pStyle w:val="2"/>
        <w:spacing w:line="500" w:lineRule="exact"/>
        <w:ind w:firstLine="482" w:firstLineChars="200"/>
        <w:rPr>
          <w:rFonts w:hint="eastAsia" w:ascii="宋体" w:hAnsi="宋体" w:eastAsia="宋体" w:cs="宋体"/>
          <w:sz w:val="24"/>
          <w:szCs w:val="24"/>
          <w:highlight w:val="none"/>
          <w:lang w:val="zh-CN"/>
        </w:rPr>
      </w:pPr>
      <w:bookmarkStart w:id="18" w:name="_Toc15463524"/>
      <w:bookmarkStart w:id="19" w:name="_Toc27420"/>
      <w:r>
        <w:rPr>
          <w:rFonts w:hint="eastAsia" w:ascii="宋体" w:hAnsi="宋体" w:eastAsia="宋体" w:cs="宋体"/>
          <w:sz w:val="24"/>
          <w:szCs w:val="24"/>
          <w:highlight w:val="none"/>
          <w:lang w:val="zh-CN"/>
        </w:rPr>
        <w:t>九、违约责任</w:t>
      </w:r>
      <w:bookmarkEnd w:id="18"/>
      <w:bookmarkEnd w:id="19"/>
    </w:p>
    <w:p w14:paraId="1B9BBB2E">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1、按《</w:t>
      </w:r>
      <w:r>
        <w:rPr>
          <w:rFonts w:hint="eastAsia" w:ascii="宋体" w:hAnsi="宋体" w:cs="宋体"/>
          <w:sz w:val="24"/>
          <w:szCs w:val="24"/>
          <w:highlight w:val="none"/>
          <w:lang w:val="en-US" w:eastAsia="zh-CN"/>
        </w:rPr>
        <w:t>民法典</w:t>
      </w:r>
      <w:r>
        <w:rPr>
          <w:rFonts w:hint="eastAsia" w:ascii="宋体" w:hAnsi="宋体" w:cs="宋体"/>
          <w:sz w:val="24"/>
          <w:szCs w:val="24"/>
          <w:highlight w:val="none"/>
        </w:rPr>
        <w:t>》中的相关条款执行。</w:t>
      </w:r>
    </w:p>
    <w:p w14:paraId="028B3266">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2、乙方履约延误</w:t>
      </w:r>
    </w:p>
    <w:p w14:paraId="78F268E3">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2-1、如乙方事先未征得甲方同意并得到甲方的谅解而单方面延迟交货，将按违约终止合同。</w:t>
      </w:r>
    </w:p>
    <w:p w14:paraId="42CEEAD2">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14128DCF">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3、违约终止合同：未按合同要求提供货物或质量不能满足技术要求，甲方会同监督机构有权终止合同，对乙方违约行为进行追究，同时按政府采购法的有关规定进行相应的处罚。</w:t>
      </w:r>
    </w:p>
    <w:p w14:paraId="1766CBB0">
      <w:pPr>
        <w:pStyle w:val="2"/>
        <w:spacing w:line="500" w:lineRule="exact"/>
        <w:ind w:firstLine="482" w:firstLineChars="200"/>
        <w:rPr>
          <w:rFonts w:hint="eastAsia" w:ascii="宋体" w:hAnsi="宋体" w:eastAsia="宋体" w:cs="宋体"/>
          <w:sz w:val="24"/>
          <w:szCs w:val="24"/>
          <w:highlight w:val="none"/>
          <w:lang w:val="zh-CN"/>
        </w:rPr>
      </w:pPr>
      <w:bookmarkStart w:id="20" w:name="_Toc8971"/>
      <w:bookmarkStart w:id="21" w:name="_Toc15463525"/>
      <w:r>
        <w:rPr>
          <w:rFonts w:hint="eastAsia" w:ascii="宋体" w:hAnsi="宋体" w:eastAsia="宋体" w:cs="宋体"/>
          <w:sz w:val="24"/>
          <w:szCs w:val="24"/>
          <w:highlight w:val="none"/>
          <w:lang w:val="zh-CN"/>
        </w:rPr>
        <w:t>十、合同组成</w:t>
      </w:r>
      <w:bookmarkEnd w:id="20"/>
      <w:bookmarkEnd w:id="21"/>
    </w:p>
    <w:p w14:paraId="6BB2333E">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1、中标通知书</w:t>
      </w:r>
    </w:p>
    <w:p w14:paraId="61E808BA">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2、合同文件</w:t>
      </w:r>
    </w:p>
    <w:p w14:paraId="563BE8D3">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3、国家相关规范及标准</w:t>
      </w:r>
    </w:p>
    <w:p w14:paraId="77D2049C">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4、供货产品技术规格及参数表</w:t>
      </w:r>
    </w:p>
    <w:p w14:paraId="40FBD1E4">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w:t>
      </w:r>
      <w:r>
        <w:rPr>
          <w:rFonts w:hint="eastAsia" w:ascii="宋体" w:hAnsi="宋体" w:cs="宋体"/>
          <w:sz w:val="24"/>
          <w:szCs w:val="24"/>
          <w:highlight w:val="none"/>
          <w:lang w:val="en-US" w:eastAsia="zh-CN"/>
        </w:rPr>
        <w:t>磋商</w:t>
      </w:r>
      <w:r>
        <w:rPr>
          <w:rFonts w:hint="eastAsia" w:ascii="宋体" w:hAnsi="宋体" w:cs="宋体"/>
          <w:sz w:val="24"/>
          <w:szCs w:val="24"/>
          <w:highlight w:val="none"/>
        </w:rPr>
        <w:t>文件</w:t>
      </w:r>
    </w:p>
    <w:p w14:paraId="52165AB2">
      <w:pPr>
        <w:adjustRightInd w:val="0"/>
        <w:snapToGrid w:val="0"/>
        <w:spacing w:line="5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6、</w:t>
      </w:r>
      <w:r>
        <w:rPr>
          <w:rFonts w:hint="eastAsia" w:ascii="宋体" w:hAnsi="宋体" w:cs="宋体"/>
          <w:sz w:val="24"/>
          <w:szCs w:val="24"/>
          <w:highlight w:val="none"/>
          <w:lang w:val="en-US" w:eastAsia="zh-CN"/>
        </w:rPr>
        <w:t>磋商</w:t>
      </w:r>
      <w:r>
        <w:rPr>
          <w:rFonts w:hint="eastAsia" w:ascii="宋体" w:hAnsi="宋体" w:cs="宋体"/>
          <w:sz w:val="24"/>
          <w:szCs w:val="24"/>
          <w:highlight w:val="none"/>
        </w:rPr>
        <w:t>响应文件</w:t>
      </w:r>
    </w:p>
    <w:p w14:paraId="15F32BE5">
      <w:pPr>
        <w:pStyle w:val="2"/>
        <w:spacing w:line="500" w:lineRule="exact"/>
        <w:ind w:firstLine="482" w:firstLineChars="200"/>
        <w:rPr>
          <w:rFonts w:hint="eastAsia" w:ascii="宋体" w:hAnsi="宋体" w:eastAsia="宋体" w:cs="宋体"/>
          <w:sz w:val="24"/>
          <w:szCs w:val="24"/>
          <w:highlight w:val="none"/>
          <w:lang w:val="zh-CN"/>
        </w:rPr>
      </w:pPr>
      <w:bookmarkStart w:id="22" w:name="_Toc15463526"/>
      <w:bookmarkStart w:id="23" w:name="_Toc10155"/>
      <w:r>
        <w:rPr>
          <w:rFonts w:hint="eastAsia" w:ascii="宋体" w:hAnsi="宋体" w:eastAsia="宋体" w:cs="宋体"/>
          <w:sz w:val="24"/>
          <w:szCs w:val="24"/>
          <w:highlight w:val="none"/>
          <w:lang w:val="zh-CN"/>
        </w:rPr>
        <w:t>十一、解决争议的方法</w:t>
      </w:r>
      <w:bookmarkEnd w:id="22"/>
      <w:bookmarkEnd w:id="23"/>
    </w:p>
    <w:p w14:paraId="1C8A4680">
      <w:pPr>
        <w:widowControl/>
        <w:autoSpaceDE w:val="0"/>
        <w:autoSpaceDN w:val="0"/>
        <w:snapToGrid w:val="0"/>
        <w:spacing w:line="500" w:lineRule="exact"/>
        <w:ind w:right="-110" w:firstLine="480" w:firstLineChars="200"/>
        <w:textAlignment w:val="bottom"/>
        <w:rPr>
          <w:rFonts w:hint="eastAsia" w:ascii="宋体" w:hAnsi="宋体" w:cs="宋体"/>
          <w:kern w:val="0"/>
          <w:sz w:val="24"/>
          <w:szCs w:val="24"/>
          <w:highlight w:val="none"/>
        </w:rPr>
      </w:pPr>
      <w:r>
        <w:rPr>
          <w:rFonts w:hint="eastAsia" w:ascii="宋体" w:hAnsi="宋体" w:cs="宋体"/>
          <w:kern w:val="0"/>
          <w:sz w:val="24"/>
          <w:szCs w:val="24"/>
          <w:highlight w:val="none"/>
        </w:rPr>
        <w:t>凡因本合同引起的或与本合同有关的争议，双方应友好协商解决。协商不成时，双方均同意采用以下第（  ）种争议解决方式：</w:t>
      </w:r>
    </w:p>
    <w:p w14:paraId="2B3B05B5">
      <w:pPr>
        <w:widowControl/>
        <w:autoSpaceDE w:val="0"/>
        <w:autoSpaceDN w:val="0"/>
        <w:snapToGrid w:val="0"/>
        <w:spacing w:line="500" w:lineRule="exact"/>
        <w:ind w:right="-110" w:firstLine="480" w:firstLineChars="200"/>
        <w:textAlignment w:val="bottom"/>
        <w:rPr>
          <w:rFonts w:hint="eastAsia" w:ascii="宋体" w:hAnsi="宋体" w:cs="宋体"/>
          <w:kern w:val="0"/>
          <w:sz w:val="24"/>
          <w:szCs w:val="24"/>
          <w:highlight w:val="none"/>
        </w:rPr>
      </w:pPr>
      <w:r>
        <w:rPr>
          <w:rFonts w:hint="eastAsia" w:ascii="宋体" w:hAnsi="宋体" w:cs="宋体"/>
          <w:kern w:val="0"/>
          <w:sz w:val="24"/>
          <w:szCs w:val="24"/>
          <w:highlight w:val="none"/>
        </w:rPr>
        <w:t>（1）、甲、乙双方均同意向（甲方所在地人民法院）提起诉讼。</w:t>
      </w:r>
    </w:p>
    <w:p w14:paraId="0A9FF290">
      <w:pPr>
        <w:widowControl/>
        <w:autoSpaceDE w:val="0"/>
        <w:autoSpaceDN w:val="0"/>
        <w:snapToGrid w:val="0"/>
        <w:spacing w:line="500" w:lineRule="exact"/>
        <w:ind w:right="-110" w:firstLine="480" w:firstLineChars="200"/>
        <w:textAlignment w:val="bottom"/>
        <w:rPr>
          <w:rFonts w:hint="eastAsia" w:ascii="宋体" w:hAnsi="宋体" w:cs="宋体"/>
          <w:kern w:val="0"/>
          <w:sz w:val="24"/>
          <w:szCs w:val="24"/>
          <w:highlight w:val="none"/>
        </w:rPr>
      </w:pPr>
      <w:r>
        <w:rPr>
          <w:rFonts w:hint="eastAsia" w:ascii="宋体" w:hAnsi="宋体" w:cs="宋体"/>
          <w:kern w:val="0"/>
          <w:sz w:val="24"/>
          <w:szCs w:val="24"/>
          <w:highlight w:val="none"/>
        </w:rPr>
        <w:t>（2）、甲、乙双方均同意向（</w:t>
      </w:r>
      <w:r>
        <w:rPr>
          <w:rFonts w:hint="eastAsia" w:ascii="宋体" w:hAnsi="宋体" w:cs="宋体"/>
          <w:kern w:val="0"/>
          <w:sz w:val="24"/>
          <w:szCs w:val="24"/>
          <w:highlight w:val="none"/>
        </w:rPr>
        <w:fldChar w:fldCharType="begin"/>
      </w:r>
      <w:r>
        <w:rPr>
          <w:rFonts w:hint="eastAsia" w:ascii="宋体" w:hAnsi="宋体" w:cs="宋体"/>
          <w:kern w:val="0"/>
          <w:sz w:val="24"/>
          <w:szCs w:val="24"/>
          <w:highlight w:val="none"/>
        </w:rPr>
        <w:instrText xml:space="preserve"> HYPERLINK "http://www.baidu.com/s?wd=%E4%BB%B2%E8%A3%81%E5%A7%94%E5%91%98%E4%BC%9A&amp;tn=SE_PcZhidaonwhc_ngpagmjz&amp;rsv_dl=gh_pc_zhidao" \t "_blank" </w:instrText>
      </w:r>
      <w:r>
        <w:rPr>
          <w:rFonts w:hint="eastAsia" w:ascii="宋体" w:hAnsi="宋体" w:cs="宋体"/>
          <w:kern w:val="0"/>
          <w:sz w:val="24"/>
          <w:szCs w:val="24"/>
          <w:highlight w:val="none"/>
        </w:rPr>
        <w:fldChar w:fldCharType="separate"/>
      </w:r>
      <w:r>
        <w:rPr>
          <w:rFonts w:hint="eastAsia" w:ascii="宋体" w:hAnsi="宋体" w:cs="宋体"/>
          <w:kern w:val="0"/>
          <w:sz w:val="24"/>
          <w:szCs w:val="24"/>
          <w:highlight w:val="none"/>
        </w:rPr>
        <w:t>仲裁委员会</w:t>
      </w:r>
      <w:r>
        <w:rPr>
          <w:rFonts w:hint="eastAsia" w:ascii="宋体" w:hAnsi="宋体" w:cs="宋体"/>
          <w:kern w:val="0"/>
          <w:sz w:val="24"/>
          <w:szCs w:val="24"/>
          <w:highlight w:val="none"/>
        </w:rPr>
        <w:fldChar w:fldCharType="end"/>
      </w:r>
      <w:r>
        <w:rPr>
          <w:rFonts w:hint="eastAsia" w:ascii="宋体" w:hAnsi="宋体" w:cs="宋体"/>
          <w:kern w:val="0"/>
          <w:sz w:val="24"/>
          <w:szCs w:val="24"/>
          <w:highlight w:val="none"/>
        </w:rPr>
        <w:t>）提起仲裁。</w:t>
      </w:r>
    </w:p>
    <w:p w14:paraId="75DF4609">
      <w:pPr>
        <w:pStyle w:val="2"/>
        <w:spacing w:line="500" w:lineRule="exact"/>
        <w:ind w:firstLine="482"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十二、合同生效及其它</w:t>
      </w:r>
    </w:p>
    <w:p w14:paraId="303BFE00">
      <w:pPr>
        <w:widowControl/>
        <w:autoSpaceDE w:val="0"/>
        <w:autoSpaceDN w:val="0"/>
        <w:snapToGrid w:val="0"/>
        <w:spacing w:line="500" w:lineRule="exact"/>
        <w:ind w:right="-110" w:firstLine="480" w:firstLineChars="200"/>
        <w:textAlignment w:val="bottom"/>
        <w:rPr>
          <w:rFonts w:hint="eastAsia" w:ascii="宋体" w:hAnsi="宋体" w:cs="宋体"/>
          <w:kern w:val="0"/>
          <w:sz w:val="24"/>
          <w:szCs w:val="24"/>
          <w:highlight w:val="none"/>
        </w:rPr>
      </w:pPr>
      <w:r>
        <w:rPr>
          <w:rFonts w:hint="eastAsia" w:ascii="宋体" w:hAnsi="宋体" w:cs="宋体"/>
          <w:kern w:val="0"/>
          <w:sz w:val="24"/>
          <w:szCs w:val="24"/>
          <w:highlight w:val="none"/>
        </w:rPr>
        <w:t>1、合同未尽事宜、由甲、乙双方协商，作为合同补充，与原合同具有同等法律效力。</w:t>
      </w:r>
    </w:p>
    <w:p w14:paraId="3590428C">
      <w:pPr>
        <w:widowControl/>
        <w:tabs>
          <w:tab w:val="left" w:pos="8391"/>
        </w:tabs>
        <w:autoSpaceDE w:val="0"/>
        <w:autoSpaceDN w:val="0"/>
        <w:snapToGrid w:val="0"/>
        <w:spacing w:line="500" w:lineRule="exact"/>
        <w:ind w:right="-69" w:firstLine="480" w:firstLineChars="200"/>
        <w:textAlignment w:val="bottom"/>
        <w:rPr>
          <w:rFonts w:hint="eastAsia" w:ascii="宋体" w:hAnsi="宋体" w:cs="宋体"/>
          <w:kern w:val="0"/>
          <w:sz w:val="24"/>
          <w:szCs w:val="24"/>
          <w:highlight w:val="none"/>
        </w:rPr>
      </w:pPr>
      <w:r>
        <w:rPr>
          <w:rFonts w:hint="eastAsia" w:ascii="宋体" w:hAnsi="宋体" w:cs="宋体"/>
          <w:kern w:val="0"/>
          <w:sz w:val="24"/>
          <w:szCs w:val="24"/>
          <w:highlight w:val="none"/>
        </w:rPr>
        <w:t>2、 本合同正本一式</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份，甲方、乙双方分别执</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份，</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备案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份。</w:t>
      </w:r>
    </w:p>
    <w:p w14:paraId="30752910">
      <w:pPr>
        <w:widowControl/>
        <w:tabs>
          <w:tab w:val="left" w:pos="8391"/>
        </w:tabs>
        <w:autoSpaceDE w:val="0"/>
        <w:autoSpaceDN w:val="0"/>
        <w:snapToGrid w:val="0"/>
        <w:spacing w:line="500" w:lineRule="exact"/>
        <w:ind w:right="-69" w:firstLine="480" w:firstLineChars="200"/>
        <w:textAlignment w:val="bottom"/>
        <w:rPr>
          <w:rFonts w:hint="eastAsia" w:ascii="宋体" w:hAnsi="宋体" w:cs="宋体"/>
          <w:kern w:val="0"/>
          <w:sz w:val="24"/>
          <w:szCs w:val="24"/>
          <w:highlight w:val="none"/>
        </w:rPr>
      </w:pPr>
      <w:r>
        <w:rPr>
          <w:rFonts w:hint="eastAsia" w:ascii="宋体" w:hAnsi="宋体" w:cs="宋体"/>
          <w:kern w:val="0"/>
          <w:sz w:val="24"/>
          <w:szCs w:val="24"/>
          <w:highlight w:val="none"/>
        </w:rPr>
        <w:t>3、合同经甲、乙双方盖章、签字后生效，合同签订地点为</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w:t>
      </w:r>
    </w:p>
    <w:p w14:paraId="784ACD5F">
      <w:pPr>
        <w:widowControl/>
        <w:tabs>
          <w:tab w:val="left" w:pos="8391"/>
        </w:tabs>
        <w:autoSpaceDE w:val="0"/>
        <w:autoSpaceDN w:val="0"/>
        <w:snapToGrid w:val="0"/>
        <w:spacing w:line="500" w:lineRule="exact"/>
        <w:ind w:right="-69" w:firstLine="480" w:firstLineChars="200"/>
        <w:textAlignment w:val="bottom"/>
        <w:rPr>
          <w:rFonts w:hint="eastAsia" w:ascii="宋体" w:hAnsi="宋体" w:cs="宋体"/>
          <w:kern w:val="0"/>
          <w:sz w:val="24"/>
          <w:szCs w:val="24"/>
          <w:highlight w:val="none"/>
        </w:rPr>
      </w:pPr>
      <w:r>
        <w:rPr>
          <w:rFonts w:hint="eastAsia" w:ascii="宋体" w:hAnsi="宋体" w:cs="宋体"/>
          <w:kern w:val="0"/>
          <w:sz w:val="24"/>
          <w:szCs w:val="24"/>
          <w:highlight w:val="none"/>
        </w:rPr>
        <w:t>4、生效时间：   年  月  日</w:t>
      </w:r>
    </w:p>
    <w:p w14:paraId="3A86BD08">
      <w:pPr>
        <w:widowControl/>
        <w:tabs>
          <w:tab w:val="left" w:pos="8391"/>
        </w:tabs>
        <w:autoSpaceDE w:val="0"/>
        <w:autoSpaceDN w:val="0"/>
        <w:snapToGrid w:val="0"/>
        <w:spacing w:line="500" w:lineRule="exact"/>
        <w:ind w:right="-69" w:firstLine="480" w:firstLineChars="200"/>
        <w:textAlignment w:val="bottom"/>
        <w:rPr>
          <w:rFonts w:hint="eastAsia" w:ascii="宋体" w:hAnsi="宋体" w:cs="宋体"/>
          <w:kern w:val="0"/>
          <w:sz w:val="24"/>
          <w:szCs w:val="24"/>
          <w:highlight w:val="none"/>
        </w:rPr>
      </w:pPr>
    </w:p>
    <w:bookmarkEnd w:id="0"/>
    <w:bookmarkEnd w:id="1"/>
    <w:tbl>
      <w:tblPr>
        <w:tblStyle w:val="8"/>
        <w:tblW w:w="0" w:type="auto"/>
        <w:tblInd w:w="0" w:type="dxa"/>
        <w:tblLayout w:type="fixed"/>
        <w:tblCellMar>
          <w:top w:w="0" w:type="dxa"/>
          <w:left w:w="108" w:type="dxa"/>
          <w:bottom w:w="0" w:type="dxa"/>
          <w:right w:w="108" w:type="dxa"/>
        </w:tblCellMar>
      </w:tblPr>
      <w:tblGrid>
        <w:gridCol w:w="4643"/>
        <w:gridCol w:w="4643"/>
      </w:tblGrid>
      <w:tr w14:paraId="49479F07">
        <w:tblPrEx>
          <w:tblCellMar>
            <w:top w:w="0" w:type="dxa"/>
            <w:left w:w="108" w:type="dxa"/>
            <w:bottom w:w="0" w:type="dxa"/>
            <w:right w:w="108" w:type="dxa"/>
          </w:tblCellMar>
        </w:tblPrEx>
        <w:tc>
          <w:tcPr>
            <w:tcW w:w="4643" w:type="dxa"/>
            <w:noWrap w:val="0"/>
            <w:vAlign w:val="top"/>
          </w:tcPr>
          <w:p w14:paraId="1DB5380A">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kern w:val="0"/>
                <w:sz w:val="24"/>
                <w:szCs w:val="24"/>
                <w:highlight w:val="none"/>
              </w:rPr>
              <w:t>:</w:t>
            </w:r>
          </w:p>
          <w:p w14:paraId="17271416">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3A65B233">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72BA6A1B">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5763883B">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3D171203">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帐号：</w:t>
            </w:r>
          </w:p>
        </w:tc>
        <w:tc>
          <w:tcPr>
            <w:tcW w:w="4643" w:type="dxa"/>
            <w:noWrap w:val="0"/>
            <w:vAlign w:val="top"/>
          </w:tcPr>
          <w:p w14:paraId="72F681E8">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kern w:val="0"/>
                <w:sz w:val="24"/>
                <w:szCs w:val="24"/>
                <w:highlight w:val="none"/>
              </w:rPr>
              <w:t>:</w:t>
            </w:r>
          </w:p>
          <w:p w14:paraId="78C592E2">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3B14A97B">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14:paraId="4CC3FDC9">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4A9EEE9E">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7252BC29">
            <w:pPr>
              <w:widowControl/>
              <w:autoSpaceDE w:val="0"/>
              <w:autoSpaceDN w:val="0"/>
              <w:snapToGrid w:val="0"/>
              <w:spacing w:line="24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帐号：</w:t>
            </w:r>
          </w:p>
        </w:tc>
      </w:tr>
    </w:tbl>
    <w:p w14:paraId="076494C6">
      <w:pPr>
        <w:tabs>
          <w:tab w:val="left" w:pos="1379"/>
        </w:tabs>
        <w:spacing w:before="120" w:beforeLines="50" w:after="120" w:afterLines="50" w:line="360" w:lineRule="auto"/>
        <w:ind w:firstLine="482" w:firstLineChars="200"/>
        <w:rPr>
          <w:rFonts w:hint="eastAsia" w:ascii="宋体" w:hAnsi="宋体"/>
          <w:b/>
          <w:color w:val="auto"/>
          <w:sz w:val="24"/>
          <w:szCs w:val="32"/>
          <w:highlight w:val="none"/>
        </w:rPr>
      </w:pPr>
    </w:p>
    <w:p w14:paraId="30C7E6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826872"/>
    <w:rsid w:val="02514F5D"/>
    <w:rsid w:val="115629AF"/>
    <w:rsid w:val="134500B6"/>
    <w:rsid w:val="29F36156"/>
    <w:rsid w:val="75826872"/>
    <w:rsid w:val="770C2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3" w:lineRule="auto"/>
      <w:outlineLvl w:val="1"/>
    </w:pPr>
    <w:rPr>
      <w:rFonts w:ascii="Cambria" w:hAnsi="Cambria"/>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djustRightInd w:val="0"/>
      <w:spacing w:line="360" w:lineRule="atLeast"/>
      <w:ind w:firstLine="482"/>
      <w:textAlignment w:val="baseline"/>
    </w:pPr>
    <w:rPr>
      <w:kern w:val="0"/>
      <w:sz w:val="24"/>
    </w:rPr>
  </w:style>
  <w:style w:type="paragraph" w:styleId="4">
    <w:name w:val="Body Text First Indent 2"/>
    <w:basedOn w:val="5"/>
    <w:next w:val="6"/>
    <w:qFormat/>
    <w:uiPriority w:val="0"/>
    <w:pPr>
      <w:ind w:firstLine="420" w:firstLineChars="200"/>
    </w:pPr>
  </w:style>
  <w:style w:type="paragraph" w:styleId="5">
    <w:name w:val="Body Text Indent"/>
    <w:basedOn w:val="1"/>
    <w:next w:val="4"/>
    <w:qFormat/>
    <w:uiPriority w:val="0"/>
    <w:pPr>
      <w:spacing w:after="120"/>
      <w:ind w:left="420" w:leftChars="200"/>
    </w:pPr>
  </w:style>
  <w:style w:type="paragraph" w:customStyle="1" w:styleId="6">
    <w:name w:val="_Style 3"/>
    <w:next w:val="1"/>
    <w:autoRedefine/>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styleId="7">
    <w:name w:val="Body Text"/>
    <w:basedOn w:val="1"/>
    <w:next w:val="1"/>
    <w:qFormat/>
    <w:uiPriority w:val="0"/>
    <w:pPr>
      <w:spacing w:after="1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2484</Words>
  <Characters>2548</Characters>
  <Lines>0</Lines>
  <Paragraphs>0</Paragraphs>
  <TotalTime>3</TotalTime>
  <ScaleCrop>false</ScaleCrop>
  <LinksUpToDate>false</LinksUpToDate>
  <CharactersWithSpaces>2642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2026-06-24T08:39:00Z</dcterms:created>
  <dc:creator>SXLZ-招标</dc:creator>
  <cp:lastModifiedBy>admi</cp:lastModifiedBy>
  <dcterms:modified xsi:type="dcterms:W3CDTF">2026-07-02T09:46:13Z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4E41093D53CE4D38829D8D687FF8F64E_11</vt:lpwstr>
  </property>
  <property fmtid="{D5CDD505-2E9C-101B-9397-08002B2CF9AE}" pid="4" name="KSOTemplateDocerSaveRecord">
    <vt:lpwstr>eyJoZGlkIjoiYjljOWM4ZTVmZmU5NmZkMDRkODA3ZTNiZDc0YTMzMTAiLCJ1c2VySWQiOiIzNTgyNzg4MjIifQ==</vt:lpwstr>
  </property>
</Properties>
</file>