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版本号：HRPD-ZFCG-2026-01020260716001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2026年富平县流曲镇五里墩村巷道排水项目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HRPD-ZFCG-2026-010</w:t>
      </w:r>
      <w:r>
        <w:br/>
      </w:r>
      <w:r>
        <w:br/>
      </w:r>
      <w:r>
        <w:br/>
      </w:r>
    </w:p>
    <w:p>
      <w:pPr>
        <w:pStyle w:val="null3"/>
        <w:jc w:val="center"/>
        <w:outlineLvl w:val="2"/>
      </w:pPr>
      <w:r>
        <w:rPr>
          <w:rFonts w:ascii="仿宋_GB2312" w:hAnsi="仿宋_GB2312" w:cs="仿宋_GB2312" w:eastAsia="仿宋_GB2312"/>
          <w:sz w:val="28"/>
          <w:b/>
        </w:rPr>
        <w:t>富平县流曲镇人民政府（本级）</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富平县流曲镇人民政府（本级）</w:t>
      </w:r>
      <w:r>
        <w:rPr>
          <w:rFonts w:ascii="仿宋_GB2312" w:hAnsi="仿宋_GB2312" w:cs="仿宋_GB2312" w:eastAsia="仿宋_GB2312"/>
        </w:rPr>
        <w:t>委托，拟对</w:t>
      </w:r>
      <w:r>
        <w:rPr>
          <w:rFonts w:ascii="仿宋_GB2312" w:hAnsi="仿宋_GB2312" w:cs="仿宋_GB2312" w:eastAsia="仿宋_GB2312"/>
        </w:rPr>
        <w:t>2026年富平县流曲镇五里墩村巷道排水项目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HRPD-ZFCG-2026-010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2026年富平县流曲镇五里墩村巷道排水项目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1.新修七组巷道暗排(DN300双壁波纹管) 1100m,采用单侧排水，雨水箅子40个，检 查井10个，混凝土过路管10m。2.新修三组 巷道暗排(DN300双壁波纹管)610m,采用 双侧排水，雨水箅子50个，检查井8个，混 凝土过路管30m。3.新修四组巷道暗排 (DN300双壁波纹管)194m,采用单侧排 水 ，雨水箅子10个，检查井3个。包含自来 水管道恢复。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采购包1（2026年富平县流曲镇五里墩村巷道排水项目）：属于专门面向中小企业采购。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3、资质和专业要求：具备建筑工程或市政公用工程施工总承包三级及以上资质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5、拟派项目经理资质和专业要求：拟派项目经理须具备建筑工程或市政公用工程注册建造师二级及以上资格和有效的安全生产考核证书，须提供项目经理无在建工程的相关证明材料或承诺书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年的可提供成立后任意时段的财务报表)</w:t>
      </w:r>
    </w:p>
    <w:p>
      <w:pPr>
        <w:pStyle w:val="null3"/>
      </w:pPr>
      <w:r>
        <w:rPr>
          <w:rFonts w:ascii="仿宋_GB2312" w:hAnsi="仿宋_GB2312" w:cs="仿宋_GB2312" w:eastAsia="仿宋_GB2312"/>
        </w:rPr>
        <w:t>7、缴纳税收的要求：提供依法缴纳税收的良好记录(提供磋商响应文件递交截止时间前六个月内任意一个月份的缴纳凭据复印件或扫描 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11、磋商保证金要求：a.提供磋商保证金转账凭证和基本存款账户信息证明资料复印件或扫描件;b.提供金融机构、担保机构出具的保函复印件或扫描件。以上两种方式二选一</w:t>
      </w:r>
    </w:p>
    <w:p>
      <w:pPr>
        <w:pStyle w:val="null3"/>
      </w:pPr>
      <w:r>
        <w:rPr>
          <w:rFonts w:ascii="仿宋_GB2312" w:hAnsi="仿宋_GB2312" w:cs="仿宋_GB2312" w:eastAsia="仿宋_GB2312"/>
        </w:rPr>
        <w:t>12、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 声明</w:t>
      </w:r>
    </w:p>
    <w:p>
      <w:pPr>
        <w:pStyle w:val="null3"/>
      </w:pPr>
      <w:r>
        <w:rPr>
          <w:rFonts w:ascii="仿宋_GB2312" w:hAnsi="仿宋_GB2312" w:cs="仿宋_GB2312" w:eastAsia="仿宋_GB2312"/>
        </w:rPr>
        <w:t>13、具有履行本合同所必需的设备和专业技术能力的要求：提供具有履行本合同所必需的设备和专业技术能力的说明及承诺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14、面向中小企业采购政策落实情况：本项目专门面向中小企业采购，供应商须提供《中小企业声明函》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富平县流曲镇人民政府（本级）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流曲镇流曲街道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富平县流曲镇人民政府（本级）经办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13636778298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井红艳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15511636505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开户名称：宏睿鹏达项⽬管理有限公司富平分公司</w:t>
            </w:r>
          </w:p>
          <w:p>
            <w:pPr>
              <w:pStyle w:val="null3"/>
            </w:pPr>
            <w:r>
              <w:rPr>
                <w:rFonts w:ascii="仿宋_GB2312" w:hAnsi="仿宋_GB2312" w:cs="仿宋_GB2312" w:eastAsia="仿宋_GB2312"/>
              </w:rPr>
              <w:t>开户银行：中国建设银⾏股份有限公司富平县东新街⽀⾏</w:t>
            </w:r>
          </w:p>
          <w:p>
            <w:pPr>
              <w:pStyle w:val="null3"/>
            </w:pPr>
            <w:r>
              <w:rPr>
                <w:rFonts w:ascii="仿宋_GB2312" w:hAnsi="仿宋_GB2312" w:cs="仿宋_GB2312" w:eastAsia="仿宋_GB2312"/>
              </w:rPr>
              <w:t>银行账号：61050164831500002163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代理服务费收费标准：本项⽬收取代理服务费 代理服务费⽤收取对象：采购⼈ 代理服务费收费标准：招标代理服务费参照国家计委印发《招标代理服务收费管理暂行办法》的通 知（计价格[2002]1980 号）计算收取，不计入工程造价，按照《国家发展改革委办公厅关于招标代理服务收费有关问题的通知》（发改办价格〔2003〕 857 号）规定收取。造价咨询服务费按（陕价行发【2014】88 号文件）计算收取，不计入工程造价，由成交供应商支付。若本次招标失败（非代理机构原因），招标代理服务费由采购人支付，造价咨询费由成交供应商支付。具体金额详见中标（成交）结果公告，在领取中标通知书时向采购代理机构一 次付清（现金或转账）。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富平县流曲镇人民政府（本级）</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富平县流曲镇人民政府（本级）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富平县流曲镇人民政府（本级）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知识产权属发包人所有，承包人不得将此类图纸用于任何 与本工程以外的项目，承包人对所有图纸和工程文件负有保密义务，不得任意扩大接触和 使用范围，不得泄露给与本工程无关的其他人员。发包人无需支付保密措施费用。因承包人原因造成泄密的，应承担赔偿损失等法律责任。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在签订施⼯合同时另⾏约定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联系人：井红艳</w:t>
      </w:r>
    </w:p>
    <w:p>
      <w:pPr>
        <w:pStyle w:val="null3"/>
      </w:pPr>
      <w:r>
        <w:rPr>
          <w:rFonts w:ascii="仿宋_GB2312" w:hAnsi="仿宋_GB2312" w:cs="仿宋_GB2312" w:eastAsia="仿宋_GB2312"/>
        </w:rPr>
        <w:t>联系电话：15511636505</w:t>
      </w:r>
    </w:p>
    <w:p>
      <w:pPr>
        <w:pStyle w:val="null3"/>
      </w:pPr>
      <w:r>
        <w:rPr>
          <w:rFonts w:ascii="仿宋_GB2312" w:hAnsi="仿宋_GB2312" w:cs="仿宋_GB2312" w:eastAsia="仿宋_GB2312"/>
        </w:rPr>
        <w:t>地址：陕西省渭南市富平县城关街道新兴巷秦楚名苑小区对面二楼</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824,000.00</w:t>
      </w:r>
    </w:p>
    <w:p>
      <w:pPr>
        <w:pStyle w:val="null3"/>
      </w:pPr>
      <w:r>
        <w:rPr>
          <w:rFonts w:ascii="仿宋_GB2312" w:hAnsi="仿宋_GB2312" w:cs="仿宋_GB2312" w:eastAsia="仿宋_GB2312"/>
        </w:rPr>
        <w:t>采购包最高限价（元）: 817,119.51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2026年富平县流曲镇五里墩村巷道排水项目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824,000.00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标的名称：2026年富平县流曲镇五里墩村巷道排水项目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⼀、项⽬概况 :新修七组巷道暗排(DN300双壁波纹管) 1100m,采⽤单侧排⽔，⾬⽔箅⼦40个，检 查井10个， 混凝⼟过路管10m。2.新修三组 巷道暗排(DN300双壁波纹管)610m,采⽤ 双侧排⽔，⾬⽔箅⼦50个，检查井8个，混 凝⼟过路管30m。3.新修四组巷道暗排 (DN300双壁波纹管)194m,采⽤单侧排⽔ ，⾬⽔箅⼦10个，检查井3个。包含⾃来⽔管道恢复。</w:t>
            </w:r>
          </w:p>
          <w:p>
            <w:pPr>
              <w:pStyle w:val="null3"/>
            </w:pPr>
            <w:r>
              <w:rPr>
                <w:rFonts w:ascii="仿宋_GB2312" w:hAnsi="仿宋_GB2312" w:cs="仿宋_GB2312" w:eastAsia="仿宋_GB2312"/>
              </w:rPr>
              <w:t>⼆、实施地点:采购⼈指定地点</w:t>
            </w:r>
          </w:p>
          <w:p>
            <w:pPr>
              <w:pStyle w:val="null3"/>
            </w:pPr>
            <w:r>
              <w:rPr>
                <w:rFonts w:ascii="仿宋_GB2312" w:hAnsi="仿宋_GB2312" w:cs="仿宋_GB2312" w:eastAsia="仿宋_GB2312"/>
              </w:rPr>
              <w:t>三、项⽬要求: 1.⼯程质⾥⽬标:达到国家现⾏施⼯验收规范“合格”标准。 2.⽂明施⼯:安全⽂明施⼯⼯地。</w:t>
            </w:r>
          </w:p>
          <w:p>
            <w:pPr>
              <w:pStyle w:val="null3"/>
            </w:pPr>
            <w:r>
              <w:rPr>
                <w:rFonts w:ascii="仿宋_GB2312" w:hAnsi="仿宋_GB2312" w:cs="仿宋_GB2312" w:eastAsia="仿宋_GB2312"/>
              </w:rPr>
              <w:t>四、⼯期:45⽇历天(计划开、竣⼯⽇期以施⼯合同签订时间为准)</w:t>
            </w:r>
          </w:p>
          <w:p>
            <w:pPr>
              <w:pStyle w:val="null3"/>
            </w:pPr>
            <w:r>
              <w:rPr>
                <w:rFonts w:ascii="仿宋_GB2312" w:hAnsi="仿宋_GB2312" w:cs="仿宋_GB2312" w:eastAsia="仿宋_GB2312"/>
              </w:rPr>
              <w:t>五、安全要求 遵守⼯程建设安全⽣产有关管理规定，严格按安全标准组织施⼯，采取必要的安全⽣产措施，消除事 故隐患。安全措施不⼒造成事故责任和发⽣的费⽤由成交供应商承担</w:t>
            </w:r>
          </w:p>
          <w:p>
            <w:pPr>
              <w:pStyle w:val="null3"/>
            </w:pPr>
            <w:r>
              <w:rPr>
                <w:rFonts w:ascii="仿宋_GB2312" w:hAnsi="仿宋_GB2312" w:cs="仿宋_GB2312" w:eastAsia="仿宋_GB2312"/>
              </w:rPr>
              <w:t>六、⼯程施⼯基本要求 严格按国家有关规定做到⽂明施⼯，规范施⼯，严格把好各道施⼯⼯序的质⾥，确保⼯程质⾥，并按 要求如期完成⼯程建设，编制施⼯组织设计⽅案，确保⼯程按时优 质完成，编制总进度计划，合理安排劳动⼒、物⼒、财⼒，尽⾥做到综合平衡配套施⼯，确保⼯程顺利完成</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磋商响应文件戴止时间不足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具备建筑工程或市政公用工程施工总承包三级及以上资质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拟派项目经理须具备建筑工程或市政公用工程注册建造师二级及以上资格和有效的安全生产考核证书，须提供项目经理无在建工程的相关证明材料或承诺书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项目组织机构.docx 项目管理机构组成表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 件。依法免税或开标前一年内零申报的供应商应提供相关证明文件）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a.提供磋商保证金转账凭证和基本存款账户信息证明资料复印件或扫描件;b.提供金融机构、担保机构出具的保函复印件或扫描件。以上两种方式二选一</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 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具有履行本合同所必需的设备和专业技术能力的要求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供应商特定资格要求.docx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与营业执照⼀致</w:t>
            </w:r>
          </w:p>
        </w:tc>
        <w:tc>
          <w:tcPr>
            <w:tcW w:type="dxa" w:w="1661"/>
          </w:tcPr>
          <w:p>
            <w:pPr>
              <w:pStyle w:val="null3"/>
            </w:pPr>
            <w:r>
              <w:rPr>
                <w:rFonts w:ascii="仿宋_GB2312" w:hAnsi="仿宋_GB2312" w:cs="仿宋_GB2312" w:eastAsia="仿宋_GB2312"/>
              </w:rPr>
              <w:t>技术响应.docx 项目组织机构.docx 已标价工程量清单 中小企业声明函 承诺书.docx 响应文件封面 项目管理机构组成表 残疾人福利性单位声明函 报价函 标的清单 供应商特定资格要求.docx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内容⽆重⼤缺漏项，报价唯⼀，且不⾼于本项⽬最⾼限价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响应⽂件有效性</w:t>
            </w:r>
          </w:p>
        </w:tc>
        <w:tc>
          <w:tcPr>
            <w:tcW w:type="dxa" w:w="3322"/>
          </w:tcPr>
          <w:p>
            <w:pPr>
              <w:pStyle w:val="null3"/>
            </w:pPr>
            <w:r>
              <w:rPr>
                <w:rFonts w:ascii="仿宋_GB2312" w:hAnsi="仿宋_GB2312" w:cs="仿宋_GB2312" w:eastAsia="仿宋_GB2312"/>
              </w:rPr>
              <w:t>响应⽂件的签署、加盖印章合格、有效</w:t>
            </w:r>
          </w:p>
        </w:tc>
        <w:tc>
          <w:tcPr>
            <w:tcW w:type="dxa" w:w="1661"/>
          </w:tcPr>
          <w:p>
            <w:pPr>
              <w:pStyle w:val="null3"/>
            </w:pPr>
            <w:r>
              <w:rPr>
                <w:rFonts w:ascii="仿宋_GB2312" w:hAnsi="仿宋_GB2312" w:cs="仿宋_GB2312" w:eastAsia="仿宋_GB2312"/>
              </w:rPr>
              <w:t>技术响应.docx 项目组织机构.docx 已标价工程量清单 中小企业声明函 承诺书.docx 响应文件封面 项目管理机构组成表 残疾人福利性单位声明函 报价函 标的清单 供应商特定资格要求.docx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符合或优于磋商⽂件要求</w:t>
            </w:r>
          </w:p>
        </w:tc>
        <w:tc>
          <w:tcPr>
            <w:tcW w:type="dxa" w:w="1661"/>
          </w:tcPr>
          <w:p>
            <w:pPr>
              <w:pStyle w:val="null3"/>
            </w:pPr>
            <w:r>
              <w:rPr>
                <w:rFonts w:ascii="仿宋_GB2312" w:hAnsi="仿宋_GB2312" w:cs="仿宋_GB2312" w:eastAsia="仿宋_GB2312"/>
              </w:rPr>
              <w:t>报价函 标的清单 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其他磋商⽂件或法律法规明确规定响应⽆效的事项</w:t>
            </w:r>
          </w:p>
        </w:tc>
        <w:tc>
          <w:tcPr>
            <w:tcW w:type="dxa" w:w="3322"/>
          </w:tcPr>
          <w:p>
            <w:pPr>
              <w:pStyle w:val="null3"/>
            </w:pPr>
            <w:r>
              <w:rPr>
                <w:rFonts w:ascii="仿宋_GB2312" w:hAnsi="仿宋_GB2312" w:cs="仿宋_GB2312" w:eastAsia="仿宋_GB2312"/>
              </w:rPr>
              <w:t>⽆其他磋商⽂件或法律法规明确规定响应⽆效的事项</w:t>
            </w:r>
          </w:p>
        </w:tc>
        <w:tc>
          <w:tcPr>
            <w:tcW w:type="dxa" w:w="1661"/>
          </w:tcPr>
          <w:p>
            <w:pPr>
              <w:pStyle w:val="null3"/>
            </w:pPr>
            <w:r>
              <w:rPr>
                <w:rFonts w:ascii="仿宋_GB2312" w:hAnsi="仿宋_GB2312" w:cs="仿宋_GB2312" w:eastAsia="仿宋_GB2312"/>
              </w:rPr>
              <w:t>技术响应.docx 项目组织机构.docx 已标价工程量清单 中小企业声明函 承诺书.docx 响应文件封面 项目管理机构组成表 残疾人福利性单位声明函 报价函 标的清单 供应商特定资格要求.docx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提供针对本项⽬的施⼯组织设计，⾄少应包括：①确保⼯程质量的技术组织措施；②确保 安全⽣产的技术组织措施；③确保⽂明施⼯及环境保护的技术组织措施；④确保⼯期的技 术组织措施及施⼯进度表(横道图或⽹络图)；⑤施⼯⽅案；⑥施⼯机械配备和材料投⼊计 划及劳动⼒安排计划；⑦新技术、新产品、新⼯艺、新材料应⽤。包含但不限于上述全部 内容，⽅案详细，清晰有利于项⽬实施的每项得8分。（如有缺陷或不⾜在此分数基础上 进⾏扣分），以上7项中：（1）每有1项缺失或不切实符合项⽬需求的扣8分；（2）每有1项内容存在缺陷或不⾜扣5分；（3）每有1项总体内容完备但存在部分瑕疵扣2分。</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项⽬组织机构</w:t>
            </w:r>
          </w:p>
        </w:tc>
        <w:tc>
          <w:tcPr>
            <w:tcW w:type="dxa" w:w="2492"/>
          </w:tcPr>
          <w:p>
            <w:pPr>
              <w:pStyle w:val="null3"/>
            </w:pPr>
            <w:r>
              <w:rPr>
                <w:rFonts w:ascii="仿宋_GB2312" w:hAnsi="仿宋_GB2312" w:cs="仿宋_GB2312" w:eastAsia="仿宋_GB2312"/>
              </w:rPr>
              <w:t>1、项⽬经理具有中级职称的得2分，⾼级及以上职称得3分。 2、具有五⼤员（质量员、 安全员、施⼯员、材料员、资料员）上岗证书（安全员须具有安全⽣产考核合格证书）的 ⼀项得1分，最⾼得5分。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项目组织机构.docx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2024年06⽉01⽇⾄今完成的类似业绩，⼀项得2分，最多得6分。 注：须附类似项⽬业绩的中标（成交通知书或合同或竣⼯验收证明材料复印件或扫描件），以提供证明资料的落款时间为准。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经资格审查合格及符合性审查合格的磋商响应⽂件，其磋商报价有效；将满⾜磋商⽂件要 求且最后报价最低的供应商的价格作为磋商基准价，其价格分为满分（30分）； 其他供 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详见附件：供应商特定资格要求.docx</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详见附件：近年完成的类似项目情况表.docx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