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版本号：SXWK-CZW-2025-01820260710001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朱鹮饲养用食物泥鳅采购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SXWK-CZW-2025-018</w:t>
      </w:r>
      <w:r>
        <w:br/>
      </w:r>
      <w:r>
        <w:br/>
      </w:r>
      <w:r>
        <w:br/>
      </w:r>
    </w:p>
    <w:p>
      <w:pPr>
        <w:pStyle w:val="null3"/>
        <w:jc w:val="center"/>
        <w:outlineLvl w:val="2"/>
      </w:pPr>
      <w:r>
        <w:rPr>
          <w:rFonts w:ascii="仿宋_GB2312" w:hAnsi="仿宋_GB2312" w:cs="仿宋_GB2312" w:eastAsia="仿宋_GB2312"/>
          <w:sz w:val="28"/>
          <w:b/>
        </w:rPr>
        <w:t>陕西汉中朱鹮国家级自然保护区管理局</w:t>
      </w:r>
    </w:p>
    <w:p>
      <w:pPr>
        <w:pStyle w:val="null3"/>
        <w:jc w:val="center"/>
        <w:outlineLvl w:val="2"/>
      </w:pPr>
      <w:r>
        <w:rPr>
          <w:rFonts w:ascii="仿宋_GB2312" w:hAnsi="仿宋_GB2312" w:cs="仿宋_GB2312" w:eastAsia="仿宋_GB2312"/>
          <w:sz w:val="28"/>
          <w:b/>
        </w:rPr>
        <w:t>陕西万科项目管理咨询有限公司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陕西万科项目管理咨询有限公司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陕西汉中朱鹮国家级自然保护区管理局</w:t>
      </w:r>
      <w:r>
        <w:rPr>
          <w:rFonts w:ascii="仿宋_GB2312" w:hAnsi="仿宋_GB2312" w:cs="仿宋_GB2312" w:eastAsia="仿宋_GB2312"/>
        </w:rPr>
        <w:t>委托，拟对</w:t>
      </w:r>
      <w:r>
        <w:rPr>
          <w:rFonts w:ascii="仿宋_GB2312" w:hAnsi="仿宋_GB2312" w:cs="仿宋_GB2312" w:eastAsia="仿宋_GB2312"/>
        </w:rPr>
        <w:t>朱鹮饲养用食物泥鳅采购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SXWK-CZW-2025-018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朱鹮饲养用食物泥鳅采购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采购活体泥鳅20250公斤，活体泥鳅，体长不超过11cm,按采购方的需求按时保质保量的送到指定的地点。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采购包1（朱鹮饲养用食物泥鳅采购）：属于专门面向中小企业采购。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2、法定代表人授权委托书：法定代表人参加投标的，须出示身份证；法定代表人授权他人参加投标的，须提供法定代表人授权委托书及被授权人身份证.</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陕西汉中朱鹮国家级自然保护区管理局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洋县文明东路348号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陕西汉中朱鹮国家级自然保护区管理局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0916-8212853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陕西万科项目管理咨询有限公司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汉中市汉台区万仙桥社区党群服务中心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18740366264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文件标准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陕西汉中朱鹮国家级自然保护区管理局</w:t>
      </w:r>
      <w:r>
        <w:rPr>
          <w:rFonts w:ascii="仿宋_GB2312" w:hAnsi="仿宋_GB2312" w:cs="仿宋_GB2312" w:eastAsia="仿宋_GB2312"/>
        </w:rPr>
        <w:t>和</w:t>
      </w:r>
      <w:r>
        <w:rPr>
          <w:rFonts w:ascii="仿宋_GB2312" w:hAnsi="仿宋_GB2312" w:cs="仿宋_GB2312" w:eastAsia="仿宋_GB2312"/>
        </w:rPr>
        <w:t>陕西万科项目管理咨询有限公司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陕西汉中朱鹮国家级自然保护区管理局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陕西万科项目管理咨询有限公司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陕西汉中朱鹮国家级自然保护区管理局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陕西万科项目管理咨询有限公司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陕西万科项目管理咨询有限公司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陕西万科项目管理咨询有限公司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陕西万科项目管理咨询有限公司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联系电话：18740366264</w:t>
      </w:r>
    </w:p>
    <w:p>
      <w:pPr>
        <w:pStyle w:val="null3"/>
      </w:pPr>
      <w:r>
        <w:rPr>
          <w:rFonts w:ascii="仿宋_GB2312" w:hAnsi="仿宋_GB2312" w:cs="仿宋_GB2312" w:eastAsia="仿宋_GB2312"/>
        </w:rPr>
        <w:t>地址：汉中市汉台区万仙桥社区党群服务中心</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采购活体泥鳅20250公斤，活体泥鳅，体长不超过11cm,按采购方的需求按时保质保量的送到指定的地点。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648,000.00</w:t>
      </w:r>
    </w:p>
    <w:p>
      <w:pPr>
        <w:pStyle w:val="null3"/>
      </w:pPr>
      <w:r>
        <w:rPr>
          <w:rFonts w:ascii="仿宋_GB2312" w:hAnsi="仿宋_GB2312" w:cs="仿宋_GB2312" w:eastAsia="仿宋_GB2312"/>
        </w:rPr>
        <w:t>采购包最高限价（元）: 648,000.00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活体泥鳅</w:t>
            </w:r>
          </w:p>
        </w:tc>
        <w:tc>
          <w:tcPr>
            <w:tcW w:type="dxa" w:w="755"/>
          </w:tcPr>
          <w:p>
            <w:pPr>
              <w:pStyle w:val="null3"/>
              <w:jc w:val="right"/>
            </w:pPr>
            <w:r>
              <w:rPr>
                <w:rFonts w:ascii="仿宋_GB2312" w:hAnsi="仿宋_GB2312" w:cs="仿宋_GB2312" w:eastAsia="仿宋_GB2312"/>
              </w:rPr>
              <w:t>20,250.00</w:t>
            </w:r>
          </w:p>
        </w:tc>
        <w:tc>
          <w:tcPr>
            <w:tcW w:type="dxa" w:w="755"/>
          </w:tcPr>
          <w:p>
            <w:pPr>
              <w:pStyle w:val="null3"/>
              <w:jc w:val="right"/>
            </w:pPr>
            <w:r>
              <w:rPr>
                <w:rFonts w:ascii="仿宋_GB2312" w:hAnsi="仿宋_GB2312" w:cs="仿宋_GB2312" w:eastAsia="仿宋_GB2312"/>
              </w:rPr>
              <w:t>648,000.00</w:t>
            </w:r>
          </w:p>
        </w:tc>
        <w:tc>
          <w:tcPr>
            <w:tcW w:type="dxa" w:w="755"/>
          </w:tcPr>
          <w:p>
            <w:pPr>
              <w:pStyle w:val="null3"/>
            </w:pPr>
            <w:r>
              <w:rPr>
                <w:rFonts w:ascii="仿宋_GB2312" w:hAnsi="仿宋_GB2312" w:cs="仿宋_GB2312" w:eastAsia="仿宋_GB2312"/>
              </w:rPr>
              <w:t>公斤</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标的名称：活体泥鳅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采购活体泥鳅</w:t>
            </w:r>
            <w:r>
              <w:rPr>
                <w:rFonts w:ascii="仿宋_GB2312" w:hAnsi="仿宋_GB2312" w:cs="仿宋_GB2312" w:eastAsia="仿宋_GB2312"/>
                <w:sz w:val="21"/>
              </w:rPr>
              <w:t>20250</w:t>
            </w:r>
            <w:r>
              <w:rPr>
                <w:rFonts w:ascii="仿宋_GB2312" w:hAnsi="仿宋_GB2312" w:cs="仿宋_GB2312" w:eastAsia="仿宋_GB2312"/>
                <w:sz w:val="21"/>
              </w:rPr>
              <w:t>公斤，</w:t>
            </w:r>
            <w:r>
              <w:rPr>
                <w:rFonts w:ascii="仿宋_GB2312" w:hAnsi="仿宋_GB2312" w:cs="仿宋_GB2312" w:eastAsia="仿宋_GB2312"/>
                <w:sz w:val="21"/>
              </w:rPr>
              <w:t>活体泥鳅，体长不超过</w:t>
            </w:r>
            <w:r>
              <w:rPr>
                <w:rFonts w:ascii="仿宋_GB2312" w:hAnsi="仿宋_GB2312" w:cs="仿宋_GB2312" w:eastAsia="仿宋_GB2312"/>
                <w:sz w:val="21"/>
              </w:rPr>
              <w:t>11cm,按采购方的需求按时保质保量的送到指定的地点</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1、</w:t>
            </w:r>
            <w:r>
              <w:rPr>
                <w:rFonts w:ascii="仿宋_GB2312" w:hAnsi="仿宋_GB2312" w:cs="仿宋_GB2312" w:eastAsia="仿宋_GB2312"/>
                <w:sz w:val="21"/>
              </w:rPr>
              <w:t>活体泥鳅，成活率</w:t>
            </w:r>
            <w:r>
              <w:rPr>
                <w:rFonts w:ascii="仿宋_GB2312" w:hAnsi="仿宋_GB2312" w:cs="仿宋_GB2312" w:eastAsia="仿宋_GB2312"/>
                <w:sz w:val="21"/>
              </w:rPr>
              <w:t>不低于</w:t>
            </w:r>
            <w:r>
              <w:rPr>
                <w:rFonts w:ascii="仿宋_GB2312" w:hAnsi="仿宋_GB2312" w:cs="仿宋_GB2312" w:eastAsia="仿宋_GB2312"/>
                <w:sz w:val="21"/>
              </w:rPr>
              <w:t>98</w:t>
            </w:r>
            <w:r>
              <w:rPr>
                <w:rFonts w:ascii="仿宋_GB2312" w:hAnsi="仿宋_GB2312" w:cs="仿宋_GB2312" w:eastAsia="仿宋_GB2312"/>
                <w:sz w:val="21"/>
              </w:rPr>
              <w:t>%； 2、体形：光洁健壮，无斑点、无畸形； 3、规格：体长不超过11cm； 4、理化指标：无公害操作规程养殖，达到无公害标准； 5、卫生指标：无有害物质残留，无病害； 6、按约定时间、地点、数量交付泥鳅。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自合同签订之日起至本项目履约完成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采购方约定送货点（朱鹮人工繁育中心、华阳种源基地、朱鹮保护区及其周边朱鹮活动区）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2026年8月当月保质保量完成定点定量供货（据实结算），达到付款条件起3个工作日内，支付合同总金额的20.0%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进度款，2026年9月当月保质保量完成定点定量供货（据实结算），达到付款条件起3个工作日内，支付合同总金额的20.0%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进度款，2026年10月当月保质保量完成定点定量供货（据实结算），达到付款条件起3个工作日内，支付合同总金额的20.0%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进度款，2026年11月当月保质保量完成定点定量供货（据实结算），达到付款条件起3个工作日内，支付合同总金额的20.0%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进度款，2026年12月当月保质保量完成定点定量供货（据实结算），达到付款条件起3个工作日内，支付合同总金额的20.0%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1、活体泥鳅，成活率不得低98%；2、体形：光洁健壮，无斑点、无畸形；3、规格：体长不超过11cm；4、理化指标：无公害操作规程养殖，达到无公害标准； 5、卫生指标：无有害物质残留，无病害。交付方法：1、供应商应按采购人要求的时间、地点、数量交付泥鳅； 2、采购人应在收到泥鳅后当场进行验收，并将验收结果通知供应商；3、如采购人对供应商所供泥鳅有异议，应在验收时提出，并书面通知供应商，供应商应在接到通知后24小时内予以处理。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全部范围及合同履约期内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双方商议</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1、各投标单位应根据“陕西省财政厅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单位在获取中标通知书后，请将投标文件打印两份送至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产品技术参数表 投标人应提交的相关资格证明材料.pdf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投标人应提交的相关资格证明材料.pdf 投标函 中小企业声明函 残疾人福利性单位声明函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法定代表人参加投标的，须出示身份证；法定代表人授权他人参加投标的，须提供法定代表人授权委托书及被授权人身份证.</w:t>
            </w:r>
          </w:p>
        </w:tc>
        <w:tc>
          <w:tcPr>
            <w:tcW w:type="dxa" w:w="1661"/>
          </w:tcPr>
          <w:p>
            <w:pPr>
              <w:pStyle w:val="null3"/>
            </w:pPr>
            <w:r>
              <w:rPr>
                <w:rFonts w:ascii="仿宋_GB2312" w:hAnsi="仿宋_GB2312" w:cs="仿宋_GB2312" w:eastAsia="仿宋_GB2312"/>
              </w:rPr>
              <w:t>投标人应提交的相关资格证明材料.pdf 投标函 中小企业声明函 残疾人福利性单位声明函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投标人应提交的相关资格证明材料.pdf 投标函 中小企业声明函 残疾人福利性单位声明函 投标文件封面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提供所投物品2023年1月1日（以合同签订日期或中标（成交）通知书日期为准）至今同类产品的类似业绩，以合同扫描件或中标（成交）通知书为准，提供1份得5分，最高得10分。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自有泥鳅养殖基地规模</w:t>
            </w:r>
          </w:p>
        </w:tc>
        <w:tc>
          <w:tcPr>
            <w:tcW w:type="dxa" w:w="2492"/>
          </w:tcPr>
          <w:p>
            <w:pPr>
              <w:pStyle w:val="null3"/>
            </w:pPr>
            <w:r>
              <w:rPr>
                <w:rFonts w:ascii="仿宋_GB2312" w:hAnsi="仿宋_GB2312" w:cs="仿宋_GB2312" w:eastAsia="仿宋_GB2312"/>
              </w:rPr>
              <w:t>提供自有泥鳅养殖基地规模 1、自有标准化泥鳅养殖池塘≥12亩：8分 自有养殖池塘6亩～11 亩：4分 2、自有养殖池塘＜6亩或无自有养殖基地，仅外购泥鳅：0 分。 注：需提供场地租赁合同或相关场地证明备案手续，不提供则不得分。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活体泥鳅检验检测证明</w:t>
            </w:r>
          </w:p>
        </w:tc>
        <w:tc>
          <w:tcPr>
            <w:tcW w:type="dxa" w:w="2492"/>
          </w:tcPr>
          <w:p>
            <w:pPr>
              <w:pStyle w:val="null3"/>
            </w:pPr>
            <w:r>
              <w:rPr>
                <w:rFonts w:ascii="仿宋_GB2312" w:hAnsi="仿宋_GB2312" w:cs="仿宋_GB2312" w:eastAsia="仿宋_GB2312"/>
              </w:rPr>
              <w:t>提供无公害农产品产地认证或水产品检测报告。 1、配备重金属或无公害产品或药物残留检测报告：6分 2、无相关认证、无自主检测能力：0 分 注：需提供无公害农产品产地认证或水产品检测报告，不提供则不得分。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产品质量及供货保障方案</w:t>
            </w:r>
          </w:p>
        </w:tc>
        <w:tc>
          <w:tcPr>
            <w:tcW w:type="dxa" w:w="2492"/>
          </w:tcPr>
          <w:p>
            <w:pPr>
              <w:pStyle w:val="null3"/>
            </w:pPr>
            <w:r>
              <w:rPr>
                <w:rFonts w:ascii="仿宋_GB2312" w:hAnsi="仿宋_GB2312" w:cs="仿宋_GB2312" w:eastAsia="仿宋_GB2312"/>
              </w:rPr>
              <w:t>活体水产专用运输保障设备 1、自有活体泥鳅专用配送车辆≥1 台：6分 2、无自有活鲜运输车辆，全部外协运输：0分 注：需提供车辆行驶证，不提供则不得分。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泥鳅体长分级管控方案</w:t>
            </w:r>
          </w:p>
        </w:tc>
        <w:tc>
          <w:tcPr>
            <w:tcW w:type="dxa" w:w="2492"/>
          </w:tcPr>
          <w:p>
            <w:pPr>
              <w:pStyle w:val="null3"/>
            </w:pPr>
            <w:r>
              <w:rPr>
                <w:rFonts w:ascii="仿宋_GB2312" w:hAnsi="仿宋_GB2312" w:cs="仿宋_GB2312" w:eastAsia="仿宋_GB2312"/>
              </w:rPr>
              <w:t>1、配备标准化体长分级筛，入库初筛、出库二次复检，建立每批次体长抽检台账，明确超11cm 泥鳅隔离分拣、无害化处置流程，完全匹配采购规格要求6 分 2、配备分级工具，但缺少出库复检流程、无完整抽检台账，分拣管控措施简略4分 3、无专用分级设备，仅书面口头承诺控制规格，无落地管控措施1分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泥鳅病害、残留防控养殖方案</w:t>
            </w:r>
          </w:p>
        </w:tc>
        <w:tc>
          <w:tcPr>
            <w:tcW w:type="dxa" w:w="2492"/>
          </w:tcPr>
          <w:p>
            <w:pPr>
              <w:pStyle w:val="null3"/>
            </w:pPr>
            <w:r>
              <w:rPr>
                <w:rFonts w:ascii="仿宋_GB2312" w:hAnsi="仿宋_GB2312" w:cs="仿宋_GB2312" w:eastAsia="仿宋_GB2312"/>
              </w:rPr>
              <w:t>1、全过程生态养殖模式，制定水质定期检测、病害预防、禁药管控细则，建立养殖全程记录台账，可定期提供批次检测报告7 分； 2、有基础养殖防疫措施，但水质、用药记录不完善，管控流程简单5分； 3、无系统化病害防控、水质管控方案，未明确禁兽药管理要求2分。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活体保活运输及暂养方案</w:t>
            </w:r>
          </w:p>
        </w:tc>
        <w:tc>
          <w:tcPr>
            <w:tcW w:type="dxa" w:w="2492"/>
          </w:tcPr>
          <w:p>
            <w:pPr>
              <w:pStyle w:val="null3"/>
            </w:pPr>
            <w:r>
              <w:rPr>
                <w:rFonts w:ascii="仿宋_GB2312" w:hAnsi="仿宋_GB2312" w:cs="仿宋_GB2312" w:eastAsia="仿宋_GB2312"/>
              </w:rPr>
              <w:t>1、细化运输水温、溶氧量控制标准，到场临时暂养操作规范，运输途中损耗应急处置流程完整，可稳定保障 98% 以上成活率 6 分； 2、具备基础保活运输措施，但暂养、损耗应急流程不完善4 分； 3、仅简单描述运输方式，无水温、供氧、损耗处置具体措施1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批次不合格快速退换货承诺</w:t>
            </w:r>
          </w:p>
        </w:tc>
        <w:tc>
          <w:tcPr>
            <w:tcW w:type="dxa" w:w="2492"/>
          </w:tcPr>
          <w:p>
            <w:pPr>
              <w:pStyle w:val="null3"/>
            </w:pPr>
            <w:r>
              <w:rPr>
                <w:rFonts w:ascii="仿宋_GB2312" w:hAnsi="仿宋_GB2312" w:cs="仿宋_GB2312" w:eastAsia="仿宋_GB2312"/>
              </w:rPr>
              <w:t>1、承诺供货泥鳅出现规格超标、病害、死亡超标等问题，2 小时内响应，4 小时内完成补货更换，提供书面赔付承诺：5 分；退换货响应时长超过 4 小时不得分。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断供应急储备保障</w:t>
            </w:r>
          </w:p>
        </w:tc>
        <w:tc>
          <w:tcPr>
            <w:tcW w:type="dxa" w:w="2492"/>
          </w:tcPr>
          <w:p>
            <w:pPr>
              <w:pStyle w:val="null3"/>
            </w:pPr>
            <w:r>
              <w:rPr>
                <w:rFonts w:ascii="仿宋_GB2312" w:hAnsi="仿宋_GB2312" w:cs="仿宋_GB2312" w:eastAsia="仿宋_GB2312"/>
              </w:rPr>
              <w:t>1、自有泥鳅应急储备暂养池≥2000kg 常备库存，提供场地照片、库存管理台账：5分；无常备应急储备池0分。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质量损失赔付标准</w:t>
            </w:r>
          </w:p>
        </w:tc>
        <w:tc>
          <w:tcPr>
            <w:tcW w:type="dxa" w:w="2492"/>
          </w:tcPr>
          <w:p>
            <w:pPr>
              <w:pStyle w:val="null3"/>
            </w:pPr>
            <w:r>
              <w:rPr>
                <w:rFonts w:ascii="仿宋_GB2312" w:hAnsi="仿宋_GB2312" w:cs="仿宋_GB2312" w:eastAsia="仿宋_GB2312"/>
              </w:rPr>
              <w:t>1、书面承诺：到场泥鳅成活率低于98% 按死亡重量双倍补偿、规格超标泥鳅无条件免费更换，明确赔付时限及赔付方式：6 分；未明确赔付标准本项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1、投标总价超出预算金额的,作为不实质性响应招标文件处理； 2、以满足本次招标文件要求的最低报价为评审基准价，其价格为满分； 3、供应商报价得分=（评审基准价/投标报价）×/35； 4、经评审委员会认为供应商的报价明显低于其他通过符合性审查供应商的报价，有可能影响履约的，应当要求其在评标现场合理的时间内提供书面说明，必要时提供相关证明材料；供应商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 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