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版本号：YD-202604220260713001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2026年徐李社区芍药种植及配套设施建设项目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YD-2026042</w:t>
      </w:r>
      <w:r>
        <w:br/>
      </w:r>
      <w:r>
        <w:br/>
      </w:r>
      <w:r>
        <w:br/>
      </w:r>
    </w:p>
    <w:p>
      <w:pPr>
        <w:pStyle w:val="null3"/>
        <w:jc w:val="center"/>
        <w:outlineLvl w:val="2"/>
      </w:pPr>
      <w:r>
        <w:rPr>
          <w:rFonts w:ascii="仿宋_GB2312" w:hAnsi="仿宋_GB2312" w:cs="仿宋_GB2312" w:eastAsia="仿宋_GB2312"/>
          <w:sz w:val="28"/>
          <w:b/>
        </w:rPr>
        <w:t>城固县董家营镇人民政府</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城固县董家营镇人民政府</w:t>
      </w:r>
      <w:r>
        <w:rPr>
          <w:rFonts w:ascii="仿宋_GB2312" w:hAnsi="仿宋_GB2312" w:cs="仿宋_GB2312" w:eastAsia="仿宋_GB2312"/>
        </w:rPr>
        <w:t>委托，拟对</w:t>
      </w:r>
      <w:r>
        <w:rPr>
          <w:rFonts w:ascii="仿宋_GB2312" w:hAnsi="仿宋_GB2312" w:cs="仿宋_GB2312" w:eastAsia="仿宋_GB2312"/>
        </w:rPr>
        <w:t>2026年徐李社区芍药种植及配套设施建设项目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YD-2026042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2026年徐李社区芍药种植及配套设施建设项目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种植芍药20亩；新建钢结构分拣⻋间400平⽅⽶、保鲜库200⽴⽅⽶。</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采购包1（种植芍药20亩）：属于专门面向中小企业采购。</w:t>
      </w:r>
    </w:p>
    <w:p>
      <w:pPr>
        <w:pStyle w:val="null3"/>
      </w:pPr>
      <w:r>
        <w:rPr>
          <w:rFonts w:ascii="仿宋_GB2312" w:hAnsi="仿宋_GB2312" w:cs="仿宋_GB2312" w:eastAsia="仿宋_GB2312"/>
        </w:rPr>
        <w:t>采购包2（新建钢结构分拣车间400平方米、保鲜库200立方米）：属于专门面向中小企业采购。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1、主体资格：供应商为有独立承担民事责任能力的法人或其他组织或自然人，并出具营业执照(事业法人证) 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2、资格承诺：供应商应具备健全的财务会计制度、履行合同所需的设备和专业技术能力、依法缴纳税收和社会保障资金，以及参加本项目采购活动前3年内经营活动无重大违法记录;供应商未被列入“信用 中国”网站(htps://www.creditchina.gov.cn)" 失信被执行人”"重大税收违法案件当事人名单”中，也未列入"中国政府采购网"(https://www.cCgp.gov.cn)的“政府采购严重违法失信行为记录名单”;拟参与本项目的供应 商应按照汉中市财政局《关于全面推行政府采购 供应商基本资格条件承诺制的通知》(汉财办采 管(2024)20 号)文件要求，提供满足相应条件的资格承诺函:</w:t>
      </w:r>
    </w:p>
    <w:p>
      <w:pPr>
        <w:pStyle w:val="null3"/>
      </w:pPr>
      <w:r>
        <w:rPr>
          <w:rFonts w:ascii="仿宋_GB2312" w:hAnsi="仿宋_GB2312" w:cs="仿宋_GB2312" w:eastAsia="仿宋_GB2312"/>
        </w:rPr>
        <w:t>3、法定代表人身份证明或法定代表人授权委托书：法定代表人直接参加投标的，须提供法定代表人身份证明；法定代表人授权代表参加投标的，须提供法定代表人授权委托书；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本采购包专门面向中小企业采购：本项目为专门面向中小企业采购，供应商为监狱企业的，应提供监狱企业的证明文件:供应商为残疾人福利性单位的，应提供《残疾人福利性单位声明函》(监狱企业或残疾人福利性单位视同小型、微型企业) ；</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1、主体资格：供应商为有独立承担民事责任能力的法人或其他组织或自然人，并出具营业执照(事业法人证) 或证明文件或自然人的身份证明；</w:t>
      </w:r>
    </w:p>
    <w:p>
      <w:pPr>
        <w:pStyle w:val="null3"/>
      </w:pPr>
      <w:r>
        <w:rPr>
          <w:rFonts w:ascii="仿宋_GB2312" w:hAnsi="仿宋_GB2312" w:cs="仿宋_GB2312" w:eastAsia="仿宋_GB2312"/>
        </w:rPr>
        <w:t>2、资格承诺：供应商应具备健全的财务会计制度、履行合同所需的设备和专业技术能力、依法缴纳税收和社会保障资金，以及参加本项目采购活动前3年内经营活动无重大违法记录;供应商未被列入“信用中国”网站(htps://www.creditchina.gov.cn)" 失信被执行人”"重大税收违法案件当事人名单”中，也未列入"中国政府采购网"(https://www.cCgp.gov.cn)的“政府采购严重违法失信行为记录名单”;拟参与本项目的供应 商应按照汉中市财政局《关于全面推行政府采购 供应商基本资格条件承诺制的通知》(汉财办采 管(2024)20 号)文件要求，提供满足相应条件的资格承诺函:</w:t>
      </w:r>
    </w:p>
    <w:p>
      <w:pPr>
        <w:pStyle w:val="null3"/>
      </w:pPr>
      <w:r>
        <w:rPr>
          <w:rFonts w:ascii="仿宋_GB2312" w:hAnsi="仿宋_GB2312" w:cs="仿宋_GB2312" w:eastAsia="仿宋_GB2312"/>
        </w:rPr>
        <w:t>3、法定代表人身份证明或法定代表人授权委托书：法定代表人直接参加投标的，须提供法定代表人身份证明；法定代表人授权代表参加投标的，须提供法定代表人授权委托书；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4、本采购包专门面向中小企业采购：本项目为专门面向中小企业采购，供应商为监狱企业的，应提供监狱企业的证明文件:供应商为残疾人福利性单位的，应提供《残疾人福利性单位声明函》(监狱企业或残疾人福利性单位视同小型、微型企业) ；</w:t>
      </w:r>
    </w:p>
    <w:p>
      <w:pPr>
        <w:pStyle w:val="null3"/>
      </w:pPr>
      <w:r>
        <w:rPr>
          <w:rFonts w:ascii="仿宋_GB2312" w:hAnsi="仿宋_GB2312" w:cs="仿宋_GB2312" w:eastAsia="仿宋_GB2312"/>
        </w:rPr>
        <w:t>5、供应商资质：供应商须具备建设行政主管部门核发的建筑工程施工总承包三级及以上资质，具有有效的安全生产许可证；拟派项目经理须具备建筑工程专业二级及以上注册建造师执业资格和有效的安全考核合格B证，且无在建项目（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城固县董家营镇人民政府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城固县董家营镇徐李社区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0916-7531001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汉中市汉台区⽯⻢路睿居品阁酒店17楼06室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采购包2：800,000.00元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采购包2保证金金额：12,000.00元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开户名称：⼀⿍项⽬管理有限公司汉中分公司</w:t>
            </w:r>
          </w:p>
          <w:p>
            <w:pPr>
              <w:pStyle w:val="null3"/>
            </w:pPr>
            <w:r>
              <w:rPr>
                <w:rFonts w:ascii="仿宋_GB2312" w:hAnsi="仿宋_GB2312" w:cs="仿宋_GB2312" w:eastAsia="仿宋_GB2312"/>
              </w:rPr>
              <w:t>开户银行：⻓安银⾏股份有限公司汉中莲湖东路⽀⾏</w:t>
            </w:r>
          </w:p>
          <w:p>
            <w:pPr>
              <w:pStyle w:val="null3"/>
            </w:pPr>
            <w:r>
              <w:rPr>
                <w:rFonts w:ascii="仿宋_GB2312" w:hAnsi="仿宋_GB2312" w:cs="仿宋_GB2312" w:eastAsia="仿宋_GB2312"/>
              </w:rPr>
              <w:t>银行账号：8060 6080 1421 0061 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代理服务费收费标准：参照《国家发展改⾰委关于进⼀步放开建设项⽬专业服务价格的通知》(发改价格(2015)299号)⽂收费标准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城固县董家营镇人民政府</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城固县董家营镇人民政府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城固县董家营镇人民政府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依照合同约定执⾏</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地址：汉中市汉台区石马路睿居品阁酒店17楼06室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种植芍药20亩；新建钢结构分拣车间400平方米、保鲜库200立方米。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种植芍药20亩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763,561.55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新建钢结构分拣车间400平方米、保鲜库200立方米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建筑业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标的名称：种植芍药20亩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1"/>
                <w:b/>
              </w:rPr>
              <w:t>一</w:t>
            </w:r>
            <w:r>
              <w:rPr>
                <w:rFonts w:ascii="仿宋_GB2312" w:hAnsi="仿宋_GB2312" w:cs="仿宋_GB2312" w:eastAsia="仿宋_GB2312"/>
                <w:sz w:val="21"/>
                <w:b/>
              </w:rPr>
              <w:t>、项目概况</w:t>
            </w:r>
          </w:p>
          <w:p>
            <w:pPr>
              <w:pStyle w:val="null3"/>
              <w:ind w:firstLine="500"/>
              <w:jc w:val="left"/>
            </w:pPr>
            <w:r>
              <w:rPr>
                <w:rFonts w:ascii="仿宋_GB2312" w:hAnsi="仿宋_GB2312" w:cs="仿宋_GB2312" w:eastAsia="仿宋_GB2312"/>
                <w:sz w:val="21"/>
              </w:rPr>
              <w:t>本项目位于汉中市城固县董家营镇徐李社区，种植芍药20亩，内容包含：1.芍药种植地块深耕作业；2.地块耙地碎土、清杂整平作业；3.优质芍药种苗 (芍芽/芍头) 种植。</w:t>
            </w:r>
          </w:p>
          <w:p>
            <w:pPr>
              <w:pStyle w:val="null3"/>
              <w:ind w:firstLine="502"/>
              <w:jc w:val="left"/>
            </w:pPr>
            <w:r>
              <w:rPr>
                <w:rFonts w:ascii="仿宋_GB2312" w:hAnsi="仿宋_GB2312" w:cs="仿宋_GB2312" w:eastAsia="仿宋_GB2312"/>
                <w:sz w:val="21"/>
                <w:b/>
              </w:rPr>
              <w:t>二</w:t>
            </w:r>
            <w:r>
              <w:rPr>
                <w:rFonts w:ascii="仿宋_GB2312" w:hAnsi="仿宋_GB2312" w:cs="仿宋_GB2312" w:eastAsia="仿宋_GB2312"/>
                <w:sz w:val="21"/>
                <w:b/>
              </w:rPr>
              <w:t>、土地深耕、耙地作业技术要求</w:t>
            </w:r>
          </w:p>
          <w:p>
            <w:pPr>
              <w:pStyle w:val="null3"/>
              <w:ind w:firstLine="496"/>
              <w:jc w:val="left"/>
            </w:pPr>
            <w:r>
              <w:rPr>
                <w:rFonts w:ascii="仿宋_GB2312" w:hAnsi="仿宋_GB2312" w:cs="仿宋_GB2312" w:eastAsia="仿宋_GB2312"/>
                <w:sz w:val="21"/>
              </w:rPr>
              <w:t>(一) 深耕作业</w:t>
            </w:r>
          </w:p>
          <w:p>
            <w:pPr>
              <w:pStyle w:val="null3"/>
              <w:ind w:firstLine="464"/>
              <w:jc w:val="left"/>
            </w:pPr>
            <w:r>
              <w:rPr>
                <w:rFonts w:ascii="仿宋_GB2312" w:hAnsi="仿宋_GB2312" w:cs="仿宋_GB2312" w:eastAsia="仿宋_GB2312"/>
                <w:sz w:val="21"/>
              </w:rPr>
              <w:t>1、作业范围：采购方指定芍药种植地块，面积20亩，清除地表秸秆、石块、树根、大型杂草后实施机械深耕。</w:t>
            </w:r>
          </w:p>
          <w:p>
            <w:pPr>
              <w:pStyle w:val="null3"/>
              <w:ind w:firstLine="444"/>
              <w:jc w:val="left"/>
            </w:pPr>
            <w:r>
              <w:rPr>
                <w:rFonts w:ascii="仿宋_GB2312" w:hAnsi="仿宋_GB2312" w:cs="仿宋_GB2312" w:eastAsia="仿宋_GB2312"/>
                <w:sz w:val="21"/>
              </w:rPr>
              <w:t>2、深</w:t>
            </w:r>
            <w:r>
              <w:rPr>
                <w:rFonts w:ascii="仿宋_GB2312" w:hAnsi="仿宋_GB2312" w:cs="仿宋_GB2312" w:eastAsia="仿宋_GB2312"/>
                <w:sz w:val="21"/>
              </w:rPr>
              <w:t>耕</w:t>
            </w:r>
            <w:r>
              <w:rPr>
                <w:rFonts w:ascii="仿宋_GB2312" w:hAnsi="仿宋_GB2312" w:cs="仿宋_GB2312" w:eastAsia="仿宋_GB2312"/>
                <w:sz w:val="21"/>
              </w:rPr>
              <w:t>深度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cm</w:t>
            </w:r>
          </w:p>
          <w:p>
            <w:pPr>
              <w:pStyle w:val="null3"/>
              <w:ind w:firstLine="484"/>
              <w:jc w:val="left"/>
            </w:pPr>
            <w:r>
              <w:rPr>
                <w:rFonts w:ascii="仿宋_GB2312" w:hAnsi="仿宋_GB2312" w:cs="仿宋_GB2312" w:eastAsia="仿宋_GB2312"/>
                <w:sz w:val="21"/>
              </w:rPr>
              <w:t>3、深耕要求</w:t>
            </w:r>
            <w:r>
              <w:rPr>
                <w:rFonts w:ascii="仿宋_GB2312" w:hAnsi="仿宋_GB2312" w:cs="仿宋_GB2312" w:eastAsia="仿宋_GB2312"/>
                <w:sz w:val="21"/>
              </w:rPr>
              <w:t>：</w:t>
            </w:r>
          </w:p>
          <w:p>
            <w:pPr>
              <w:pStyle w:val="null3"/>
              <w:ind w:firstLine="556"/>
              <w:jc w:val="left"/>
            </w:pPr>
            <w:r>
              <w:rPr>
                <w:rFonts w:ascii="仿宋_GB2312" w:hAnsi="仿宋_GB2312" w:cs="仿宋_GB2312" w:eastAsia="仿宋_GB2312"/>
                <w:sz w:val="21"/>
              </w:rPr>
              <w:t>(1) 做到深浅均匀，不漏耕、不重耕，无明显土垡夹层；</w:t>
            </w:r>
          </w:p>
          <w:p>
            <w:pPr>
              <w:pStyle w:val="null3"/>
              <w:ind w:firstLine="552"/>
              <w:jc w:val="left"/>
            </w:pPr>
            <w:r>
              <w:rPr>
                <w:rFonts w:ascii="仿宋_GB2312" w:hAnsi="仿宋_GB2312" w:cs="仿宋_GB2312" w:eastAsia="仿宋_GB2312"/>
                <w:sz w:val="21"/>
              </w:rPr>
              <w:t>(2) 低洼区域、地块四周预留排水沟基础，便于后续起垄排水，预防雨季积水烂根；</w:t>
            </w:r>
          </w:p>
          <w:p>
            <w:pPr>
              <w:pStyle w:val="null3"/>
              <w:ind w:firstLine="504"/>
              <w:jc w:val="left"/>
            </w:pPr>
            <w:r>
              <w:rPr>
                <w:rFonts w:ascii="仿宋_GB2312" w:hAnsi="仿宋_GB2312" w:cs="仿宋_GB2312" w:eastAsia="仿宋_GB2312"/>
                <w:sz w:val="21"/>
              </w:rPr>
              <w:t xml:space="preserve">(3) 深耕时间避开雨天，土壤含水率适宜时施工，杜绝湿泥旋耕形成板结。 </w:t>
            </w:r>
          </w:p>
          <w:p>
            <w:pPr>
              <w:pStyle w:val="null3"/>
              <w:ind w:firstLine="528"/>
              <w:jc w:val="left"/>
            </w:pPr>
            <w:r>
              <w:rPr>
                <w:rFonts w:ascii="仿宋_GB2312" w:hAnsi="仿宋_GB2312" w:cs="仿宋_GB2312" w:eastAsia="仿宋_GB2312"/>
                <w:sz w:val="21"/>
              </w:rPr>
              <w:t>额外要求：深耕过程捡出大块碎石、老树根、多年生恶性草根。</w:t>
            </w:r>
          </w:p>
          <w:p>
            <w:pPr>
              <w:pStyle w:val="null3"/>
              <w:ind w:firstLine="548"/>
              <w:jc w:val="left"/>
            </w:pPr>
            <w:r>
              <w:rPr>
                <w:rFonts w:ascii="仿宋_GB2312" w:hAnsi="仿宋_GB2312" w:cs="仿宋_GB2312" w:eastAsia="仿宋_GB2312"/>
                <w:sz w:val="21"/>
              </w:rPr>
              <w:t>(二) 耙地碎土、整平作业</w:t>
            </w:r>
          </w:p>
          <w:p>
            <w:pPr>
              <w:pStyle w:val="null3"/>
              <w:ind w:firstLine="492"/>
              <w:jc w:val="left"/>
            </w:pPr>
            <w:r>
              <w:rPr>
                <w:rFonts w:ascii="仿宋_GB2312" w:hAnsi="仿宋_GB2312" w:cs="仿宋_GB2312" w:eastAsia="仿宋_GB2312"/>
                <w:sz w:val="21"/>
              </w:rPr>
              <w:t>1、在深耕完成土壤适度晾晒后开展耙地作业，不少于3遍旋耙。</w:t>
            </w:r>
          </w:p>
          <w:p>
            <w:pPr>
              <w:pStyle w:val="null3"/>
              <w:ind w:firstLine="532"/>
              <w:jc w:val="left"/>
            </w:pPr>
            <w:r>
              <w:rPr>
                <w:rFonts w:ascii="仿宋_GB2312" w:hAnsi="仿宋_GB2312" w:cs="仿宋_GB2312" w:eastAsia="仿宋_GB2312"/>
                <w:sz w:val="21"/>
              </w:rPr>
              <w:t>2、碎土标准：土块粒径≤3cm，地表无大块硬土垡；地块平整，高低落差控制在10cm以内。</w:t>
            </w:r>
          </w:p>
          <w:p>
            <w:pPr>
              <w:pStyle w:val="null3"/>
              <w:ind w:firstLine="496"/>
              <w:jc w:val="left"/>
            </w:pPr>
            <w:r>
              <w:rPr>
                <w:rFonts w:ascii="仿宋_GB2312" w:hAnsi="仿宋_GB2312" w:cs="仿宋_GB2312" w:eastAsia="仿宋_GB2312"/>
                <w:sz w:val="21"/>
              </w:rPr>
              <w:t>3</w:t>
            </w:r>
            <w:r>
              <w:rPr>
                <w:rFonts w:ascii="仿宋_GB2312" w:hAnsi="仿宋_GB2312" w:cs="仿宋_GB2312" w:eastAsia="仿宋_GB2312"/>
                <w:sz w:val="21"/>
              </w:rPr>
              <w:t>、清杂要求：彻底清除草根、石块、残茬，减少后期杂草及地下害虫滋生。</w:t>
            </w:r>
          </w:p>
          <w:p>
            <w:pPr>
              <w:pStyle w:val="null3"/>
              <w:ind w:firstLine="524"/>
              <w:jc w:val="left"/>
            </w:pPr>
            <w:r>
              <w:rPr>
                <w:rFonts w:ascii="仿宋_GB2312" w:hAnsi="仿宋_GB2312" w:cs="仿宋_GB2312" w:eastAsia="仿宋_GB2312"/>
                <w:sz w:val="21"/>
              </w:rPr>
              <w:t>4</w:t>
            </w:r>
            <w:r>
              <w:rPr>
                <w:rFonts w:ascii="仿宋_GB2312" w:hAnsi="仿宋_GB2312" w:cs="仿宋_GB2312" w:eastAsia="仿宋_GB2312"/>
                <w:sz w:val="21"/>
              </w:rPr>
              <w:t>、耙整完成后地块满足起垄条件，垄面疏松，便于后期开挖排水沟。</w:t>
            </w:r>
          </w:p>
          <w:p>
            <w:pPr>
              <w:pStyle w:val="null3"/>
              <w:ind w:firstLine="512"/>
              <w:jc w:val="left"/>
            </w:pPr>
            <w:r>
              <w:rPr>
                <w:rFonts w:ascii="仿宋_GB2312" w:hAnsi="仿宋_GB2312" w:cs="仿宋_GB2312" w:eastAsia="仿宋_GB2312"/>
                <w:sz w:val="21"/>
              </w:rPr>
              <w:t>5</w:t>
            </w:r>
            <w:r>
              <w:rPr>
                <w:rFonts w:ascii="仿宋_GB2312" w:hAnsi="仿宋_GB2312" w:cs="仿宋_GB2312" w:eastAsia="仿宋_GB2312"/>
                <w:sz w:val="21"/>
              </w:rPr>
              <w:t>、深耕前均匀撒施腐熟有机肥/复合肥，肥料翻入土层20~35</w:t>
            </w:r>
            <w:r>
              <w:rPr>
                <w:rFonts w:ascii="仿宋_GB2312" w:hAnsi="仿宋_GB2312" w:cs="仿宋_GB2312" w:eastAsia="仿宋_GB2312"/>
                <w:sz w:val="21"/>
              </w:rPr>
              <w:t>cm</w:t>
            </w:r>
            <w:r>
              <w:rPr>
                <w:rFonts w:ascii="仿宋_GB2312" w:hAnsi="仿宋_GB2312" w:cs="仿宋_GB2312" w:eastAsia="仿宋_GB2312"/>
                <w:sz w:val="21"/>
              </w:rPr>
              <w:t>。</w:t>
            </w:r>
          </w:p>
          <w:p>
            <w:pPr>
              <w:pStyle w:val="null3"/>
              <w:ind w:firstLine="556"/>
              <w:jc w:val="left"/>
            </w:pPr>
            <w:r>
              <w:rPr>
                <w:rFonts w:ascii="仿宋_GB2312" w:hAnsi="仿宋_GB2312" w:cs="仿宋_GB2312" w:eastAsia="仿宋_GB2312"/>
                <w:sz w:val="21"/>
              </w:rPr>
              <w:t>(三) 土壤要求</w:t>
            </w:r>
          </w:p>
          <w:p>
            <w:pPr>
              <w:pStyle w:val="null3"/>
              <w:ind w:firstLine="532"/>
              <w:jc w:val="left"/>
            </w:pPr>
            <w:r>
              <w:rPr>
                <w:rFonts w:ascii="仿宋_GB2312" w:hAnsi="仿宋_GB2312" w:cs="仿宋_GB2312" w:eastAsia="仿宋_GB2312"/>
                <w:sz w:val="21"/>
              </w:rPr>
              <w:t>土壤质地:疏松透气、排水良好、无板结</w:t>
            </w:r>
          </w:p>
          <w:p>
            <w:pPr>
              <w:pStyle w:val="null3"/>
              <w:ind w:firstLine="532"/>
              <w:jc w:val="left"/>
            </w:pPr>
            <w:r>
              <w:rPr>
                <w:rFonts w:ascii="仿宋_GB2312" w:hAnsi="仿宋_GB2312" w:cs="仿宋_GB2312" w:eastAsia="仿宋_GB2312"/>
                <w:sz w:val="21"/>
              </w:rPr>
              <w:t>土壤肥力:无严重盐碱、无污染，符合芍药种植土壤标准</w:t>
            </w:r>
          </w:p>
          <w:p>
            <w:pPr>
              <w:pStyle w:val="null3"/>
              <w:ind w:firstLine="532"/>
              <w:jc w:val="left"/>
            </w:pPr>
            <w:r>
              <w:rPr>
                <w:rFonts w:ascii="仿宋_GB2312" w:hAnsi="仿宋_GB2312" w:cs="仿宋_GB2312" w:eastAsia="仿宋_GB2312"/>
                <w:sz w:val="21"/>
              </w:rPr>
              <w:t>质量标准:符合芍药种植整地规范，验收合格</w:t>
            </w:r>
          </w:p>
          <w:p>
            <w:pPr>
              <w:pStyle w:val="null3"/>
              <w:ind w:firstLine="522"/>
              <w:jc w:val="left"/>
            </w:pPr>
            <w:r>
              <w:rPr>
                <w:rFonts w:ascii="仿宋_GB2312" w:hAnsi="仿宋_GB2312" w:cs="仿宋_GB2312" w:eastAsia="仿宋_GB2312"/>
                <w:sz w:val="21"/>
                <w:b/>
              </w:rPr>
              <w:t>三、芍药种苗 (芍芽/芍头) 采购质量标准</w:t>
            </w:r>
          </w:p>
          <w:p>
            <w:pPr>
              <w:pStyle w:val="null3"/>
              <w:ind w:firstLine="496"/>
              <w:jc w:val="left"/>
            </w:pPr>
            <w:r>
              <w:rPr>
                <w:rFonts w:ascii="仿宋_GB2312" w:hAnsi="仿宋_GB2312" w:cs="仿宋_GB2312" w:eastAsia="仿宋_GB2312"/>
                <w:sz w:val="21"/>
              </w:rPr>
              <w:t>(一) 种苗类型</w:t>
            </w:r>
          </w:p>
          <w:p>
            <w:pPr>
              <w:pStyle w:val="null3"/>
              <w:ind w:firstLine="452"/>
              <w:jc w:val="left"/>
            </w:pPr>
            <w:r>
              <w:rPr>
                <w:rFonts w:ascii="仿宋_GB2312" w:hAnsi="仿宋_GB2312" w:cs="仿宋_GB2312" w:eastAsia="仿宋_GB2312"/>
                <w:sz w:val="21"/>
              </w:rPr>
              <w:t>①沙拉：10亩，每亩用苗1500株；</w:t>
            </w:r>
          </w:p>
          <w:p>
            <w:pPr>
              <w:pStyle w:val="null3"/>
              <w:ind w:firstLine="456"/>
              <w:jc w:val="left"/>
            </w:pPr>
            <w:r>
              <w:rPr>
                <w:rFonts w:ascii="仿宋_GB2312" w:hAnsi="仿宋_GB2312" w:cs="仿宋_GB2312" w:eastAsia="仿宋_GB2312"/>
                <w:sz w:val="21"/>
              </w:rPr>
              <w:t>②粉岭红花：5亩，每亩用苗1500株；</w:t>
            </w:r>
          </w:p>
          <w:p>
            <w:pPr>
              <w:pStyle w:val="null3"/>
              <w:ind w:firstLine="452"/>
              <w:jc w:val="left"/>
            </w:pPr>
            <w:r>
              <w:rPr>
                <w:rFonts w:ascii="仿宋_GB2312" w:hAnsi="仿宋_GB2312" w:cs="仿宋_GB2312" w:eastAsia="仿宋_GB2312"/>
                <w:sz w:val="21"/>
              </w:rPr>
              <w:t>③南富士：5亩，每亩用苗1500株。</w:t>
            </w:r>
          </w:p>
          <w:p>
            <w:pPr>
              <w:pStyle w:val="null3"/>
              <w:ind w:firstLine="496"/>
              <w:jc w:val="left"/>
            </w:pPr>
            <w:r>
              <w:rPr>
                <w:rFonts w:ascii="仿宋_GB2312" w:hAnsi="仿宋_GB2312" w:cs="仿宋_GB2312" w:eastAsia="仿宋_GB2312"/>
                <w:sz w:val="21"/>
              </w:rPr>
              <w:t>要求：3年生健康母株分生芍头(芽头种苗，分株繁殖，不采用种子苗)</w:t>
            </w:r>
          </w:p>
          <w:p>
            <w:pPr>
              <w:pStyle w:val="null3"/>
              <w:ind w:firstLine="540"/>
              <w:jc w:val="left"/>
            </w:pPr>
            <w:r>
              <w:rPr>
                <w:rFonts w:ascii="仿宋_GB2312" w:hAnsi="仿宋_GB2312" w:cs="仿宋_GB2312" w:eastAsia="仿宋_GB2312"/>
                <w:sz w:val="21"/>
              </w:rPr>
              <w:t>(二) 规格指标：</w:t>
            </w:r>
          </w:p>
          <w:p>
            <w:pPr>
              <w:pStyle w:val="null3"/>
              <w:ind w:firstLine="436"/>
              <w:jc w:val="left"/>
            </w:pPr>
            <w:r>
              <w:rPr>
                <w:rFonts w:ascii="仿宋_GB2312" w:hAnsi="仿宋_GB2312" w:cs="仿宋_GB2312" w:eastAsia="仿宋_GB2312"/>
                <w:sz w:val="21"/>
              </w:rPr>
              <w:t>1、栽植密度:栽植株距50厘米×行距90厘米，穴深12厘米、直径20厘米。将苗子放入穴中，根部铺开，覆土至茎部1/3处，轻轻按压土壤并浇透水。</w:t>
            </w:r>
          </w:p>
          <w:p>
            <w:pPr>
              <w:pStyle w:val="null3"/>
              <w:ind w:firstLine="496"/>
              <w:jc w:val="left"/>
            </w:pPr>
            <w:r>
              <w:rPr>
                <w:rFonts w:ascii="仿宋_GB2312" w:hAnsi="仿宋_GB2312" w:cs="仿宋_GB2312" w:eastAsia="仿宋_GB2312"/>
                <w:sz w:val="21"/>
              </w:rPr>
              <w:t>2、质量:纯度≥98%，无病虫害、无霉变，不得混杂观赏芍药、劣质退化种苗。</w:t>
            </w:r>
          </w:p>
          <w:p>
            <w:pPr>
              <w:pStyle w:val="null3"/>
              <w:ind w:firstLine="508"/>
              <w:jc w:val="left"/>
            </w:pPr>
            <w:r>
              <w:rPr>
                <w:rFonts w:ascii="仿宋_GB2312" w:hAnsi="仿宋_GB2312" w:cs="仿宋_GB2312" w:eastAsia="仿宋_GB2312"/>
                <w:sz w:val="21"/>
              </w:rPr>
              <w:t>3、每块芍芽保留健壮饱满芽点3-5个，芽头鲜活、无干瘪、无冻伤；</w:t>
            </w:r>
          </w:p>
          <w:p>
            <w:pPr>
              <w:pStyle w:val="null3"/>
              <w:ind w:firstLine="532"/>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芍头根茎厚度≥2</w:t>
            </w:r>
            <w:r>
              <w:rPr>
                <w:rFonts w:ascii="仿宋_GB2312" w:hAnsi="仿宋_GB2312" w:cs="仿宋_GB2312" w:eastAsia="仿宋_GB2312"/>
                <w:sz w:val="21"/>
              </w:rPr>
              <w:t>cm</w:t>
            </w:r>
            <w:r>
              <w:rPr>
                <w:rFonts w:ascii="仿宋_GB2312" w:hAnsi="仿宋_GB2312" w:cs="仿宋_GB2312" w:eastAsia="仿宋_GB2312"/>
                <w:sz w:val="21"/>
              </w:rPr>
              <w:t>，基部带少量须根；无空心、无严重机械切口；</w:t>
            </w:r>
          </w:p>
          <w:p>
            <w:pPr>
              <w:pStyle w:val="null3"/>
              <w:ind w:firstLine="524"/>
              <w:jc w:val="left"/>
            </w:pPr>
            <w:r>
              <w:rPr>
                <w:rFonts w:ascii="仿宋_GB2312" w:hAnsi="仿宋_GB2312" w:cs="仿宋_GB2312" w:eastAsia="仿宋_GB2312"/>
                <w:sz w:val="21"/>
              </w:rPr>
              <w:t>5、种苗长度12cm以上，肉质根新鲜有韧性，不干枯。</w:t>
            </w:r>
          </w:p>
          <w:p>
            <w:pPr>
              <w:pStyle w:val="null3"/>
              <w:ind w:firstLine="548"/>
              <w:jc w:val="left"/>
            </w:pPr>
            <w:r>
              <w:rPr>
                <w:rFonts w:ascii="仿宋_GB2312" w:hAnsi="仿宋_GB2312" w:cs="仿宋_GB2312" w:eastAsia="仿宋_GB2312"/>
                <w:sz w:val="21"/>
              </w:rPr>
              <w:t>(三) 病虫害要求</w:t>
            </w:r>
          </w:p>
          <w:p>
            <w:pPr>
              <w:pStyle w:val="null3"/>
              <w:ind w:firstLine="516"/>
              <w:jc w:val="left"/>
            </w:pPr>
            <w:r>
              <w:rPr>
                <w:rFonts w:ascii="仿宋_GB2312" w:hAnsi="仿宋_GB2312" w:cs="仿宋_GB2312" w:eastAsia="仿宋_GB2312"/>
                <w:sz w:val="21"/>
              </w:rPr>
              <w:t>1、</w:t>
            </w:r>
            <w:r>
              <w:rPr>
                <w:rFonts w:ascii="仿宋_GB2312" w:hAnsi="仿宋_GB2312" w:cs="仿宋_GB2312" w:eastAsia="仿宋_GB2312"/>
                <w:sz w:val="21"/>
              </w:rPr>
              <w:t>无根腐病、黑斑病、线虫、蚜虫虫卵；</w:t>
            </w:r>
          </w:p>
          <w:p>
            <w:pPr>
              <w:pStyle w:val="null3"/>
              <w:ind w:firstLine="492"/>
              <w:jc w:val="left"/>
            </w:pPr>
            <w:r>
              <w:rPr>
                <w:rFonts w:ascii="仿宋_GB2312" w:hAnsi="仿宋_GB2312" w:cs="仿宋_GB2312" w:eastAsia="仿宋_GB2312"/>
                <w:sz w:val="21"/>
              </w:rPr>
              <w:t>2、无霉变、腐烂、发黑病灶；</w:t>
            </w:r>
          </w:p>
          <w:p>
            <w:pPr>
              <w:pStyle w:val="null3"/>
              <w:ind w:firstLine="512"/>
              <w:jc w:val="left"/>
            </w:pPr>
            <w:r>
              <w:rPr>
                <w:rFonts w:ascii="仿宋_GB2312" w:hAnsi="仿宋_GB2312" w:cs="仿宋_GB2312" w:eastAsia="仿宋_GB2312"/>
                <w:sz w:val="21"/>
              </w:rPr>
              <w:t>3</w:t>
            </w:r>
            <w:r>
              <w:rPr>
                <w:rFonts w:ascii="仿宋_GB2312" w:hAnsi="仿宋_GB2312" w:cs="仿宋_GB2312" w:eastAsia="仿宋_GB2312"/>
                <w:sz w:val="21"/>
              </w:rPr>
              <w:t>、不带检疫性有害生物。</w:t>
            </w:r>
          </w:p>
          <w:p>
            <w:pPr>
              <w:pStyle w:val="null3"/>
              <w:ind w:firstLine="556"/>
              <w:jc w:val="left"/>
            </w:pPr>
            <w:r>
              <w:rPr>
                <w:rFonts w:ascii="仿宋_GB2312" w:hAnsi="仿宋_GB2312" w:cs="仿宋_GB2312" w:eastAsia="仿宋_GB2312"/>
                <w:sz w:val="21"/>
              </w:rPr>
              <w:t>(四) 起挖与包装运输</w:t>
            </w:r>
          </w:p>
          <w:p>
            <w:pPr>
              <w:pStyle w:val="null3"/>
              <w:ind w:firstLine="496"/>
              <w:jc w:val="left"/>
            </w:pPr>
            <w:r>
              <w:rPr>
                <w:rFonts w:ascii="仿宋_GB2312" w:hAnsi="仿宋_GB2312" w:cs="仿宋_GB2312" w:eastAsia="仿宋_GB2312"/>
                <w:sz w:val="21"/>
              </w:rPr>
              <w:t>1、种苗随挖随交，尽量减少存放时间；交货时保持新鲜，避免长时间暴晒失水；</w:t>
            </w:r>
          </w:p>
          <w:p>
            <w:pPr>
              <w:pStyle w:val="null3"/>
              <w:ind w:firstLine="524"/>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运输过程保湿处理，严禁闷堆发热腐烂；</w:t>
            </w:r>
          </w:p>
          <w:p>
            <w:pPr>
              <w:pStyle w:val="null3"/>
              <w:ind w:firstLine="496"/>
              <w:jc w:val="left"/>
            </w:pPr>
            <w:r>
              <w:rPr>
                <w:rFonts w:ascii="仿宋_GB2312" w:hAnsi="仿宋_GB2312" w:cs="仿宋_GB2312" w:eastAsia="仿宋_GB2312"/>
                <w:sz w:val="21"/>
              </w:rPr>
              <w:t>3、种苗分级装运，大小苗可分开交付，便于田间规范化栽植</w:t>
            </w:r>
            <w:r>
              <w:rPr>
                <w:rFonts w:ascii="仿宋_GB2312" w:hAnsi="仿宋_GB2312" w:cs="仿宋_GB2312" w:eastAsia="仿宋_GB2312"/>
                <w:sz w:val="21"/>
              </w:rPr>
              <w:t>。</w:t>
            </w:r>
          </w:p>
          <w:p>
            <w:pPr>
              <w:pStyle w:val="null3"/>
              <w:ind w:firstLine="428"/>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成活率: ≥85%</w:t>
            </w:r>
          </w:p>
          <w:p>
            <w:pPr>
              <w:pStyle w:val="null3"/>
              <w:ind w:firstLine="512"/>
              <w:jc w:val="left"/>
            </w:pPr>
            <w:r>
              <w:rPr>
                <w:rFonts w:ascii="仿宋_GB2312" w:hAnsi="仿宋_GB2312" w:cs="仿宋_GB2312" w:eastAsia="仿宋_GB2312"/>
                <w:sz w:val="21"/>
              </w:rPr>
              <w:t>5、种苗验收：现场抽样查看芽点、腐烂情况、病虫害、规格数量，不合格种苗购买方有权拒收、退换货，产生运费由供货方承担。</w:t>
            </w:r>
          </w:p>
          <w:p>
            <w:pPr>
              <w:pStyle w:val="null3"/>
              <w:ind w:firstLine="466"/>
              <w:jc w:val="left"/>
            </w:pPr>
            <w:r>
              <w:rPr>
                <w:rFonts w:ascii="仿宋_GB2312" w:hAnsi="仿宋_GB2312" w:cs="仿宋_GB2312" w:eastAsia="仿宋_GB2312"/>
                <w:sz w:val="21"/>
                <w:b/>
              </w:rPr>
              <w:t>四、管护: (施肥、除草、防病、灌溉)</w:t>
            </w:r>
          </w:p>
          <w:p>
            <w:pPr>
              <w:pStyle w:val="null3"/>
              <w:ind w:firstLine="556"/>
              <w:jc w:val="left"/>
            </w:pPr>
            <w:r>
              <w:rPr>
                <w:rFonts w:ascii="仿宋_GB2312" w:hAnsi="仿宋_GB2312" w:cs="仿宋_GB2312" w:eastAsia="仿宋_GB2312"/>
                <w:sz w:val="21"/>
              </w:rPr>
              <w:t>1、浇水管理：芍药喜干怕涝，干旱时浇透水，多雨季节及时排水。夏季高温时遮阴，冬季保温。</w:t>
            </w:r>
          </w:p>
          <w:p>
            <w:pPr>
              <w:pStyle w:val="null3"/>
              <w:ind w:firstLine="512"/>
              <w:jc w:val="left"/>
            </w:pPr>
            <w:r>
              <w:rPr>
                <w:rFonts w:ascii="仿宋_GB2312" w:hAnsi="仿宋_GB2312" w:cs="仿宋_GB2312" w:eastAsia="仿宋_GB2312"/>
                <w:sz w:val="21"/>
              </w:rPr>
              <w:t>2、施肥管理：芍药喜肥，生长过程中每隔半个月施一次腐熟的有机肥。开花前施肥，花期后停止施肥。</w:t>
            </w:r>
          </w:p>
          <w:p>
            <w:pPr>
              <w:pStyle w:val="null3"/>
              <w:ind w:firstLine="516"/>
              <w:jc w:val="left"/>
            </w:pPr>
            <w:r>
              <w:rPr>
                <w:rFonts w:ascii="仿宋_GB2312" w:hAnsi="仿宋_GB2312" w:cs="仿宋_GB2312" w:eastAsia="仿宋_GB2312"/>
                <w:sz w:val="21"/>
              </w:rPr>
              <w:t>3</w:t>
            </w:r>
            <w:r>
              <w:rPr>
                <w:rFonts w:ascii="仿宋_GB2312" w:hAnsi="仿宋_GB2312" w:cs="仿宋_GB2312" w:eastAsia="仿宋_GB2312"/>
                <w:sz w:val="21"/>
              </w:rPr>
              <w:t>、除草：及时进行松土除草</w:t>
            </w:r>
          </w:p>
          <w:p>
            <w:pPr>
              <w:pStyle w:val="null3"/>
              <w:ind w:firstLine="512"/>
              <w:jc w:val="left"/>
            </w:pPr>
            <w:r>
              <w:rPr>
                <w:rFonts w:ascii="仿宋_GB2312" w:hAnsi="仿宋_GB2312" w:cs="仿宋_GB2312" w:eastAsia="仿宋_GB2312"/>
                <w:sz w:val="21"/>
              </w:rPr>
              <w:t>4、病虫害防治：常见病虫害有灰霉病、叶斑病、蚜虫、螨虫等。摸清发生</w:t>
            </w:r>
            <w:r>
              <w:rPr>
                <w:rFonts w:ascii="仿宋_GB2312" w:hAnsi="仿宋_GB2312" w:cs="仿宋_GB2312" w:eastAsia="仿宋_GB2312"/>
                <w:sz w:val="21"/>
              </w:rPr>
              <w:t>发展规律，做好预测预报工作。如发生要及时防治，不得任其蔓延造成危害。及时做好病虫害防治工作，保证正常生长。</w:t>
            </w:r>
          </w:p>
          <w:p>
            <w:pPr>
              <w:pStyle w:val="null3"/>
              <w:ind w:firstLine="512"/>
              <w:jc w:val="left"/>
            </w:pPr>
            <w:r>
              <w:rPr>
                <w:rFonts w:ascii="仿宋_GB2312" w:hAnsi="仿宋_GB2312" w:cs="仿宋_GB2312" w:eastAsia="仿宋_GB2312"/>
                <w:sz w:val="21"/>
              </w:rPr>
              <w:t>5、管护期：两年。</w:t>
            </w:r>
          </w:p>
          <w:p>
            <w:pPr>
              <w:pStyle w:val="null3"/>
              <w:ind w:firstLine="506"/>
              <w:jc w:val="left"/>
            </w:pPr>
            <w:r>
              <w:rPr>
                <w:rFonts w:ascii="仿宋_GB2312" w:hAnsi="仿宋_GB2312" w:cs="仿宋_GB2312" w:eastAsia="仿宋_GB2312"/>
                <w:sz w:val="21"/>
                <w:b/>
              </w:rPr>
              <w:t>五、其他要求</w:t>
            </w:r>
          </w:p>
          <w:p>
            <w:pPr>
              <w:pStyle w:val="null3"/>
              <w:ind w:firstLine="524"/>
              <w:jc w:val="left"/>
            </w:pPr>
            <w:r>
              <w:rPr>
                <w:rFonts w:ascii="仿宋_GB2312" w:hAnsi="仿宋_GB2312" w:cs="仿宋_GB2312" w:eastAsia="仿宋_GB2312"/>
                <w:sz w:val="21"/>
              </w:rPr>
              <w:t>1、</w:t>
            </w:r>
            <w:r>
              <w:rPr>
                <w:rFonts w:ascii="仿宋_GB2312" w:hAnsi="仿宋_GB2312" w:cs="仿宋_GB2312" w:eastAsia="仿宋_GB2312"/>
                <w:sz w:val="21"/>
              </w:rPr>
              <w:t>在</w:t>
            </w:r>
            <w:r>
              <w:rPr>
                <w:rFonts w:ascii="仿宋_GB2312" w:hAnsi="仿宋_GB2312" w:cs="仿宋_GB2312" w:eastAsia="仿宋_GB2312"/>
                <w:sz w:val="21"/>
              </w:rPr>
              <w:t>项目实施及后期经营、管护过程中，优先组织本村劳动力务工增收。</w:t>
            </w:r>
          </w:p>
          <w:p>
            <w:pPr>
              <w:pStyle w:val="null3"/>
              <w:ind w:firstLine="512"/>
              <w:jc w:val="left"/>
            </w:pPr>
            <w:r>
              <w:rPr>
                <w:rFonts w:ascii="仿宋_GB2312" w:hAnsi="仿宋_GB2312" w:cs="仿宋_GB2312" w:eastAsia="仿宋_GB2312"/>
                <w:sz w:val="21"/>
              </w:rPr>
              <w:t>2、服务标准：达到国家及行业服务质量验收合格标准及完成自查总结。</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标的名称：新建钢结构分拣车间400平方米、保鲜库200立方米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一、项目概况</w:t>
            </w:r>
          </w:p>
          <w:p>
            <w:pPr>
              <w:pStyle w:val="null3"/>
              <w:jc w:val="both"/>
            </w:pPr>
            <w:r>
              <w:rPr>
                <w:rFonts w:ascii="仿宋_GB2312" w:hAnsi="仿宋_GB2312" w:cs="仿宋_GB2312" w:eastAsia="仿宋_GB2312"/>
                <w:sz w:val="21"/>
              </w:rPr>
              <w:t>本项目位于</w:t>
            </w:r>
            <w:r>
              <w:rPr>
                <w:rFonts w:ascii="仿宋_GB2312" w:hAnsi="仿宋_GB2312" w:cs="仿宋_GB2312" w:eastAsia="仿宋_GB2312"/>
                <w:sz w:val="21"/>
              </w:rPr>
              <w:t>城固县董家营镇徐李社区，结构类型为钢结构，</w:t>
            </w:r>
            <w:r>
              <w:rPr>
                <w:rFonts w:ascii="仿宋_GB2312" w:hAnsi="仿宋_GB2312" w:cs="仿宋_GB2312" w:eastAsia="仿宋_GB2312"/>
                <w:sz w:val="21"/>
              </w:rPr>
              <w:t>内容为：</w:t>
            </w:r>
            <w:r>
              <w:rPr>
                <w:rFonts w:ascii="仿宋_GB2312" w:hAnsi="仿宋_GB2312" w:cs="仿宋_GB2312" w:eastAsia="仿宋_GB2312"/>
                <w:sz w:val="21"/>
              </w:rPr>
              <w:t>新建钢结构分拣车间</w:t>
            </w:r>
            <w:r>
              <w:rPr>
                <w:rFonts w:ascii="仿宋_GB2312" w:hAnsi="仿宋_GB2312" w:cs="仿宋_GB2312" w:eastAsia="仿宋_GB2312"/>
                <w:sz w:val="21"/>
              </w:rPr>
              <w:t>400平方米、保鲜库200立方米</w:t>
            </w:r>
            <w:r>
              <w:rPr>
                <w:rFonts w:ascii="仿宋_GB2312" w:hAnsi="仿宋_GB2312" w:cs="仿宋_GB2312" w:eastAsia="仿宋_GB2312"/>
                <w:sz w:val="21"/>
              </w:rPr>
              <w:t>，具体内容详见工程量清单。</w:t>
            </w:r>
          </w:p>
          <w:p>
            <w:pPr>
              <w:pStyle w:val="null3"/>
              <w:jc w:val="both"/>
            </w:pPr>
            <w:r>
              <w:rPr>
                <w:rFonts w:ascii="仿宋_GB2312" w:hAnsi="仿宋_GB2312" w:cs="仿宋_GB2312" w:eastAsia="仿宋_GB2312"/>
                <w:sz w:val="21"/>
              </w:rPr>
              <w:t>二、编制依据</w:t>
            </w:r>
          </w:p>
          <w:p>
            <w:pPr>
              <w:pStyle w:val="null3"/>
              <w:jc w:val="both"/>
            </w:pPr>
            <w:r>
              <w:rPr>
                <w:rFonts w:ascii="仿宋_GB2312" w:hAnsi="仿宋_GB2312" w:cs="仿宋_GB2312" w:eastAsia="仿宋_GB2312"/>
                <w:sz w:val="21"/>
              </w:rPr>
              <w:t>1、施⼯图纸、相关施⼯规范、国家标准等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2、《陕西省住房和城乡建设厅关于印发2025陕西省建设工程费用规则等计价依据的通知》陕建管发(2025)10号文件。</w:t>
            </w:r>
          </w:p>
          <w:p>
            <w:pPr>
              <w:pStyle w:val="null3"/>
              <w:jc w:val="both"/>
            </w:pPr>
            <w:r>
              <w:rPr>
                <w:rFonts w:ascii="仿宋_GB2312" w:hAnsi="仿宋_GB2312" w:cs="仿宋_GB2312" w:eastAsia="仿宋_GB2312"/>
                <w:sz w:val="21"/>
              </w:rPr>
              <w:t>3、《陕西省建设工程费用规则》(2025)、《建设工程工程量清单计价标准》(2025)、《房屋建筑与装修工程工程量计算标准》、《通用安装工程工程量计算标准》及其配套文件。</w:t>
            </w:r>
          </w:p>
          <w:p>
            <w:pPr>
              <w:pStyle w:val="null3"/>
              <w:jc w:val="both"/>
            </w:pPr>
            <w:r>
              <w:rPr>
                <w:rFonts w:ascii="仿宋_GB2312" w:hAnsi="仿宋_GB2312" w:cs="仿宋_GB2312" w:eastAsia="仿宋_GB2312"/>
                <w:sz w:val="21"/>
              </w:rPr>
              <w:t>4、《陕西省房屋建筑与装饰工程消耗量定额》(2025)、《陕西省通用安装工程消耗量定额》(2025)、《陕西省建设工程施工机械台班费用定额》(2025)。</w:t>
            </w:r>
          </w:p>
          <w:p>
            <w:pPr>
              <w:pStyle w:val="null3"/>
              <w:jc w:val="both"/>
            </w:pPr>
            <w:r>
              <w:rPr>
                <w:rFonts w:ascii="仿宋_GB2312" w:hAnsi="仿宋_GB2312" w:cs="仿宋_GB2312" w:eastAsia="仿宋_GB2312"/>
                <w:sz w:val="21"/>
              </w:rPr>
              <w:t>5、《陕西省房屋建筑与装饰工程基价表》(2025)</w:t>
            </w:r>
            <w:r>
              <w:rPr>
                <w:rFonts w:ascii="仿宋_GB2312" w:hAnsi="仿宋_GB2312" w:cs="仿宋_GB2312" w:eastAsia="仿宋_GB2312"/>
                <w:sz w:val="21"/>
              </w:rPr>
              <w:t>、</w:t>
            </w:r>
            <w:r>
              <w:rPr>
                <w:rFonts w:ascii="仿宋_GB2312" w:hAnsi="仿宋_GB2312" w:cs="仿宋_GB2312" w:eastAsia="仿宋_GB2312"/>
                <w:sz w:val="21"/>
              </w:rPr>
              <w:t>《陕西省通用安装工程基价表》</w:t>
            </w:r>
            <w:r>
              <w:rPr>
                <w:rFonts w:ascii="仿宋_GB2312" w:hAnsi="仿宋_GB2312" w:cs="仿宋_GB2312" w:eastAsia="仿宋_GB2312"/>
                <w:sz w:val="21"/>
              </w:rPr>
              <w:t>(2025)</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三、项目工期：</w:t>
            </w:r>
            <w:r>
              <w:rPr>
                <w:rFonts w:ascii="仿宋_GB2312" w:hAnsi="仿宋_GB2312" w:cs="仿宋_GB2312" w:eastAsia="仿宋_GB2312"/>
                <w:sz w:val="21"/>
              </w:rPr>
              <w:t>60天</w:t>
            </w:r>
          </w:p>
          <w:p>
            <w:pPr>
              <w:pStyle w:val="null3"/>
              <w:jc w:val="both"/>
            </w:pPr>
            <w:r>
              <w:rPr>
                <w:rFonts w:ascii="仿宋_GB2312" w:hAnsi="仿宋_GB2312" w:cs="仿宋_GB2312" w:eastAsia="仿宋_GB2312"/>
                <w:sz w:val="21"/>
              </w:rPr>
              <w:t>四、本项目缺陷责任期为：</w:t>
            </w:r>
            <w:r>
              <w:rPr>
                <w:rFonts w:ascii="仿宋_GB2312" w:hAnsi="仿宋_GB2312" w:cs="仿宋_GB2312" w:eastAsia="仿宋_GB2312"/>
                <w:sz w:val="21"/>
              </w:rPr>
              <w:t>2年</w:t>
            </w:r>
          </w:p>
          <w:p>
            <w:pPr>
              <w:pStyle w:val="null3"/>
              <w:jc w:val="both"/>
            </w:pPr>
            <w:r>
              <w:rPr>
                <w:rFonts w:ascii="仿宋_GB2312" w:hAnsi="仿宋_GB2312" w:cs="仿宋_GB2312" w:eastAsia="仿宋_GB2312"/>
                <w:sz w:val="21"/>
              </w:rPr>
              <w:t>五、工程质量</w:t>
            </w:r>
            <w:r>
              <w:rPr>
                <w:rFonts w:ascii="仿宋_GB2312" w:hAnsi="仿宋_GB2312" w:cs="仿宋_GB2312" w:eastAsia="仿宋_GB2312"/>
                <w:sz w:val="21"/>
              </w:rPr>
              <w:t>:达到国家及行业标准。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 2026年12月31日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60天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进度款，验收合格后，达到付款条件起30个工作日内，支付合同总金额的60.0%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进度款，管护期满后，达到付款条件起30个工作日内，支付合同总金额的10.0%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进度款，⼯程完⼯后，达到付款条件起30个工作日内，支付合同总金额的40.0%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进度款，⼯程竣⼯验收后，达到付款条件起30个工作日内，支付合同总金额的30.0%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在成交结果公⽰后，成交供应商向代理机构提交纸质响应⽂件叁份、分别胶装，加盖骑缝章，电⼦版U盘贰份，内容和通过电⼦化交易平台实施的政府采购项⽬提交的响应⽂件⼀致。2、保证⾦若以⾦融机构、担保机构出具的保函形式则须在开标前⼀个⼯作日告知采购代理机构（联系⽅式：0916-2610065/邮箱：1042853189@qq.com）。3、投标⼈自行在系统规定处上传保证⾦凭证或保函，如未按系统要求上传，投标⼈自行承担开标过程中出现的后果及风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汉中市财政局《关于全面推行政府采购供应商基本资格条件承诺制的通知》(汉财办采管(2024)20 号) 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汉中市财政局《关于全面推行政府 采购供应商基本资格条件承诺制的通知》(汉财办采管(2024)20 号) 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供应商为有独立承担民事责任能力的法人或其他组织或自然人，并出具营业执照(事业法人证) 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 中国”网站(htps://www.creditchina.gov.cn)" 失信被执行人”"重大税收违法案件当事人名单”中，也未列入"中国政府采购网"(https://www.cCgp.gov.cn)的“政府采购严重违法失信行为记录名单”;拟参与本项目的供应 商应按照汉中市财政局《关于全面推行政府采购 供应商基本资格条件承诺制的通知》(汉财办采 管(2024)20 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本项目为专门面向中小企业采购，供应商为监狱企业的，应提供监狱企业的证明文件:供应商为残疾人福利性单位的，应提供《残疾人福利性单位声明函》(监狱企业或残疾人福利性单位视同小型、微型企业) ；</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供应商为有独立承担民事责任能力的法人或其他组织或自然人，并出具营业执照(事业法人证) 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ps://www.creditchina.gov.cn)" 失信被执行人”"重大税收违法案件当事人名单”中，也未列入"中国政府采购网"(https://www.cCgp.gov.cn)的“政府采购严重违法失信行为记录名单”;拟参与本项目的供应 商应按照汉中市财政局《关于全面推行政府采购 供应商基本资格条件承诺制的通知》(汉财办采 管(2024)20 号)文件要求，提供满足相应条件的资格承诺函: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本项目为专门面向中小企业采购，供应商为监狱企业的，应提供监狱企业的证明文件:供应商为残疾人福利性单位的，应提供《残疾人福利性单位声明函》(监狱企业或残疾人福利性单位视同小型、微型企业) ；</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具有有效的安全生产许可证；拟派项目经理须具备建筑工程专业二级及以上注册建造师执业资格和有效的安全考核合格B证，且无在建项目（提供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采购包1分项报价.docx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响应文件的电子签章</w:t>
            </w:r>
          </w:p>
        </w:tc>
        <w:tc>
          <w:tcPr>
            <w:tcW w:type="dxa" w:w="3322"/>
          </w:tcPr>
          <w:p>
            <w:pPr>
              <w:pStyle w:val="null3"/>
            </w:pPr>
            <w:r>
              <w:rPr>
                <w:rFonts w:ascii="仿宋_GB2312" w:hAnsi="仿宋_GB2312" w:cs="仿宋_GB2312" w:eastAsia="仿宋_GB2312"/>
              </w:rPr>
              <w:t>响应文件按磋商文件要求进行电子签章</w:t>
            </w:r>
          </w:p>
        </w:tc>
        <w:tc>
          <w:tcPr>
            <w:tcW w:type="dxa" w:w="1661"/>
          </w:tcPr>
          <w:p>
            <w:pPr>
              <w:pStyle w:val="null3"/>
            </w:pPr>
            <w:r>
              <w:rPr>
                <w:rFonts w:ascii="仿宋_GB2312" w:hAnsi="仿宋_GB2312" w:cs="仿宋_GB2312" w:eastAsia="仿宋_GB2312"/>
              </w:rPr>
              <w:t>采购包1分项报价.docx 中小企业声明函 商务应答表 供应商应提交的相关资格证明材料 服务内容及服务要求应答表 报价表 汉中市政府采购供应商资格承诺函.docx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符合磋商文件要求，响应文件内容齐全、无遗漏</w:t>
            </w:r>
          </w:p>
        </w:tc>
        <w:tc>
          <w:tcPr>
            <w:tcW w:type="dxa" w:w="1661"/>
          </w:tcPr>
          <w:p>
            <w:pPr>
              <w:pStyle w:val="null3"/>
            </w:pPr>
            <w:r>
              <w:rPr>
                <w:rFonts w:ascii="仿宋_GB2312" w:hAnsi="仿宋_GB2312" w:cs="仿宋_GB2312" w:eastAsia="仿宋_GB2312"/>
              </w:rPr>
              <w:t>采购包1分项报价.docx 中小企业声明函 商务应答表 供应商应提交的相关资格证明材料 服务内容及服务要求应答表 报价表 汉中市政府采购供应商资格承诺函.docx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报价唯一，未超出采购预算或磋商文件规定的最高限价</w:t>
            </w:r>
          </w:p>
        </w:tc>
        <w:tc>
          <w:tcPr>
            <w:tcW w:type="dxa" w:w="1661"/>
          </w:tcPr>
          <w:p>
            <w:pPr>
              <w:pStyle w:val="null3"/>
            </w:pPr>
            <w:r>
              <w:rPr>
                <w:rFonts w:ascii="仿宋_GB2312" w:hAnsi="仿宋_GB2312" w:cs="仿宋_GB2312" w:eastAsia="仿宋_GB2312"/>
              </w:rPr>
              <w:t>采购包1分项报价.docx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不存在其他不符合法律法规或磋商文件规定的响应无效条款的情形</w:t>
            </w:r>
          </w:p>
        </w:tc>
        <w:tc>
          <w:tcPr>
            <w:tcW w:type="dxa" w:w="1661"/>
          </w:tcPr>
          <w:p>
            <w:pPr>
              <w:pStyle w:val="null3"/>
            </w:pPr>
            <w:r>
              <w:rPr>
                <w:rFonts w:ascii="仿宋_GB2312" w:hAnsi="仿宋_GB2312" w:cs="仿宋_GB2312" w:eastAsia="仿宋_GB2312"/>
              </w:rPr>
              <w:t>采购包1分项报价.docx 中小企业声明函 商务应答表 供应商应提交的相关资格证明材料 服务内容及服务要求应答表 报价表 汉中市政府采购供应商资格承诺函.docx 响应文件封面 残疾人福利性单位声明函 服务方案 标的清单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采购包2已标价工程量清单.docx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响应文件的电子签章</w:t>
            </w:r>
          </w:p>
        </w:tc>
        <w:tc>
          <w:tcPr>
            <w:tcW w:type="dxa" w:w="3322"/>
          </w:tcPr>
          <w:p>
            <w:pPr>
              <w:pStyle w:val="null3"/>
            </w:pPr>
            <w:r>
              <w:rPr>
                <w:rFonts w:ascii="仿宋_GB2312" w:hAnsi="仿宋_GB2312" w:cs="仿宋_GB2312" w:eastAsia="仿宋_GB2312"/>
              </w:rPr>
              <w:t>响应文件按磋商文件要求进行电子签章</w:t>
            </w:r>
          </w:p>
        </w:tc>
        <w:tc>
          <w:tcPr>
            <w:tcW w:type="dxa" w:w="1661"/>
          </w:tcPr>
          <w:p>
            <w:pPr>
              <w:pStyle w:val="null3"/>
            </w:pPr>
            <w:r>
              <w:rPr>
                <w:rFonts w:ascii="仿宋_GB2312" w:hAnsi="仿宋_GB2312" w:cs="仿宋_GB2312" w:eastAsia="仿宋_GB2312"/>
              </w:rPr>
              <w:t>采购包2已标价工程量清单.docx 中小企业声明函 商务应答表 供应商应提交的相关资格证明材料 服务内容及服务要求应答表 报价表 汉中市政府采购供应商资格承诺函.docx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符合磋商文件要求，响应文件内容齐全、无遗漏</w:t>
            </w:r>
          </w:p>
        </w:tc>
        <w:tc>
          <w:tcPr>
            <w:tcW w:type="dxa" w:w="1661"/>
          </w:tcPr>
          <w:p>
            <w:pPr>
              <w:pStyle w:val="null3"/>
            </w:pPr>
            <w:r>
              <w:rPr>
                <w:rFonts w:ascii="仿宋_GB2312" w:hAnsi="仿宋_GB2312" w:cs="仿宋_GB2312" w:eastAsia="仿宋_GB2312"/>
              </w:rPr>
              <w:t>采购包2已标价工程量清单.docx 中小企业声明函 商务应答表 供应商应提交的相关资格证明材料 服务内容及服务要求应答表 报价表 汉中市政府采购供应商资格承诺函.docx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报价唯一，未超出采购预算或磋商文件规定的最高限价</w:t>
            </w:r>
          </w:p>
        </w:tc>
        <w:tc>
          <w:tcPr>
            <w:tcW w:type="dxa" w:w="1661"/>
          </w:tcPr>
          <w:p>
            <w:pPr>
              <w:pStyle w:val="null3"/>
            </w:pPr>
            <w:r>
              <w:rPr>
                <w:rFonts w:ascii="仿宋_GB2312" w:hAnsi="仿宋_GB2312" w:cs="仿宋_GB2312" w:eastAsia="仿宋_GB2312"/>
              </w:rPr>
              <w:t>采购包2已标价工程量清单.docx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不存在其他不符合法律法规或磋商文件规定的响应无效条款的情形</w:t>
            </w:r>
          </w:p>
        </w:tc>
        <w:tc>
          <w:tcPr>
            <w:tcW w:type="dxa" w:w="1661"/>
          </w:tcPr>
          <w:p>
            <w:pPr>
              <w:pStyle w:val="null3"/>
            </w:pPr>
            <w:r>
              <w:rPr>
                <w:rFonts w:ascii="仿宋_GB2312" w:hAnsi="仿宋_GB2312" w:cs="仿宋_GB2312" w:eastAsia="仿宋_GB2312"/>
              </w:rPr>
              <w:t>采购包2已标价工程量清单.docx 中小企业声明函 商务应答表 供应商应提交的相关资格证明材料 服务内容及服务要求应答表 报价表 汉中市政府采购供应商资格承诺函.docx 响应文件封面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供应商针对本项目提出适用于本项目的 实施方案。包括但不限于：1、项目目标 及认知；2、项目实施重点难点分析；3、总体实施方案 (包括但不限于：①整地； ②挖穴；③栽植要点；④中耕除草；⑤ 病虫害防治) ；4、水肥与灌溉管理；5、质量保证措施；6、进度保障措施；7、应急及风险防控措施 (包括但不限于① 气象灾害应急方案；②病虫害防治措施； ③种苗供应应急方案) ；8、后期管护措 施。以上各项内容全面明确、阐述条理 清晰得40分，每缺一项扣5分，每项中的内容存在缺陷，扣1-4 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 2023 年1月1日至今完成的类似业绩证明，每提供一份计2.5分，最高计5.0 分；(以合同签订日期为准) 注：业绩须是供应商完成的类似项目，以成交通知书或协议书 (合同) 加盖公章的复印件为准。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①提供人员配置明细表得5分，不提供 不得分；②配备1名项目负责人，提供相关专业高级职称得2分，中级职称得1分，未提供的不得分； ③除项目负责人外，提供5名及以上配置人员相关身份证得3分；提供4名配置人员相关身份证得2分，提供3名配置人员相关身份证得1分，不足3人或不提供均不得分，本项最高3分；④提供主要人员到场及不随意更换人员承诺得2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①提供拟投入设备配置明细表得4分，不提供不得分；②提供拟投入设备及时 进场承诺得3分，不提供不得分；③提供拟投入设备状况良好，满足项目需求的承诺得3分，不提供不得分；④应对突发事件具有足够的可调度设备储备确保工作任务正常进行，提供承诺得3分，不提供不得分。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①供应商提供项目能按时按质完成承诺得3分，不提供不得分；②承诺项目开工前对作业人员开展《种植及养护培训》及《安全培训》 (明确培训时长≥8 小 时) 得3分，不提供不得分；③承诺按照采购人要求提交生长、病虫害监测及 管护台账得3分，不提供不得分；④书面承诺为采购方提供免费种植技术培训与后期养护指导的，得3分；不提供不得分；⑤供应商书面承诺栽植后种苗成活率不低于85%，且免费补植期不低于两年得3分，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采购包1分项报价.docx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 价视为无效标； 2、以满足本次磋商文 件要求的最低报价为评标基准价，其价 格为满分；3、供应商报价得分= (评标 基准价/投标报价) × 15 (本项目为专 门面向中小企业采购项目，不再执行价 格评审优惠扶持政策)</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采购包1分项报价.docx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项⽬实施方案</w:t>
            </w:r>
          </w:p>
        </w:tc>
        <w:tc>
          <w:tcPr>
            <w:tcW w:type="dxa" w:w="2492"/>
          </w:tcPr>
          <w:p>
            <w:pPr>
              <w:pStyle w:val="null3"/>
            </w:pPr>
            <w:r>
              <w:rPr>
                <w:rFonts w:ascii="仿宋_GB2312" w:hAnsi="仿宋_GB2312" w:cs="仿宋_GB2312" w:eastAsia="仿宋_GB2312"/>
              </w:rPr>
              <w:t>供应商针对本项目提出适用于本项目的实施方案。包括但不限于：①施工方案；②本项⽬实施重难点分析及解决措施；③确保⼯程质量的技术组织措施；④确保⼯期的技术组织措施；⑤确保安全⽣产组织措施；⑥确保⽂明施⼯的技术组织措施；⑦环境保护技术组织措施；⑧验收交付⽅案； 以上各项内容全面明确、阐述条理清晰得40分，每缺一项扣5分，每项中的内容存在缺陷，扣1-4分，扣完为止。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供应商提供2023年1月1日至今完成的类似业绩证明，每提供一份计2.5分，最高计5.0分；（以合同签订日期为准） 注：业绩须是供应商完成的类似项目，以成交通知书或协议书（合同）加盖公章的复印件为准。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①提供人员配置明细表得5分，不提供不得分；②配备1名项目负责人， 提供身份证、注册证、安全考核证、职称证、社保等证明材料，提供齐全且证书证件合格有效得2分。未提供或缺项不得分；③配备1名技术负责人，需提供身份证、安全考核证、职称证、社保等证明材料，提供齐全且证书证件合格有效得2分。未提供或缺项不得分；④配备其他岗位人员，满足基础5人得3分，每多1人加0.5分，最多加2分.本项最高5分。需提供身份证、岗位证、社保等证明材料，未提供或缺项不得分；⑤提供主要人员到场及不随意更换人员承诺得2分，不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①提供拟投入设备配置明细表得3分，不提供不得分；②提供拟投入设备及时进场承诺得2分，不提供不得分；③提供拟投入设备状况良好，满足项目需求的承诺得2分，不提供不得分；④应对突发事件具有足够的可调度设备储备确保工作任务正常进行，提供承诺得2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采购包2已标价工程量清单.docx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2、以满足本次招标文件要求的最低报价为评标基准价，其价格为满分；3、供应商报价得分=（评标基准价/投标报价）×30（本项目为专门面向中小企业采购项目，不再执行价格评审优惠扶持政策）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采购包2已标价工程量清单.docx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详见附件：采购包1分项报价.docx</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详见附件：采购包2已标价工程量清单.docx</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详见附件：采购包1合同文本.docx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