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版本号：SXJTZB-ZC-CS2026073020260831002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2026年高陵区规划技术审查及咨询服务项目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SXJTZB-ZC-CS20260730</w:t>
      </w:r>
      <w:r>
        <w:br/>
      </w:r>
      <w:r>
        <w:br/>
      </w:r>
      <w:r>
        <w:br/>
      </w:r>
    </w:p>
    <w:p>
      <w:pPr>
        <w:pStyle w:val="null3"/>
        <w:jc w:val="center"/>
        <w:outlineLvl w:val="2"/>
      </w:pPr>
      <w:r>
        <w:rPr>
          <w:rFonts w:ascii="仿宋_GB2312" w:hAnsi="仿宋_GB2312" w:cs="仿宋_GB2312" w:eastAsia="仿宋_GB2312"/>
          <w:sz w:val="28"/>
          <w:b/>
        </w:rPr>
        <w:t>西安市自然资源和规划局高陵分局</w:t>
      </w:r>
    </w:p>
    <w:p>
      <w:pPr>
        <w:pStyle w:val="null3"/>
        <w:jc w:val="center"/>
        <w:outlineLvl w:val="2"/>
      </w:pPr>
      <w:r>
        <w:rPr>
          <w:rFonts w:ascii="仿宋_GB2312" w:hAnsi="仿宋_GB2312" w:cs="仿宋_GB2312" w:eastAsia="仿宋_GB2312"/>
          <w:sz w:val="28"/>
          <w:b/>
        </w:rPr>
        <w:t>陕西嘉唐建设项目管理有限公司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陕西嘉唐建设项目管理有限公司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西安市自然资源和规划局高陵分局</w:t>
      </w:r>
      <w:r>
        <w:rPr>
          <w:rFonts w:ascii="仿宋_GB2312" w:hAnsi="仿宋_GB2312" w:cs="仿宋_GB2312" w:eastAsia="仿宋_GB2312"/>
        </w:rPr>
        <w:t>委托，拟对</w:t>
      </w:r>
      <w:r>
        <w:rPr>
          <w:rFonts w:ascii="仿宋_GB2312" w:hAnsi="仿宋_GB2312" w:cs="仿宋_GB2312" w:eastAsia="仿宋_GB2312"/>
        </w:rPr>
        <w:t>2026年高陵区规划技术审查及咨询服务项目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SXJTZB-ZC-CS20260730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2026年高陵区规划技术审查及咨询服务项目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了响应全市审批新规要求，做好许可服务保障，高质量推进办件实效，依据《一书三证管理实施细则》、《西安市国土空间城镇开发边界内详细规划编制审批管理实施监督暂行规定》、《陕西省自然资源厅关于进一步强化规划许可规范规划实施监督管理的意见》等文件，拟采购地块实施详细规划成果技术审查、建设工程规划设计方案技术审查及规划公示牌小样制作及其它规划技术咨询等第三方服务事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采购包1（2026年高陵区规划技术审查及咨询服务项目）：属于专门面向中小企业采购。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状况报告：提供经审计的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3、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4、社会保障资金缴纳证明：提交响应文件截止时间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5、履行合同的能力：提供具有履行本合同所必需的设备和专业技术能力的说明或承诺；</w:t>
      </w:r>
    </w:p>
    <w:p>
      <w:pPr>
        <w:pStyle w:val="null3"/>
      </w:pPr>
      <w:r>
        <w:rPr>
          <w:rFonts w:ascii="仿宋_GB2312" w:hAnsi="仿宋_GB2312" w:cs="仿宋_GB2312" w:eastAsia="仿宋_GB2312"/>
        </w:rPr>
        <w:t>6、前三年内无重大违法记录的声明：参加政府采购活动前3年内，在经营活动中没有重大违法记录（提供书面声明）；</w:t>
      </w:r>
    </w:p>
    <w:p>
      <w:pPr>
        <w:pStyle w:val="null3"/>
      </w:pPr>
      <w:r>
        <w:rPr>
          <w:rFonts w:ascii="仿宋_GB2312" w:hAnsi="仿宋_GB2312" w:cs="仿宋_GB2312" w:eastAsia="仿宋_GB2312"/>
        </w:rPr>
        <w:t>7、法定代表人授权书：法定代表人授权书（附法定代表人、被授权人身份证复印件）及被授权人身份证复印件（法定代表人直接参加磋商，须提供法定代表人身份证明书）；非法人单位参照执行；</w:t>
      </w:r>
    </w:p>
    <w:p>
      <w:pPr>
        <w:pStyle w:val="null3"/>
      </w:pPr>
      <w:r>
        <w:rPr>
          <w:rFonts w:ascii="仿宋_GB2312" w:hAnsi="仿宋_GB2312" w:cs="仿宋_GB2312" w:eastAsia="仿宋_GB2312"/>
        </w:rPr>
        <w:t>8、信用信息：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w:t>
      </w:r>
    </w:p>
    <w:p>
      <w:pPr>
        <w:pStyle w:val="null3"/>
      </w:pPr>
      <w:r>
        <w:rPr>
          <w:rFonts w:ascii="仿宋_GB2312" w:hAnsi="仿宋_GB2312" w:cs="仿宋_GB2312" w:eastAsia="仿宋_GB2312"/>
        </w:rPr>
        <w:t>9、资质证书：供应商须具备政府行政主管部门颁发的有效期内的城乡规划编制乙级或以上资质证书；</w:t>
      </w:r>
    </w:p>
    <w:p>
      <w:pPr>
        <w:pStyle w:val="null3"/>
      </w:pPr>
      <w:r>
        <w:rPr>
          <w:rFonts w:ascii="仿宋_GB2312" w:hAnsi="仿宋_GB2312" w:cs="仿宋_GB2312" w:eastAsia="仿宋_GB2312"/>
        </w:rPr>
        <w:t>10、本项目不接受联合体磋商：本项目不接受联合体磋商（提供承诺书）。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西安市自然资源和规划局高陵分局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西安市高陵区鹿苑街道环城东路691号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马茸</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029-86910384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陕西嘉唐建设项目管理有限公司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西安市未央区凤城五路与明光路十字天朗经开中心25楼12501室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廖丽、方丹、贾婵、段冬梅、王梦娜、唐思丹、曾小旦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029-89351397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王碧卿</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采购包1：1,083,000.00元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费管理暂行办法》（计价格[2002]1980号）、国家发展和改革委员会办公厅印发的《关于招标代理服务收费有关问题的通知》（发改办价格[2003]857号）的有关规定执行。 成交单位在领取成交通知书前，须向采购代理机构一次性支付代理服务费。 服务费缴纳信息： 银行户名：陕西嘉唐建设项目管理有限公司 开户银行：西安银行股份有限公司含光门支行 账 号：112011580000141313 联 系 人：王梦娜 联系电话：029-89351397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西安市自然资源和规划局高陵分局</w:t>
      </w:r>
      <w:r>
        <w:rPr>
          <w:rFonts w:ascii="仿宋_GB2312" w:hAnsi="仿宋_GB2312" w:cs="仿宋_GB2312" w:eastAsia="仿宋_GB2312"/>
        </w:rPr>
        <w:t>和</w:t>
      </w:r>
      <w:r>
        <w:rPr>
          <w:rFonts w:ascii="仿宋_GB2312" w:hAnsi="仿宋_GB2312" w:cs="仿宋_GB2312" w:eastAsia="仿宋_GB2312"/>
        </w:rPr>
        <w:t>陕西嘉唐建设项目管理有限公司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西安市自然资源和规划局高陵分局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陕西嘉唐建设项目管理有限公司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西安市自然资源和规划局高陵分局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陕西嘉唐建设项目管理有限公司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符合国家、省、市及地方现行有关规定及行业规范标准，满足采购人要求。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陕西嘉唐建设项目管理有限公司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联系人：廖丽、王梦娜</w:t>
      </w:r>
    </w:p>
    <w:p>
      <w:pPr>
        <w:pStyle w:val="null3"/>
      </w:pPr>
      <w:r>
        <w:rPr>
          <w:rFonts w:ascii="仿宋_GB2312" w:hAnsi="仿宋_GB2312" w:cs="仿宋_GB2312" w:eastAsia="仿宋_GB2312"/>
        </w:rPr>
        <w:t>联系电话：029-89351397</w:t>
      </w:r>
    </w:p>
    <w:p>
      <w:pPr>
        <w:pStyle w:val="null3"/>
      </w:pPr>
      <w:r>
        <w:rPr>
          <w:rFonts w:ascii="仿宋_GB2312" w:hAnsi="仿宋_GB2312" w:cs="仿宋_GB2312" w:eastAsia="仿宋_GB2312"/>
        </w:rPr>
        <w:t>地址：西安市未央区凤城五路与明光路十字天朗经开中心25楼12501室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了响应全市审批新规要求，做好许可服务保障，高质量推进办件实效，依据《一书三证管理实施细则》、《西安市国土空间城镇开发边界内详细规划编制审批管理实施监督暂行规定》、《陕西省自然资源厅关于进一步强化规划许可规范规划实施监督管理的意见》等文件，拟采购地块实施详细规划成果技术审查、建设工程规划设计方案技术审查及规划公示牌小样制作及其它规划技术咨询等第三方服务事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1,083,000.00</w:t>
      </w:r>
    </w:p>
    <w:p>
      <w:pPr>
        <w:pStyle w:val="null3"/>
      </w:pPr>
      <w:r>
        <w:rPr>
          <w:rFonts w:ascii="仿宋_GB2312" w:hAnsi="仿宋_GB2312" w:cs="仿宋_GB2312" w:eastAsia="仿宋_GB2312"/>
        </w:rPr>
        <w:t>采购包最高限价（元）: 1,083,000.00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2026年高陵区规划技术审查及咨询服务项目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1,083,000.00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标的名称：2026年高陵区规划技术审查及咨询服务项目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一、服务内容</w:t>
            </w:r>
          </w:p>
          <w:p>
            <w:pPr>
              <w:pStyle w:val="null3"/>
            </w:pPr>
            <w:r>
              <w:rPr>
                <w:rFonts w:ascii="仿宋_GB2312" w:hAnsi="仿宋_GB2312" w:cs="仿宋_GB2312" w:eastAsia="仿宋_GB2312"/>
              </w:rPr>
              <w:t>1、规划设计方案数据检测。对建设单位按照西安市规划建设项目技术审查规整要求提交的规整数据进行数据标准化检测，使之满足智能审查要求。</w:t>
            </w:r>
          </w:p>
          <w:p>
            <w:pPr>
              <w:pStyle w:val="null3"/>
            </w:pPr>
            <w:r>
              <w:rPr>
                <w:rFonts w:ascii="仿宋_GB2312" w:hAnsi="仿宋_GB2312" w:cs="仿宋_GB2312" w:eastAsia="仿宋_GB2312"/>
              </w:rPr>
              <w:t>2、规划建设用地合规性审查。对于在土地供应阶段或在企业原有用地上建设，未做过合规性审查的项目进行规划建设用地合规性审查。</w:t>
            </w:r>
          </w:p>
          <w:p>
            <w:pPr>
              <w:pStyle w:val="null3"/>
            </w:pPr>
            <w:r>
              <w:rPr>
                <w:rFonts w:ascii="仿宋_GB2312" w:hAnsi="仿宋_GB2312" w:cs="仿宋_GB2312" w:eastAsia="仿宋_GB2312"/>
              </w:rPr>
              <w:t>3、现状建筑审查。对和规划设计方案相关的周边现状建筑的建筑性质、建筑楼位、建筑层数、建筑高度等进行数据准确性审查。</w:t>
            </w:r>
          </w:p>
          <w:p>
            <w:pPr>
              <w:pStyle w:val="null3"/>
            </w:pPr>
            <w:r>
              <w:rPr>
                <w:rFonts w:ascii="仿宋_GB2312" w:hAnsi="仿宋_GB2312" w:cs="仿宋_GB2312" w:eastAsia="仿宋_GB2312"/>
              </w:rPr>
              <w:t>4、实施详细规划成果技术审查。对规划成果开展技术审查，包括成果规范性审查、上位规划符合性审查、技术标准符合性审查、合理性审查，其中规范性审查主要审查规划成果构成是否完整，成果文件的图面表达及内容规范性、图数文一致性等。上位规划符合性审查主要审查是否落实上位规划传导的控制线、用地、设施、指标等。技术标准符合性审查主要审查经济技术指标、地块控制指标、配套设施、交通组织、地下空间、城市设计、建筑控制线等内容的符合性。合理性审查主要审查方案合理性、实施可行性等内容。</w:t>
            </w:r>
          </w:p>
          <w:p>
            <w:pPr>
              <w:pStyle w:val="null3"/>
            </w:pPr>
            <w:r>
              <w:rPr>
                <w:rFonts w:ascii="仿宋_GB2312" w:hAnsi="仿宋_GB2312" w:cs="仿宋_GB2312" w:eastAsia="仿宋_GB2312"/>
              </w:rPr>
              <w:t>5、建设工程规划设计方案技术审查</w:t>
            </w:r>
          </w:p>
          <w:p>
            <w:pPr>
              <w:pStyle w:val="null3"/>
            </w:pPr>
            <w:r>
              <w:rPr>
                <w:rFonts w:ascii="仿宋_GB2312" w:hAnsi="仿宋_GB2312" w:cs="仿宋_GB2312" w:eastAsia="仿宋_GB2312"/>
              </w:rPr>
              <w:t>1）规划设计方案总图审查</w:t>
            </w:r>
          </w:p>
          <w:p>
            <w:pPr>
              <w:pStyle w:val="null3"/>
            </w:pPr>
            <w:r>
              <w:rPr>
                <w:rFonts w:ascii="仿宋_GB2312" w:hAnsi="仿宋_GB2312" w:cs="仿宋_GB2312" w:eastAsia="仿宋_GB2312"/>
              </w:rPr>
              <w:t>核查建设工程规划设计方案各项技术指标是否满足规划条件、国家省市相关技术标准、规范要求。包括不限于各类建（构）物的建筑面积、容积率、建筑密度（建筑系数）、绿地率、停车位、建筑高度、建筑间距、建筑退线以及《西安市居住区规划设计指导意见》等相关内容。</w:t>
            </w:r>
          </w:p>
          <w:p>
            <w:pPr>
              <w:pStyle w:val="null3"/>
            </w:pPr>
            <w:r>
              <w:rPr>
                <w:rFonts w:ascii="仿宋_GB2312" w:hAnsi="仿宋_GB2312" w:cs="仿宋_GB2312" w:eastAsia="仿宋_GB2312"/>
              </w:rPr>
              <w:t>2）规划设计方案建筑单体套图审查</w:t>
            </w:r>
          </w:p>
          <w:p>
            <w:pPr>
              <w:pStyle w:val="null3"/>
            </w:pPr>
            <w:r>
              <w:rPr>
                <w:rFonts w:ascii="仿宋_GB2312" w:hAnsi="仿宋_GB2312" w:cs="仿宋_GB2312" w:eastAsia="仿宋_GB2312"/>
              </w:rPr>
              <w:t>包括不限于建筑性质、面积、建筑高度等内容审查。</w:t>
            </w:r>
          </w:p>
          <w:p>
            <w:pPr>
              <w:pStyle w:val="null3"/>
            </w:pPr>
            <w:r>
              <w:rPr>
                <w:rFonts w:ascii="仿宋_GB2312" w:hAnsi="仿宋_GB2312" w:cs="仿宋_GB2312" w:eastAsia="仿宋_GB2312"/>
              </w:rPr>
              <w:t>3）规划设计方案日照分析报告审查</w:t>
            </w:r>
          </w:p>
          <w:p>
            <w:pPr>
              <w:pStyle w:val="null3"/>
            </w:pPr>
            <w:r>
              <w:rPr>
                <w:rFonts w:ascii="仿宋_GB2312" w:hAnsi="仿宋_GB2312" w:cs="仿宋_GB2312" w:eastAsia="仿宋_GB2312"/>
              </w:rPr>
              <w:t>按照国家、地方行业技术标准、管理规定，在现场踏勘基础上，对日照分析报告进行技术审查，审查内容包括日照分析标准、日照分析软件、日照分析参数、日照分析方法、日照分析主客体范围、日照分析周边资料、日照分析结论、日照分析成果格式等内容。</w:t>
            </w:r>
          </w:p>
          <w:p>
            <w:pPr>
              <w:pStyle w:val="null3"/>
            </w:pPr>
            <w:r>
              <w:rPr>
                <w:rFonts w:ascii="仿宋_GB2312" w:hAnsi="仿宋_GB2312" w:cs="仿宋_GB2312" w:eastAsia="仿宋_GB2312"/>
              </w:rPr>
              <w:t>6、规划公示牌小样制作。对供地和工程规划许可各阶段需要进行规划公示的，按照标准格式进行规划公示牌电子小样制作。</w:t>
            </w:r>
          </w:p>
          <w:p>
            <w:pPr>
              <w:pStyle w:val="null3"/>
            </w:pPr>
            <w:r>
              <w:rPr>
                <w:rFonts w:ascii="仿宋_GB2312" w:hAnsi="仿宋_GB2312" w:cs="仿宋_GB2312" w:eastAsia="仿宋_GB2312"/>
              </w:rPr>
              <w:t>7、</w:t>
            </w:r>
            <w:r>
              <w:rPr>
                <w:rFonts w:ascii="仿宋_GB2312" w:hAnsi="仿宋_GB2312" w:cs="仿宋_GB2312" w:eastAsia="仿宋_GB2312"/>
              </w:rPr>
              <w:t>其他规划</w:t>
            </w:r>
            <w:r>
              <w:rPr>
                <w:rFonts w:ascii="仿宋_GB2312" w:hAnsi="仿宋_GB2312" w:cs="仿宋_GB2312" w:eastAsia="仿宋_GB2312"/>
              </w:rPr>
              <w:t>咨询</w:t>
            </w:r>
            <w:r>
              <w:rPr>
                <w:rFonts w:ascii="仿宋_GB2312" w:hAnsi="仿宋_GB2312" w:cs="仿宋_GB2312" w:eastAsia="仿宋_GB2312"/>
              </w:rPr>
              <w:t>服务</w:t>
            </w:r>
          </w:p>
          <w:p>
            <w:pPr>
              <w:pStyle w:val="null3"/>
            </w:pPr>
            <w:r>
              <w:rPr>
                <w:rFonts w:ascii="仿宋_GB2312" w:hAnsi="仿宋_GB2312" w:cs="仿宋_GB2312" w:eastAsia="仿宋_GB2312"/>
              </w:rPr>
              <w:t>根据分局工作安排，产生的其他规划技术咨询服务工作。</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严格依据国家相关行业标准和规范；陕西省、西安市相关技术规定和政策性文件；项目规划条件书及出让合同等进行审查。</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在合同执行过程中需要服务商应执行的相关服务标准和应当履行的相关义务</w:t>
            </w:r>
            <w:r>
              <w:rPr>
                <w:rFonts w:ascii="仿宋_GB2312" w:hAnsi="仿宋_GB2312" w:cs="仿宋_GB2312" w:eastAsia="仿宋_GB2312"/>
              </w:rPr>
              <w:t>:</w:t>
            </w:r>
          </w:p>
          <w:p>
            <w:pPr>
              <w:pStyle w:val="null3"/>
            </w:pPr>
            <w:r>
              <w:rPr>
                <w:rFonts w:ascii="仿宋_GB2312" w:hAnsi="仿宋_GB2312" w:cs="仿宋_GB2312" w:eastAsia="仿宋_GB2312"/>
              </w:rPr>
              <w:t>1、规划管理范围内房建类新建、改建、扩建及其它需要开展技术审查的建筑工程项目，以及实施详细规划成果报审达到开展技术审查条件的，由经办人将技术审查资料转件至服务单位，进入技术审查程序。</w:t>
            </w:r>
          </w:p>
          <w:p>
            <w:pPr>
              <w:pStyle w:val="null3"/>
            </w:pPr>
            <w:r>
              <w:rPr>
                <w:rFonts w:ascii="仿宋_GB2312" w:hAnsi="仿宋_GB2312" w:cs="仿宋_GB2312" w:eastAsia="仿宋_GB2312"/>
              </w:rPr>
              <w:t>2、配置具有规划、建筑、地理信息、开发(系统、软件)专业背景技术团队，分别承担用地合规性审查、总图审查(规划专业)、建筑单体审查(建筑学专业)、数据质检(地理信息专业数据处理工程师)、软件(系统)服务(软件工程、计算机专业 ) 。</w:t>
            </w:r>
          </w:p>
          <w:p>
            <w:pPr>
              <w:pStyle w:val="null3"/>
            </w:pPr>
            <w:r>
              <w:rPr>
                <w:rFonts w:ascii="仿宋_GB2312" w:hAnsi="仿宋_GB2312" w:cs="仿宋_GB2312" w:eastAsia="仿宋_GB2312"/>
              </w:rPr>
              <w:t>3、服务单位需提供相关系统、软件咨询服务。</w:t>
            </w:r>
          </w:p>
          <w:p>
            <w:pPr>
              <w:pStyle w:val="null3"/>
            </w:pPr>
            <w:r>
              <w:rPr>
                <w:rFonts w:ascii="仿宋_GB2312" w:hAnsi="仿宋_GB2312" w:cs="仿宋_GB2312" w:eastAsia="仿宋_GB2312"/>
              </w:rPr>
              <w:t>4、服务单位需根据资源规划局的要求增加、修改相关系统、软件功能。</w:t>
            </w:r>
          </w:p>
          <w:p>
            <w:pPr>
              <w:pStyle w:val="null3"/>
            </w:pPr>
            <w:r>
              <w:rPr>
                <w:rFonts w:ascii="仿宋_GB2312" w:hAnsi="仿宋_GB2312" w:cs="仿宋_GB2312" w:eastAsia="仿宋_GB2312"/>
              </w:rPr>
              <w:t>5、服务单位需具有软件开发及驻场服务能力。</w:t>
            </w:r>
          </w:p>
          <w:p>
            <w:pPr>
              <w:pStyle w:val="null3"/>
            </w:pPr>
            <w:r>
              <w:rPr>
                <w:rFonts w:ascii="仿宋_GB2312" w:hAnsi="仿宋_GB2312" w:cs="仿宋_GB2312" w:eastAsia="仿宋_GB2312"/>
              </w:rPr>
              <w:t>6、智能审查要求。采用智能机审辅以人工审查的方式开展技术审查工作。</w:t>
            </w:r>
          </w:p>
          <w:p>
            <w:pPr>
              <w:pStyle w:val="null3"/>
            </w:pPr>
            <w:r>
              <w:rPr>
                <w:rFonts w:ascii="仿宋_GB2312" w:hAnsi="仿宋_GB2312" w:cs="仿宋_GB2312" w:eastAsia="仿宋_GB2312"/>
              </w:rPr>
              <w:t>7、全程网办要求。在“西安市建设工程设计方案技术审查系统”平台上开展全过程建设工程设计方案技术审查工作，包括资料受理、审查资料流转、审查成果出具，满足不见面、无纸化审查工作要求。</w:t>
            </w:r>
          </w:p>
          <w:p>
            <w:pPr>
              <w:pStyle w:val="null3"/>
            </w:pPr>
            <w:r>
              <w:rPr>
                <w:rFonts w:ascii="仿宋_GB2312" w:hAnsi="仿宋_GB2312" w:cs="仿宋_GB2312" w:eastAsia="仿宋_GB2312"/>
              </w:rPr>
              <w:t>8、成果加密要求。按指定格式，对审查完成的建设工程设计方案（包括总图、单体图）进行加密签章。</w:t>
            </w:r>
          </w:p>
          <w:p>
            <w:pPr>
              <w:pStyle w:val="null3"/>
            </w:pPr>
            <w:r>
              <w:rPr>
                <w:rFonts w:ascii="仿宋_GB2312" w:hAnsi="仿宋_GB2312" w:cs="仿宋_GB2312" w:eastAsia="仿宋_GB2312"/>
              </w:rPr>
              <w:t>9、配置专职技术负责人 1 名，须持有一级注册建筑师执业资格证及高级工程师职称证书，在西安市自然资源和规划局高陵分局提供驻场技术服务。</w:t>
            </w:r>
          </w:p>
          <w:p>
            <w:pPr>
              <w:pStyle w:val="null3"/>
            </w:pPr>
            <w:r>
              <w:rPr>
                <w:rFonts w:ascii="仿宋_GB2312" w:hAnsi="仿宋_GB2312" w:cs="仿宋_GB2312" w:eastAsia="仿宋_GB2312"/>
              </w:rPr>
              <w:t>10、进度要求</w:t>
            </w:r>
          </w:p>
          <w:p>
            <w:pPr>
              <w:pStyle w:val="null3"/>
            </w:pPr>
            <w:r>
              <w:rPr>
                <w:rFonts w:ascii="仿宋_GB2312" w:hAnsi="仿宋_GB2312" w:cs="仿宋_GB2312" w:eastAsia="仿宋_GB2312"/>
              </w:rPr>
              <w:t>实施详细规划成果技术审查时限为一个地块乙方技术审查用时三个工作日</w:t>
            </w:r>
            <w:r>
              <w:rPr>
                <w:rFonts w:ascii="仿宋_GB2312" w:hAnsi="仿宋_GB2312" w:cs="仿宋_GB2312" w:eastAsia="仿宋_GB2312"/>
              </w:rPr>
              <w:t>(补充资料、修改图纸时间不计入)，建设工程规划设计方案技术审查、日照分析审查时限为三个工作日(补充资料、修改图纸时间不计入)，规划公示牌小样制作成果用时一个工作日</w:t>
            </w:r>
            <w:r>
              <w:rPr>
                <w:rFonts w:ascii="仿宋_GB2312" w:hAnsi="仿宋_GB2312" w:cs="仿宋_GB2312" w:eastAsia="仿宋_GB2312"/>
              </w:rPr>
              <w:t>。</w:t>
            </w:r>
            <w:r>
              <w:rPr>
                <w:rFonts w:ascii="仿宋_GB2312" w:hAnsi="仿宋_GB2312" w:cs="仿宋_GB2312" w:eastAsia="仿宋_GB2312"/>
              </w:rPr>
              <w:t>其它规划技术咨询服务根据实际情况经双方协商一致后确认时间</w:t>
            </w:r>
            <w:r>
              <w:rPr>
                <w:rFonts w:ascii="仿宋_GB2312" w:hAnsi="仿宋_GB2312" w:cs="仿宋_GB2312" w:eastAsia="仿宋_GB2312"/>
              </w:rPr>
              <w:t>。</w:t>
            </w:r>
            <w:r>
              <w:rPr>
                <w:rFonts w:ascii="仿宋_GB2312" w:hAnsi="仿宋_GB2312" w:cs="仿宋_GB2312" w:eastAsia="仿宋_GB2312"/>
              </w:rPr>
              <w:t>为如遇项目情况较为复杂或其他特殊情况，</w:t>
            </w:r>
            <w:r>
              <w:rPr>
                <w:rFonts w:ascii="仿宋_GB2312" w:hAnsi="仿宋_GB2312" w:cs="仿宋_GB2312" w:eastAsia="仿宋_GB2312"/>
              </w:rPr>
              <w:t>经双方协商一致后，乙方可适当增加审查用时。</w:t>
            </w:r>
          </w:p>
          <w:p>
            <w:pPr>
              <w:pStyle w:val="null3"/>
            </w:pPr>
            <w:r>
              <w:rPr>
                <w:rFonts w:ascii="仿宋_GB2312" w:hAnsi="仿宋_GB2312" w:cs="仿宋_GB2312" w:eastAsia="仿宋_GB2312"/>
              </w:rPr>
              <w:t>11、成果交付要求</w:t>
            </w:r>
          </w:p>
          <w:p>
            <w:pPr>
              <w:pStyle w:val="null3"/>
            </w:pPr>
            <w:r>
              <w:rPr>
                <w:rFonts w:ascii="仿宋_GB2312" w:hAnsi="仿宋_GB2312" w:cs="仿宋_GB2312" w:eastAsia="仿宋_GB2312"/>
              </w:rPr>
              <w:t>实施详细规划成果技术审查成果为《地块实施详细规划成果技术审查报告》，建设工程规划设计方案技术审查成果为《建设工程规划设计方案技术审查意见书》，日照分析审查成果为《规划设计方案日照分析报告复核意见书》，规划建设用地合规性审查成果为《建设项目规划合规性技术审查表》，规划公示牌小样制作成果为公示牌电子小样。</w:t>
            </w:r>
            <w:r>
              <w:rPr>
                <w:rFonts w:ascii="仿宋_GB2312" w:hAnsi="仿宋_GB2312" w:cs="仿宋_GB2312" w:eastAsia="仿宋_GB2312"/>
              </w:rPr>
              <w:t>其它规划技术咨询服务成果根据规范编制要求出具成果。</w:t>
            </w:r>
          </w:p>
          <w:p>
            <w:pPr>
              <w:pStyle w:val="null3"/>
            </w:pPr>
            <w:r>
              <w:rPr>
                <w:rFonts w:ascii="仿宋_GB2312" w:hAnsi="仿宋_GB2312" w:cs="仿宋_GB2312" w:eastAsia="仿宋_GB2312"/>
              </w:rPr>
              <w:t>12、质量验收标准或规范</w:t>
            </w:r>
          </w:p>
          <w:p>
            <w:pPr>
              <w:pStyle w:val="null3"/>
            </w:pPr>
            <w:r>
              <w:rPr>
                <w:rFonts w:ascii="仿宋_GB2312" w:hAnsi="仿宋_GB2312" w:cs="仿宋_GB2312" w:eastAsia="仿宋_GB2312"/>
                <w:sz w:val="21"/>
              </w:rPr>
              <w:t>国家相关行业标准和规范</w:t>
            </w:r>
            <w:r>
              <w:rPr>
                <w:rFonts w:ascii="仿宋_GB2312" w:hAnsi="仿宋_GB2312" w:cs="仿宋_GB2312" w:eastAsia="仿宋_GB2312"/>
                <w:sz w:val="21"/>
              </w:rPr>
              <w:t>;陕西省、西安市相关技术规定和政策性文件;项目规划条件书及出让合同。</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合同履行期限为合同签订日之后一年，或将预算使用完。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符合国家、省、市及地方现行有关规定及行业规范标准，满足采购人要求。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半年，乙方提交已完成审查的实施详细规划地块数量、建设工程规划设计方案审查面积、规划公示牌小样制作、规划技术咨询服务成果等工作量总结的书面文件给甲方。甲方收到书面文件审核无异议后，根据单价和实际完成审查项目一个月内支付费用，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本项目报价方式为单价。单价限价： 1.建设工程设计方案技术审查(含遗留项目建设工程方案技术审查)包含总图审查、单体审查及日照分析报告审查。最终以实际审查项目总建筑面积核算，单价限价:￥0.4元/㎡。 2.实施详细规划审查以提交审查项目个数核算，单价限价：20000元/个。 3.公示牌小样制作以提交正式小样个数核算，单价限价:800元/个。 备注：磋商报价报单价合计金额。4.规划咨询类收费：根据《国家计委（计价格[2001]1218号）文规定，城市规划技术咨询服务费用实行甲乙双方议价。根据中国城市规划协会《城市规划设计计费指导意见》（2004年6月）、《城乡规划设计计费指导意见（2017版征求意见稿）》及《西安市加强国土空间详细规划、实施详细规划、宗地规划许可和“规土评让”一体化组织管理及相关规划计费指引(试行)》市资源发〔2025〕127号文，同一收费项目在2004版计费标准与2017版计费标准中并存时，计费标准按“就低”原则执行，该规划技术咨询服务费用根据项目发生量据实结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2025年度完整有效的财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提交响应文件截止时间前6个月内已缴存的至少一个月的社会保障资金缴存单据或社保机构开具的社会保险参保缴费情况证明，依法不需要缴纳社会保障资金的单位应提供相关证明材料；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履行合同的能力</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前三年内无重大违法记录的声明</w:t>
            </w:r>
          </w:p>
        </w:tc>
        <w:tc>
          <w:tcPr>
            <w:tcW w:type="dxa" w:w="3322"/>
          </w:tcPr>
          <w:p>
            <w:pPr>
              <w:pStyle w:val="null3"/>
            </w:pPr>
            <w:r>
              <w:rPr>
                <w:rFonts w:ascii="仿宋_GB2312" w:hAnsi="仿宋_GB2312" w:cs="仿宋_GB2312" w:eastAsia="仿宋_GB2312"/>
              </w:rPr>
              <w:t>参加政府采购活动前3年内，在经营活动中没有重大违法记录（提供书面声明）；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法定代表人授权书（附法定代表人、被授权人身份证复印件）及被授权人身份证复印件（法定代表人直接参加磋商，须提供法定代表人身份证明书）；非法人单位参照执行；</w:t>
            </w:r>
          </w:p>
        </w:tc>
        <w:tc>
          <w:tcPr>
            <w:tcW w:type="dxa" w:w="1661"/>
          </w:tcPr>
          <w:p>
            <w:pPr>
              <w:pStyle w:val="null3"/>
            </w:pPr>
            <w:r>
              <w:rPr>
                <w:rFonts w:ascii="仿宋_GB2312" w:hAnsi="仿宋_GB2312" w:cs="仿宋_GB2312" w:eastAsia="仿宋_GB2312"/>
              </w:rPr>
              <w:t>供应商应提交的相关资格证明材料 法定代表人授权委托书.docx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应在信用中国（www.creditchina.gov.cn）未被列入重大税收违法失信主体、在中国执行信息公开网（http://zxgk.court.gov.cn/）中未被列入失信被执行人及在中国政府采购网（www.ccgp.gov.cn）未被列入政府采购严重违法失信行为记录名单（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供应商须具备政府行政主管部门颁发的有效期内的城乡规划编制乙级或以上资质证书；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响应文件封面、响应函两处的项目名称</w:t>
            </w:r>
          </w:p>
        </w:tc>
        <w:tc>
          <w:tcPr>
            <w:tcW w:type="dxa" w:w="3322"/>
          </w:tcPr>
          <w:p>
            <w:pPr>
              <w:pStyle w:val="null3"/>
            </w:pPr>
            <w:r>
              <w:rPr>
                <w:rFonts w:ascii="仿宋_GB2312" w:hAnsi="仿宋_GB2312" w:cs="仿宋_GB2312" w:eastAsia="仿宋_GB2312"/>
              </w:rPr>
              <w:t>两处均无遗漏，且与项目名称完全一致。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供应商承诺书.docx 响应文件封面 分项报价表.docx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响应文件组成</w:t>
            </w:r>
          </w:p>
        </w:tc>
        <w:tc>
          <w:tcPr>
            <w:tcW w:type="dxa" w:w="3322"/>
          </w:tcPr>
          <w:p>
            <w:pPr>
              <w:pStyle w:val="null3"/>
            </w:pPr>
            <w:r>
              <w:rPr>
                <w:rFonts w:ascii="仿宋_GB2312" w:hAnsi="仿宋_GB2312" w:cs="仿宋_GB2312" w:eastAsia="仿宋_GB2312"/>
              </w:rPr>
              <w:t>按照磋商文件格式编写</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供应商承诺书.docx 响应文件封面 分项报价表.docx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响应内容的完整性</w:t>
            </w:r>
          </w:p>
        </w:tc>
        <w:tc>
          <w:tcPr>
            <w:tcW w:type="dxa" w:w="3322"/>
          </w:tcPr>
          <w:p>
            <w:pPr>
              <w:pStyle w:val="null3"/>
            </w:pPr>
            <w:r>
              <w:rPr>
                <w:rFonts w:ascii="仿宋_GB2312" w:hAnsi="仿宋_GB2312" w:cs="仿宋_GB2312" w:eastAsia="仿宋_GB2312"/>
              </w:rPr>
              <w:t>响应文件内容未出现漏项或数量与要求不符</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供应商承诺书.docx 响应文件封面 分项报价表.docx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符合磋商文件要求 1.报价符合唯一性要求； 2.未超出磋商文件规定的最高限价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完全理解并接受法律法规和竞争性磋商文件对供应商合法经营的各类规约和责任义务要求，没有出现法律法规或竞争性磋商文件规定的其他无效情形</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供应商承诺书.docx 响应文件封面 分项报价表.docx 残疾人福利性单位声明函 服务方案 标的清单 响应函 法定代表人授权委托书.docx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项目理解与分析</w:t>
            </w:r>
          </w:p>
        </w:tc>
        <w:tc>
          <w:tcPr>
            <w:tcW w:type="dxa" w:w="2492"/>
          </w:tcPr>
          <w:p>
            <w:pPr>
              <w:pStyle w:val="null3"/>
            </w:pPr>
            <w:r>
              <w:rPr>
                <w:rFonts w:ascii="仿宋_GB2312" w:hAnsi="仿宋_GB2312" w:cs="仿宋_GB2312" w:eastAsia="仿宋_GB2312"/>
              </w:rPr>
              <w:t>一、评审内容：供应商针对本项目提出具体的分析内容，内容包括：①项目理解②需求分析③项目重难点分析 。 二、评审标准 1、完整性：内容须全面，对评审内容中的各项要求有详细描述；2、可实施性：切合本项目实际情况，步骤清晰、合理；3、针对性：内容能够紧扣本项目所采购服务实际情况，内容科学合理。 三、赋分依据（满分9分）上述3项评审内容，共9分。每项评审内容满分为3分，每项评审内容满足一项评审标准得1分；每有一项评审内容的评审标准存在缺陷，扣0.5分。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一、评审内容：供应商针对本项目提出具体的分析内容，内容包括：①总体工作方案②项目实施计划③组织实施方案 。 二、评审标准 1、完整性：内容须全面，对评审内容中的各项要求有详细描述；2、可实施性：切合本项目实际情况，步骤清晰、合理；3、针对性：内容能够紧扣本项目所采购服务实际情况，内容科学合理。 三、赋分依据（满分9分）上述3项评审内容，共9分。每项评审内容满分为3分，每项评审内容满足一项评审标准得1分；每有一项评审内容的评审标准存在缺陷，扣0.5分。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管理措施</w:t>
            </w:r>
          </w:p>
        </w:tc>
        <w:tc>
          <w:tcPr>
            <w:tcW w:type="dxa" w:w="2492"/>
          </w:tcPr>
          <w:p>
            <w:pPr>
              <w:pStyle w:val="null3"/>
            </w:pPr>
            <w:r>
              <w:rPr>
                <w:rFonts w:ascii="仿宋_GB2312" w:hAnsi="仿宋_GB2312" w:cs="仿宋_GB2312" w:eastAsia="仿宋_GB2312"/>
              </w:rPr>
              <w:t>一、评审内容：供应商针对本项目提出具体的分析内容，内容包括：①质量保证措施②进度控制措施。 二、评审标准 1、完整性：内容须全面，对评审内容中的各项要求有详细描述；2、可实施性：切合本项目实际情况，步骤清晰、合理；3、针对性：内容能够紧扣本项目所采购服务实际情况，内容科学合理。 三、赋分依据（满分6分）上述3项评审内容，共6分。每项评审内容满分为3分，每项评审内容满足一项评审标准得1分；每有一项评审内容的评审标准存在缺陷，扣0.5分。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智能化审查实施方案</w:t>
            </w:r>
          </w:p>
        </w:tc>
        <w:tc>
          <w:tcPr>
            <w:tcW w:type="dxa" w:w="2492"/>
          </w:tcPr>
          <w:p>
            <w:pPr>
              <w:pStyle w:val="null3"/>
            </w:pPr>
            <w:r>
              <w:rPr>
                <w:rFonts w:ascii="仿宋_GB2312" w:hAnsi="仿宋_GB2312" w:cs="仿宋_GB2312" w:eastAsia="仿宋_GB2312"/>
              </w:rPr>
              <w:t>一、评审内容：①智能化审查目标及原则②智能化审查流程③人机协作机制④系统互联互通， 二、评审标准 1、完整性：内容须全面，对评审内容中的各项要求有详细描述；2、可实施性：切合本项目实际情况，步骤清晰、合理；3、针对性：内容能够紧扣本项目所采购服务实际情况，内容科学合理。 三、赋分依据（满分12分）上述4项评审内容，共12分。每项评审内容满分为3分，每项评审内容满足一项评审标准得1分；每有一项评审内容的评审标准存在缺陷，扣0.5分。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后续技术服务方案及措施</w:t>
            </w:r>
          </w:p>
        </w:tc>
        <w:tc>
          <w:tcPr>
            <w:tcW w:type="dxa" w:w="2492"/>
          </w:tcPr>
          <w:p>
            <w:pPr>
              <w:pStyle w:val="null3"/>
            </w:pPr>
            <w:r>
              <w:rPr>
                <w:rFonts w:ascii="仿宋_GB2312" w:hAnsi="仿宋_GB2312" w:cs="仿宋_GB2312" w:eastAsia="仿宋_GB2312"/>
              </w:rPr>
              <w:t>一、评审内容：①售后服务方案②服务承诺 二、评审标准 1、完整性：内容须全面，对评审内容中的各项要求有详细描述；2、可实施性：切合本项目实际情况，步骤清晰、合理。 三、赋分依据（满分4分）上述2项评审内容，共4分。每项评审内容满分为2分，每项评审内容满足一项评审标准得1分；每有一项评审内容的评审标准存在缺陷，扣0.5分。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管理体系</w:t>
            </w:r>
          </w:p>
        </w:tc>
        <w:tc>
          <w:tcPr>
            <w:tcW w:type="dxa" w:w="2492"/>
          </w:tcPr>
          <w:p>
            <w:pPr>
              <w:pStyle w:val="null3"/>
            </w:pPr>
            <w:r>
              <w:rPr>
                <w:rFonts w:ascii="仿宋_GB2312" w:hAnsi="仿宋_GB2312" w:cs="仿宋_GB2312" w:eastAsia="仿宋_GB2312"/>
              </w:rPr>
              <w:t>供应商具有 ISO9001 质量管理体系认证证书(覆盖的产品和服务须包含计算机软件开发、信息技术服务等)、ISO14001 环境管理体系认证证书(须适用于计算机软件开发、信息技术服务及相关管理活动等)ISO45001 职业健康安全管理体系认证证书(须适用于计算机软件开发、信息技术服务及相关管理活动等)，具有任意一个得2分，最高得6分。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项目总负责人</w:t>
            </w:r>
          </w:p>
        </w:tc>
        <w:tc>
          <w:tcPr>
            <w:tcW w:type="dxa" w:w="2492"/>
          </w:tcPr>
          <w:p>
            <w:pPr>
              <w:pStyle w:val="null3"/>
            </w:pPr>
            <w:r>
              <w:rPr>
                <w:rFonts w:ascii="仿宋_GB2312" w:hAnsi="仿宋_GB2312" w:cs="仿宋_GB2312" w:eastAsia="仿宋_GB2312"/>
              </w:rPr>
              <w:t>1.拟定项目总负责人具备规划类中级职称的得2分，高级职称的得4分；2.有国家注册城乡规划师职业资格的，得2分。（项目总负责人与数据负责人不为同一人）。 （评审依据：提供项目人员职称证书、资格证书复印件，无提供不得分；提供的人员须在本单位工作，以提供开标前6个月内至少一个月社保证明为准，否则此项不得分。）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数据专项负责人</w:t>
            </w:r>
          </w:p>
        </w:tc>
        <w:tc>
          <w:tcPr>
            <w:tcW w:type="dxa" w:w="2492"/>
          </w:tcPr>
          <w:p>
            <w:pPr>
              <w:pStyle w:val="null3"/>
            </w:pPr>
            <w:r>
              <w:rPr>
                <w:rFonts w:ascii="仿宋_GB2312" w:hAnsi="仿宋_GB2312" w:cs="仿宋_GB2312" w:eastAsia="仿宋_GB2312"/>
              </w:rPr>
              <w:t>1.数据负责人为地理信息专业（包括地理信息、测绘）高级职称得4分，中级职称得2分，未提供不得分（项目总负责人与数据负责人不为同一人）。 2.数据负责人具备注册测绘师职业资格得2分，未提供不得分。 （评审依据：提供项目人员职称证书、资格证书复印件，无提供不得分；提供的人员须在本单位工作，以提供开标前6个月内至少一个月社保证明为准，否则此项不得分。）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项目组整体人员配备</w:t>
            </w:r>
          </w:p>
        </w:tc>
        <w:tc>
          <w:tcPr>
            <w:tcW w:type="dxa" w:w="2492"/>
          </w:tcPr>
          <w:p>
            <w:pPr>
              <w:pStyle w:val="null3"/>
            </w:pPr>
            <w:r>
              <w:rPr>
                <w:rFonts w:ascii="仿宋_GB2312" w:hAnsi="仿宋_GB2312" w:cs="仿宋_GB2312" w:eastAsia="仿宋_GB2312"/>
              </w:rPr>
              <w:t>1.常驻技术服务人员1人以上（含1人）（不含项目总负责人，数据负责人），有国家注册城乡规划师或国家注册一级建筑师职业资格及高级工程师职称证书的，得3分。 （提供相关证明资料及提供的人员须在本单位工作，以提供开标前6个月内至少一个月社保证明为准）。 2.拟投入项目团队人员（不含项目总负责人，数据负责人和常驻技术服务人员）项目组成员每提供一名具有注册城乡规划师或一级注册建筑师职业资格的得1分，最高得4分。 3.项目组成员专业（以毕业证为准）涵盖城市（乡）规划、建筑学、人文地理、土地资源管理、地理信息系统、风景园林、计算机科学与技术等相关专业，每涵盖上述一个专业得1分，最高得5分。 （提供相关证明资料及近6个月内缴纳社保证明复印件加盖公章）。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8月1日类似项目业绩，以供应商提供的合同或中标（成交）通知书复印件（或扫描件）为准（日期以合同签订时间或中标（成交）通知书时间为准），每提供一份得4分，满分20分；未提供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以最后磋商报价最低的报价为评审基准价，其价格分为满分。其他供应商的价格分统一按照下列公式计算：磋商报价得分=（磋商基准价/磋商评审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