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80E2E">
      <w:pPr>
        <w:autoSpaceDE/>
        <w:autoSpaceDN/>
        <w:spacing w:line="224" w:lineRule="auto"/>
        <w:jc w:val="center"/>
        <w:outlineLvl w:val="0"/>
        <w:rPr>
          <w:rFonts w:hint="eastAsia" w:ascii="方正小标宋简体" w:hAnsi="方正小标宋简体" w:eastAsia="方正小标宋简体" w:cs="方正小标宋简体"/>
          <w:bCs/>
          <w:color w:val="000000" w:themeColor="text1"/>
          <w:spacing w:val="-23"/>
          <w:w w:val="95"/>
          <w:sz w:val="52"/>
          <w:szCs w:val="52"/>
          <w:highlight w:val="none"/>
          <w:lang w:eastAsia="zh-CN"/>
          <w14:textFill>
            <w14:solidFill>
              <w14:schemeClr w14:val="tx1"/>
            </w14:solidFill>
          </w14:textFill>
        </w:rPr>
      </w:pPr>
      <w:r>
        <w:rPr>
          <w:rFonts w:hint="eastAsia" w:ascii="方正小标宋简体" w:hAnsi="方正小标宋简体" w:eastAsia="方正小标宋简体" w:cs="方正小标宋简体"/>
          <w:bCs/>
          <w:color w:val="000000" w:themeColor="text1"/>
          <w:spacing w:val="-23"/>
          <w:w w:val="95"/>
          <w:sz w:val="52"/>
          <w:szCs w:val="52"/>
          <w:highlight w:val="none"/>
          <w:lang w:eastAsia="zh-CN"/>
          <w14:textFill>
            <w14:solidFill>
              <w14:schemeClr w14:val="tx1"/>
            </w14:solidFill>
          </w14:textFill>
        </w:rPr>
        <w:t>西安市自然资源和规划局</w:t>
      </w:r>
      <w:r>
        <w:rPr>
          <w:rFonts w:hint="eastAsia" w:ascii="方正小标宋简体" w:hAnsi="方正小标宋简体" w:eastAsia="方正小标宋简体" w:cs="方正小标宋简体"/>
          <w:bCs/>
          <w:color w:val="000000" w:themeColor="text1"/>
          <w:spacing w:val="-23"/>
          <w:w w:val="95"/>
          <w:sz w:val="52"/>
          <w:szCs w:val="52"/>
          <w:highlight w:val="none"/>
          <w:lang w:val="en-US" w:eastAsia="zh-CN"/>
          <w14:textFill>
            <w14:solidFill>
              <w14:schemeClr w14:val="tx1"/>
            </w14:solidFill>
          </w14:textFill>
        </w:rPr>
        <w:t>高陵</w:t>
      </w:r>
      <w:r>
        <w:rPr>
          <w:rFonts w:hint="eastAsia" w:ascii="方正小标宋简体" w:hAnsi="方正小标宋简体" w:eastAsia="方正小标宋简体" w:cs="方正小标宋简体"/>
          <w:bCs/>
          <w:color w:val="000000" w:themeColor="text1"/>
          <w:spacing w:val="-23"/>
          <w:w w:val="95"/>
          <w:sz w:val="52"/>
          <w:szCs w:val="52"/>
          <w:highlight w:val="none"/>
          <w:lang w:eastAsia="zh-CN"/>
          <w14:textFill>
            <w14:solidFill>
              <w14:schemeClr w14:val="tx1"/>
            </w14:solidFill>
          </w14:textFill>
        </w:rPr>
        <w:t>分局</w:t>
      </w:r>
    </w:p>
    <w:p w14:paraId="5103D91A">
      <w:pPr>
        <w:widowControl/>
        <w:autoSpaceDE/>
        <w:autoSpaceDN/>
        <w:spacing w:line="224" w:lineRule="auto"/>
        <w:jc w:val="center"/>
        <w:outlineLvl w:val="0"/>
        <w:rPr>
          <w:rFonts w:hint="eastAsia" w:ascii="方正小标宋简体" w:hAnsi="方正小标宋简体" w:eastAsia="方正小标宋简体" w:cs="方正小标宋简体"/>
          <w:bCs/>
          <w:color w:val="000000" w:themeColor="text1"/>
          <w:spacing w:val="-23"/>
          <w:w w:val="95"/>
          <w:sz w:val="52"/>
          <w:szCs w:val="52"/>
          <w:highlight w:val="none"/>
          <w:lang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pacing w:val="-23"/>
          <w:w w:val="95"/>
          <w:sz w:val="52"/>
          <w:szCs w:val="52"/>
          <w:highlight w:val="none"/>
          <w:lang w:val="en-US" w:eastAsia="zh-CN"/>
          <w14:textFill>
            <w14:solidFill>
              <w14:schemeClr w14:val="tx1"/>
            </w14:solidFill>
          </w14:textFill>
        </w:rPr>
        <w:t>2026年高陵区规划技术审查及咨询服务项目</w:t>
      </w:r>
    </w:p>
    <w:p w14:paraId="0127AE3E">
      <w:pPr>
        <w:autoSpaceDE/>
        <w:autoSpaceDN/>
        <w:spacing w:line="224" w:lineRule="auto"/>
        <w:jc w:val="center"/>
        <w:outlineLvl w:val="0"/>
        <w:rPr>
          <w:rFonts w:hint="eastAsia" w:ascii="方正小标宋简体" w:hAnsi="方正小标宋简体" w:eastAsia="方正小标宋简体" w:cs="方正小标宋简体"/>
          <w:bCs/>
          <w:color w:val="000000" w:themeColor="text1"/>
          <w:spacing w:val="-24"/>
          <w:sz w:val="52"/>
          <w:szCs w:val="52"/>
          <w:highlight w:val="none"/>
          <w:lang w:eastAsia="zh-CN"/>
          <w14:textFill>
            <w14:solidFill>
              <w14:schemeClr w14:val="tx1"/>
            </w14:solidFill>
          </w14:textFill>
        </w:rPr>
      </w:pPr>
    </w:p>
    <w:p w14:paraId="33D55419">
      <w:pPr>
        <w:pStyle w:val="3"/>
        <w:spacing w:line="252" w:lineRule="auto"/>
        <w:rPr>
          <w:color w:val="000000" w:themeColor="text1"/>
          <w:highlight w:val="none"/>
          <w:lang w:eastAsia="zh-CN"/>
          <w14:textFill>
            <w14:solidFill>
              <w14:schemeClr w14:val="tx1"/>
            </w14:solidFill>
          </w14:textFill>
        </w:rPr>
      </w:pPr>
    </w:p>
    <w:p w14:paraId="470DA597">
      <w:pPr>
        <w:pStyle w:val="3"/>
        <w:spacing w:line="252" w:lineRule="auto"/>
        <w:rPr>
          <w:color w:val="000000" w:themeColor="text1"/>
          <w:highlight w:val="none"/>
          <w:lang w:eastAsia="zh-CN"/>
          <w14:textFill>
            <w14:solidFill>
              <w14:schemeClr w14:val="tx1"/>
            </w14:solidFill>
          </w14:textFill>
        </w:rPr>
      </w:pPr>
    </w:p>
    <w:p w14:paraId="4FB009B4">
      <w:pPr>
        <w:pStyle w:val="3"/>
        <w:spacing w:line="252" w:lineRule="auto"/>
        <w:rPr>
          <w:color w:val="000000" w:themeColor="text1"/>
          <w:highlight w:val="none"/>
          <w:lang w:eastAsia="zh-CN"/>
          <w14:textFill>
            <w14:solidFill>
              <w14:schemeClr w14:val="tx1"/>
            </w14:solidFill>
          </w14:textFill>
        </w:rPr>
      </w:pPr>
    </w:p>
    <w:p w14:paraId="4B6CE24A">
      <w:pPr>
        <w:pStyle w:val="3"/>
        <w:spacing w:line="252" w:lineRule="auto"/>
        <w:rPr>
          <w:color w:val="000000" w:themeColor="text1"/>
          <w:highlight w:val="none"/>
          <w:lang w:eastAsia="zh-CN"/>
          <w14:textFill>
            <w14:solidFill>
              <w14:schemeClr w14:val="tx1"/>
            </w14:solidFill>
          </w14:textFill>
        </w:rPr>
      </w:pPr>
    </w:p>
    <w:p w14:paraId="08597DEE">
      <w:pPr>
        <w:pStyle w:val="3"/>
        <w:spacing w:line="252" w:lineRule="auto"/>
        <w:rPr>
          <w:color w:val="000000" w:themeColor="text1"/>
          <w:highlight w:val="none"/>
          <w:lang w:eastAsia="zh-CN"/>
          <w14:textFill>
            <w14:solidFill>
              <w14:schemeClr w14:val="tx1"/>
            </w14:solidFill>
          </w14:textFill>
        </w:rPr>
      </w:pPr>
    </w:p>
    <w:p w14:paraId="71B9458B">
      <w:pPr>
        <w:pStyle w:val="3"/>
        <w:spacing w:line="252" w:lineRule="auto"/>
        <w:rPr>
          <w:color w:val="000000" w:themeColor="text1"/>
          <w:highlight w:val="none"/>
          <w:lang w:eastAsia="zh-CN"/>
          <w14:textFill>
            <w14:solidFill>
              <w14:schemeClr w14:val="tx1"/>
            </w14:solidFill>
          </w14:textFill>
        </w:rPr>
      </w:pPr>
    </w:p>
    <w:p w14:paraId="6C40D8B1">
      <w:pPr>
        <w:pStyle w:val="3"/>
        <w:spacing w:line="252" w:lineRule="auto"/>
        <w:rPr>
          <w:color w:val="000000" w:themeColor="text1"/>
          <w:highlight w:val="none"/>
          <w:lang w:eastAsia="zh-CN"/>
          <w14:textFill>
            <w14:solidFill>
              <w14:schemeClr w14:val="tx1"/>
            </w14:solidFill>
          </w14:textFill>
        </w:rPr>
      </w:pPr>
    </w:p>
    <w:p w14:paraId="516F476F">
      <w:pPr>
        <w:pStyle w:val="3"/>
        <w:spacing w:line="359" w:lineRule="auto"/>
        <w:rPr>
          <w:rFonts w:ascii="仿宋_GB2312" w:hAnsi="仿宋_GB2312" w:eastAsia="仿宋_GB2312" w:cs="仿宋_GB2312"/>
          <w:color w:val="000000" w:themeColor="text1"/>
          <w:sz w:val="32"/>
          <w:szCs w:val="32"/>
          <w:highlight w:val="none"/>
          <w:lang w:eastAsia="zh-CN"/>
          <w14:textFill>
            <w14:solidFill>
              <w14:schemeClr w14:val="tx1"/>
            </w14:solidFill>
          </w14:textFill>
        </w:rPr>
      </w:pPr>
    </w:p>
    <w:p w14:paraId="03210922">
      <w:pPr>
        <w:pStyle w:val="3"/>
        <w:spacing w:line="359" w:lineRule="auto"/>
        <w:rPr>
          <w:rFonts w:ascii="仿宋_GB2312" w:hAnsi="仿宋_GB2312" w:eastAsia="仿宋_GB2312" w:cs="仿宋_GB2312"/>
          <w:color w:val="000000" w:themeColor="text1"/>
          <w:sz w:val="32"/>
          <w:szCs w:val="32"/>
          <w:highlight w:val="none"/>
          <w:lang w:eastAsia="zh-CN"/>
          <w14:textFill>
            <w14:solidFill>
              <w14:schemeClr w14:val="tx1"/>
            </w14:solidFill>
          </w14:textFill>
        </w:rPr>
      </w:pPr>
    </w:p>
    <w:p w14:paraId="093734C6">
      <w:pPr>
        <w:spacing w:before="100" w:line="225" w:lineRule="auto"/>
        <w:ind w:left="627"/>
        <w:jc w:val="center"/>
        <w:rPr>
          <w:rFonts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18"/>
          <w:position w:val="1"/>
          <w:sz w:val="32"/>
          <w:szCs w:val="32"/>
          <w:highlight w:val="none"/>
          <w:lang w:eastAsia="zh-CN"/>
          <w14:textFill>
            <w14:solidFill>
              <w14:schemeClr w14:val="tx1"/>
            </w14:solidFill>
          </w14:textFill>
        </w:rPr>
        <w:t>甲</w:t>
      </w:r>
      <w:r>
        <w:rPr>
          <w:rFonts w:hint="eastAsia" w:ascii="仿宋_GB2312" w:hAnsi="仿宋_GB2312" w:eastAsia="仿宋_GB2312" w:cs="仿宋_GB2312"/>
          <w:color w:val="000000" w:themeColor="text1"/>
          <w:spacing w:val="18"/>
          <w:position w:val="1"/>
          <w:sz w:val="32"/>
          <w:szCs w:val="32"/>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8"/>
          <w:position w:val="1"/>
          <w:sz w:val="32"/>
          <w:szCs w:val="32"/>
          <w:highlight w:val="none"/>
          <w:lang w:eastAsia="zh-CN"/>
          <w14:textFill>
            <w14:solidFill>
              <w14:schemeClr w14:val="tx1"/>
            </w14:solidFill>
          </w14:textFill>
        </w:rPr>
        <w:t>方：</w:t>
      </w:r>
      <w:r>
        <w:rPr>
          <w:rFonts w:hint="eastAsia" w:ascii="仿宋_GB2312" w:hAnsi="仿宋_GB2312" w:eastAsia="仿宋_GB2312" w:cs="仿宋_GB2312"/>
          <w:color w:val="000000" w:themeColor="text1"/>
          <w:spacing w:val="18"/>
          <w:position w:val="1"/>
          <w:sz w:val="32"/>
          <w:szCs w:val="32"/>
          <w:highlight w:val="none"/>
          <w:u w:val="singl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highlight w:val="none"/>
          <w:u w:val="single"/>
          <w:lang w:eastAsia="zh-CN"/>
          <w14:textFill>
            <w14:solidFill>
              <w14:schemeClr w14:val="tx1"/>
            </w14:solidFill>
          </w14:textFill>
        </w:rPr>
        <w:t>西安市自然资源和规划局高陵</w:t>
      </w:r>
      <w:r>
        <w:rPr>
          <w:rFonts w:hint="eastAsia" w:ascii="Times New Roman" w:hAnsi="Times New Roman" w:eastAsia="仿宋_GB2312" w:cs="Times New Roman"/>
          <w:color w:val="000000" w:themeColor="text1"/>
          <w:sz w:val="32"/>
          <w:szCs w:val="32"/>
          <w:highlight w:val="none"/>
          <w:u w:val="single"/>
          <w:lang w:val="en-US" w:eastAsia="zh-CN"/>
          <w14:textFill>
            <w14:solidFill>
              <w14:schemeClr w14:val="tx1"/>
            </w14:solidFill>
          </w14:textFill>
        </w:rPr>
        <w:t xml:space="preserve">分局 </w:t>
      </w:r>
      <w:r>
        <w:rPr>
          <w:rFonts w:hint="eastAsia" w:ascii="仿宋_GB2312" w:hAnsi="仿宋_GB2312" w:eastAsia="仿宋_GB2312" w:cs="仿宋_GB2312"/>
          <w:color w:val="000000" w:themeColor="text1"/>
          <w:spacing w:val="18"/>
          <w:sz w:val="32"/>
          <w:szCs w:val="32"/>
          <w:highlight w:val="none"/>
          <w:lang w:eastAsia="zh-CN"/>
          <w14:textFill>
            <w14:solidFill>
              <w14:schemeClr w14:val="tx1"/>
            </w14:solidFill>
          </w14:textFill>
        </w:rPr>
        <w:t>(甲方)</w:t>
      </w:r>
    </w:p>
    <w:p w14:paraId="15FF017E">
      <w:pPr>
        <w:pStyle w:val="3"/>
        <w:spacing w:line="346" w:lineRule="auto"/>
        <w:rPr>
          <w:rFonts w:ascii="仿宋_GB2312" w:hAnsi="仿宋_GB2312" w:eastAsia="仿宋_GB2312" w:cs="仿宋_GB2312"/>
          <w:color w:val="000000" w:themeColor="text1"/>
          <w:sz w:val="32"/>
          <w:szCs w:val="32"/>
          <w:highlight w:val="none"/>
          <w:lang w:eastAsia="zh-CN"/>
          <w14:textFill>
            <w14:solidFill>
              <w14:schemeClr w14:val="tx1"/>
            </w14:solidFill>
          </w14:textFill>
        </w:rPr>
      </w:pPr>
    </w:p>
    <w:p w14:paraId="2344D9D3">
      <w:pPr>
        <w:pStyle w:val="3"/>
        <w:spacing w:line="346" w:lineRule="auto"/>
        <w:rPr>
          <w:rFonts w:ascii="仿宋_GB2312" w:hAnsi="仿宋_GB2312" w:eastAsia="仿宋_GB2312" w:cs="仿宋_GB2312"/>
          <w:color w:val="000000" w:themeColor="text1"/>
          <w:sz w:val="32"/>
          <w:szCs w:val="32"/>
          <w:highlight w:val="none"/>
          <w:lang w:eastAsia="zh-CN"/>
          <w14:textFill>
            <w14:solidFill>
              <w14:schemeClr w14:val="tx1"/>
            </w14:solidFill>
          </w14:textFill>
        </w:rPr>
      </w:pPr>
    </w:p>
    <w:p w14:paraId="3DF0E14E">
      <w:pPr>
        <w:spacing w:before="104" w:line="220" w:lineRule="auto"/>
        <w:ind w:left="615"/>
        <w:jc w:val="center"/>
        <w:rPr>
          <w:rFonts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18"/>
          <w:position w:val="1"/>
          <w:sz w:val="32"/>
          <w:szCs w:val="32"/>
          <w:highlight w:val="none"/>
          <w:lang w:eastAsia="zh-CN"/>
          <w14:textFill>
            <w14:solidFill>
              <w14:schemeClr w14:val="tx1"/>
            </w14:solidFill>
          </w14:textFill>
        </w:rPr>
        <w:t>乙</w:t>
      </w:r>
      <w:r>
        <w:rPr>
          <w:rFonts w:hint="eastAsia" w:ascii="仿宋_GB2312" w:hAnsi="仿宋_GB2312" w:eastAsia="仿宋_GB2312" w:cs="仿宋_GB2312"/>
          <w:color w:val="000000" w:themeColor="text1"/>
          <w:spacing w:val="18"/>
          <w:position w:val="1"/>
          <w:sz w:val="32"/>
          <w:szCs w:val="32"/>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8"/>
          <w:position w:val="1"/>
          <w:sz w:val="32"/>
          <w:szCs w:val="32"/>
          <w:highlight w:val="none"/>
          <w:lang w:eastAsia="zh-CN"/>
          <w14:textFill>
            <w14:solidFill>
              <w14:schemeClr w14:val="tx1"/>
            </w14:solidFill>
          </w14:textFill>
        </w:rPr>
        <w:t>方：</w:t>
      </w:r>
      <w:r>
        <w:rPr>
          <w:rFonts w:hint="eastAsia" w:ascii="仿宋_GB2312" w:hAnsi="仿宋_GB2312" w:eastAsia="仿宋_GB2312" w:cs="仿宋_GB2312"/>
          <w:color w:val="000000" w:themeColor="text1"/>
          <w:spacing w:val="18"/>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8"/>
          <w:position w:val="1"/>
          <w:sz w:val="32"/>
          <w:szCs w:val="32"/>
          <w:highlight w:val="none"/>
          <w:lang w:eastAsia="zh-CN"/>
          <w14:textFill>
            <w14:solidFill>
              <w14:schemeClr w14:val="tx1"/>
            </w14:solidFill>
          </w14:textFill>
        </w:rPr>
        <w:t>(乙方)</w:t>
      </w:r>
    </w:p>
    <w:p w14:paraId="31872D88">
      <w:pPr>
        <w:pStyle w:val="3"/>
        <w:spacing w:line="354" w:lineRule="auto"/>
        <w:rPr>
          <w:rFonts w:ascii="仿宋_GB2312" w:hAnsi="仿宋_GB2312" w:eastAsia="仿宋_GB2312" w:cs="仿宋_GB2312"/>
          <w:color w:val="000000" w:themeColor="text1"/>
          <w:sz w:val="32"/>
          <w:szCs w:val="32"/>
          <w:highlight w:val="none"/>
          <w:lang w:eastAsia="zh-CN"/>
          <w14:textFill>
            <w14:solidFill>
              <w14:schemeClr w14:val="tx1"/>
            </w14:solidFill>
          </w14:textFill>
        </w:rPr>
      </w:pPr>
    </w:p>
    <w:p w14:paraId="3BD638D5">
      <w:pPr>
        <w:pStyle w:val="3"/>
        <w:spacing w:line="355" w:lineRule="auto"/>
        <w:rPr>
          <w:color w:val="000000" w:themeColor="text1"/>
          <w:highlight w:val="none"/>
          <w:lang w:eastAsia="zh-CN"/>
          <w14:textFill>
            <w14:solidFill>
              <w14:schemeClr w14:val="tx1"/>
            </w14:solidFill>
          </w14:textFill>
        </w:rPr>
      </w:pPr>
    </w:p>
    <w:p w14:paraId="3A9540FA">
      <w:pPr>
        <w:pStyle w:val="3"/>
        <w:spacing w:line="245" w:lineRule="auto"/>
        <w:rPr>
          <w:color w:val="000000" w:themeColor="text1"/>
          <w:highlight w:val="none"/>
          <w:lang w:eastAsia="zh-CN"/>
          <w14:textFill>
            <w14:solidFill>
              <w14:schemeClr w14:val="tx1"/>
            </w14:solidFill>
          </w14:textFill>
        </w:rPr>
      </w:pPr>
    </w:p>
    <w:p w14:paraId="48D72F8D">
      <w:pPr>
        <w:pStyle w:val="3"/>
        <w:spacing w:line="245" w:lineRule="auto"/>
        <w:rPr>
          <w:color w:val="000000" w:themeColor="text1"/>
          <w:highlight w:val="none"/>
          <w:lang w:eastAsia="zh-CN"/>
          <w14:textFill>
            <w14:solidFill>
              <w14:schemeClr w14:val="tx1"/>
            </w14:solidFill>
          </w14:textFill>
        </w:rPr>
      </w:pPr>
    </w:p>
    <w:p w14:paraId="621B190B">
      <w:pPr>
        <w:pStyle w:val="3"/>
        <w:spacing w:line="245" w:lineRule="auto"/>
        <w:rPr>
          <w:color w:val="000000" w:themeColor="text1"/>
          <w:highlight w:val="none"/>
          <w:lang w:eastAsia="zh-CN"/>
          <w14:textFill>
            <w14:solidFill>
              <w14:schemeClr w14:val="tx1"/>
            </w14:solidFill>
          </w14:textFill>
        </w:rPr>
      </w:pPr>
    </w:p>
    <w:p w14:paraId="09D411AB">
      <w:pPr>
        <w:pStyle w:val="3"/>
        <w:spacing w:line="245" w:lineRule="auto"/>
        <w:rPr>
          <w:color w:val="000000" w:themeColor="text1"/>
          <w:highlight w:val="none"/>
          <w:lang w:eastAsia="zh-CN"/>
          <w14:textFill>
            <w14:solidFill>
              <w14:schemeClr w14:val="tx1"/>
            </w14:solidFill>
          </w14:textFill>
        </w:rPr>
      </w:pPr>
    </w:p>
    <w:p w14:paraId="699A9B27">
      <w:pPr>
        <w:pStyle w:val="3"/>
        <w:spacing w:line="245" w:lineRule="auto"/>
        <w:rPr>
          <w:color w:val="000000" w:themeColor="text1"/>
          <w:highlight w:val="none"/>
          <w:lang w:eastAsia="zh-CN"/>
          <w14:textFill>
            <w14:solidFill>
              <w14:schemeClr w14:val="tx1"/>
            </w14:solidFill>
          </w14:textFill>
        </w:rPr>
      </w:pPr>
    </w:p>
    <w:p w14:paraId="667A8861">
      <w:pPr>
        <w:pStyle w:val="3"/>
        <w:spacing w:line="245" w:lineRule="auto"/>
        <w:rPr>
          <w:color w:val="000000" w:themeColor="text1"/>
          <w:highlight w:val="none"/>
          <w:lang w:eastAsia="zh-CN"/>
          <w14:textFill>
            <w14:solidFill>
              <w14:schemeClr w14:val="tx1"/>
            </w14:solidFill>
          </w14:textFill>
        </w:rPr>
      </w:pPr>
    </w:p>
    <w:p w14:paraId="6515F1F4">
      <w:pPr>
        <w:pStyle w:val="3"/>
        <w:spacing w:line="245" w:lineRule="auto"/>
        <w:rPr>
          <w:color w:val="000000" w:themeColor="text1"/>
          <w:highlight w:val="none"/>
          <w:lang w:eastAsia="zh-CN"/>
          <w14:textFill>
            <w14:solidFill>
              <w14:schemeClr w14:val="tx1"/>
            </w14:solidFill>
          </w14:textFill>
        </w:rPr>
      </w:pPr>
    </w:p>
    <w:p w14:paraId="04F47124">
      <w:pPr>
        <w:pStyle w:val="3"/>
        <w:spacing w:line="245" w:lineRule="auto"/>
        <w:rPr>
          <w:color w:val="000000" w:themeColor="text1"/>
          <w:highlight w:val="none"/>
          <w:lang w:eastAsia="zh-CN"/>
          <w14:textFill>
            <w14:solidFill>
              <w14:schemeClr w14:val="tx1"/>
            </w14:solidFill>
          </w14:textFill>
        </w:rPr>
      </w:pPr>
    </w:p>
    <w:p w14:paraId="605C7711">
      <w:pPr>
        <w:pStyle w:val="3"/>
        <w:spacing w:line="246" w:lineRule="auto"/>
        <w:rPr>
          <w:color w:val="000000" w:themeColor="text1"/>
          <w:highlight w:val="none"/>
          <w:lang w:eastAsia="zh-CN"/>
          <w14:textFill>
            <w14:solidFill>
              <w14:schemeClr w14:val="tx1"/>
            </w14:solidFill>
          </w14:textFill>
        </w:rPr>
      </w:pPr>
    </w:p>
    <w:p w14:paraId="6DFAD1A1">
      <w:pPr>
        <w:spacing w:before="91" w:line="219" w:lineRule="auto"/>
        <w:jc w:val="center"/>
        <w:rPr>
          <w:rFonts w:hint="default" w:ascii="方正小标宋简体" w:hAnsi="方正小标宋简体" w:eastAsia="方正小标宋简体" w:cs="方正小标宋简体"/>
          <w:color w:val="000000" w:themeColor="text1"/>
          <w:sz w:val="28"/>
          <w:szCs w:val="28"/>
          <w:highlight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4"/>
          <w:sz w:val="28"/>
          <w:szCs w:val="28"/>
          <w:highlight w:val="none"/>
          <w:lang w:eastAsia="zh-CN"/>
          <w14:textFill>
            <w14:solidFill>
              <w14:schemeClr w14:val="tx1"/>
            </w14:solidFill>
          </w14:textFill>
        </w:rPr>
        <w:t>签订地点：陕西省西安市</w:t>
      </w:r>
      <w:r>
        <w:rPr>
          <w:rFonts w:hint="eastAsia" w:ascii="方正小标宋简体" w:hAnsi="方正小标宋简体" w:eastAsia="方正小标宋简体" w:cs="方正小标宋简体"/>
          <w:color w:val="000000" w:themeColor="text1"/>
          <w:spacing w:val="4"/>
          <w:sz w:val="28"/>
          <w:szCs w:val="28"/>
          <w:highlight w:val="none"/>
          <w:lang w:val="en-US" w:eastAsia="zh-CN"/>
          <w14:textFill>
            <w14:solidFill>
              <w14:schemeClr w14:val="tx1"/>
            </w14:solidFill>
          </w14:textFill>
        </w:rPr>
        <w:t>高陵区</w:t>
      </w:r>
    </w:p>
    <w:p w14:paraId="4F843493">
      <w:pPr>
        <w:spacing w:before="258" w:line="219" w:lineRule="auto"/>
        <w:jc w:val="center"/>
        <w:rPr>
          <w:rFonts w:ascii="方正小标宋简体" w:hAnsi="方正小标宋简体" w:eastAsia="方正小标宋简体" w:cs="方正小标宋简体"/>
          <w:color w:val="000000" w:themeColor="text1"/>
          <w:sz w:val="28"/>
          <w:szCs w:val="28"/>
          <w:highlight w:val="none"/>
          <w:lang w:eastAsia="zh-CN"/>
          <w14:textFill>
            <w14:solidFill>
              <w14:schemeClr w14:val="tx1"/>
            </w14:solidFill>
          </w14:textFill>
        </w:rPr>
        <w:sectPr>
          <w:pgSz w:w="11880" w:h="16820"/>
          <w:pgMar w:top="1984" w:right="1531" w:bottom="1531" w:left="1531" w:header="0" w:footer="0" w:gutter="0"/>
          <w:cols w:space="720" w:num="1"/>
        </w:sectPr>
      </w:pPr>
      <w:r>
        <w:rPr>
          <w:rFonts w:hint="eastAsia" w:ascii="方正小标宋简体" w:hAnsi="方正小标宋简体" w:eastAsia="方正小标宋简体" w:cs="方正小标宋简体"/>
          <w:color w:val="000000" w:themeColor="text1"/>
          <w:spacing w:val="21"/>
          <w:sz w:val="28"/>
          <w:szCs w:val="28"/>
          <w:highlight w:val="none"/>
          <w:lang w:eastAsia="zh-CN"/>
          <w14:textFill>
            <w14:solidFill>
              <w14:schemeClr w14:val="tx1"/>
            </w14:solidFill>
          </w14:textFill>
        </w:rPr>
        <w:t>签订日期：</w:t>
      </w:r>
      <w:r>
        <w:rPr>
          <w:rFonts w:hint="eastAsia" w:ascii="方正小标宋简体" w:hAnsi="方正小标宋简体" w:eastAsia="方正小标宋简体" w:cs="方正小标宋简体"/>
          <w:color w:val="000000" w:themeColor="text1"/>
          <w:spacing w:val="21"/>
          <w:sz w:val="28"/>
          <w:szCs w:val="28"/>
          <w:highlight w:val="none"/>
          <w:lang w:val="en-US" w:eastAsia="zh-CN"/>
          <w14:textFill>
            <w14:solidFill>
              <w14:schemeClr w14:val="tx1"/>
            </w14:solidFill>
          </w14:textFill>
        </w:rPr>
        <w:t xml:space="preserve">  </w:t>
      </w:r>
      <w:r>
        <w:rPr>
          <w:rFonts w:hint="eastAsia" w:ascii="方正小标宋简体" w:hAnsi="方正小标宋简体" w:eastAsia="方正小标宋简体" w:cs="方正小标宋简体"/>
          <w:color w:val="000000" w:themeColor="text1"/>
          <w:spacing w:val="21"/>
          <w:sz w:val="28"/>
          <w:szCs w:val="28"/>
          <w:highlight w:val="none"/>
          <w:lang w:eastAsia="zh-CN"/>
          <w14:textFill>
            <w14:solidFill>
              <w14:schemeClr w14:val="tx1"/>
            </w14:solidFill>
          </w14:textFill>
        </w:rPr>
        <w:t>年</w:t>
      </w:r>
      <w:r>
        <w:rPr>
          <w:rFonts w:hint="eastAsia" w:ascii="方正小标宋简体" w:hAnsi="方正小标宋简体" w:eastAsia="方正小标宋简体" w:cs="方正小标宋简体"/>
          <w:color w:val="000000" w:themeColor="text1"/>
          <w:spacing w:val="21"/>
          <w:sz w:val="28"/>
          <w:szCs w:val="28"/>
          <w:highlight w:val="none"/>
          <w:lang w:val="en-US" w:eastAsia="zh-CN"/>
          <w14:textFill>
            <w14:solidFill>
              <w14:schemeClr w14:val="tx1"/>
            </w14:solidFill>
          </w14:textFill>
        </w:rPr>
        <w:t xml:space="preserve">  </w:t>
      </w:r>
      <w:r>
        <w:rPr>
          <w:rFonts w:hint="eastAsia" w:ascii="方正小标宋简体" w:hAnsi="方正小标宋简体" w:eastAsia="方正小标宋简体" w:cs="方正小标宋简体"/>
          <w:color w:val="000000" w:themeColor="text1"/>
          <w:spacing w:val="21"/>
          <w:sz w:val="28"/>
          <w:szCs w:val="28"/>
          <w:highlight w:val="none"/>
          <w:lang w:eastAsia="zh-CN"/>
          <w14:textFill>
            <w14:solidFill>
              <w14:schemeClr w14:val="tx1"/>
            </w14:solidFill>
          </w14:textFill>
        </w:rPr>
        <w:t>月</w:t>
      </w:r>
    </w:p>
    <w:p w14:paraId="6FBF9532">
      <w:pPr>
        <w:rPr>
          <w:rFonts w:ascii="仿宋_GB2312" w:hAnsi="仿宋_GB2312" w:eastAsia="仿宋_GB2312" w:cs="仿宋_GB2312"/>
          <w:color w:val="000000" w:themeColor="text1"/>
          <w:sz w:val="32"/>
          <w:szCs w:val="32"/>
          <w:highlight w:val="none"/>
          <w:lang w:eastAsia="zh-CN"/>
          <w14:textFill>
            <w14:solidFill>
              <w14:schemeClr w14:val="tx1"/>
            </w14:solidFill>
          </w14:textFill>
        </w:rPr>
      </w:pPr>
    </w:p>
    <w:p w14:paraId="408CD50A">
      <w:pPr>
        <w:widowControl w:val="0"/>
        <w:suppressAutoHyphens/>
        <w:kinsoku/>
        <w:autoSpaceDE/>
        <w:autoSpaceDN/>
        <w:adjustRightInd/>
        <w:snapToGrid/>
        <w:spacing w:line="560" w:lineRule="exact"/>
        <w:ind w:firstLine="640" w:firstLineChars="200"/>
        <w:jc w:val="both"/>
        <w:textAlignment w:val="auto"/>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pP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甲方（采购人）：</w:t>
      </w:r>
      <w:r>
        <w:rPr>
          <w:rFonts w:hint="eastAsia" w:ascii="Times New Roman" w:hAnsi="Times New Roman" w:eastAsia="仿宋_GB2312" w:cs="Times New Roman"/>
          <w:color w:val="000000" w:themeColor="text1"/>
          <w:sz w:val="32"/>
          <w:szCs w:val="32"/>
          <w:highlight w:val="none"/>
          <w:u w:val="single"/>
          <w:lang w:eastAsia="zh-CN"/>
          <w14:textFill>
            <w14:solidFill>
              <w14:schemeClr w14:val="tx1"/>
            </w14:solidFill>
          </w14:textFill>
        </w:rPr>
        <w:t>西安市自然资源和规划局高陵分局</w:t>
      </w:r>
    </w:p>
    <w:p w14:paraId="02DA784B">
      <w:pPr>
        <w:widowControl w:val="0"/>
        <w:suppressAutoHyphens/>
        <w:kinsoku/>
        <w:autoSpaceDE/>
        <w:autoSpaceDN/>
        <w:adjustRightInd/>
        <w:snapToGrid/>
        <w:spacing w:line="560" w:lineRule="exact"/>
        <w:ind w:firstLine="640" w:firstLineChars="200"/>
        <w:jc w:val="both"/>
        <w:textAlignment w:val="auto"/>
        <w:rPr>
          <w:rFonts w:hint="default" w:ascii="Times New Roman" w:hAnsi="Times New Roman" w:eastAsia="仿宋_GB2312" w:cs="Times New Roman"/>
          <w:snapToGrid/>
          <w:color w:val="000000" w:themeColor="text1"/>
          <w:kern w:val="2"/>
          <w:sz w:val="32"/>
          <w:szCs w:val="32"/>
          <w:highlight w:val="none"/>
          <w:lang w:val="en-US" w:eastAsia="zh-CN"/>
          <w14:textFill>
            <w14:solidFill>
              <w14:schemeClr w14:val="tx1"/>
            </w14:solidFill>
          </w14:textFill>
        </w:rPr>
      </w:pP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乙方</w:t>
      </w:r>
      <w:r>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（中标人）</w:t>
      </w: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pacing w:val="0"/>
          <w:sz w:val="32"/>
          <w:szCs w:val="32"/>
          <w:highlight w:val="none"/>
          <w:u w:val="single"/>
          <w:lang w:val="en-US" w:eastAsia="zh-CN"/>
          <w14:textFill>
            <w14:solidFill>
              <w14:schemeClr w14:val="tx1"/>
            </w14:solidFill>
          </w14:textFill>
        </w:rPr>
        <w:t xml:space="preserve">                              </w:t>
      </w:r>
    </w:p>
    <w:p w14:paraId="0185ED6A">
      <w:pPr>
        <w:widowControl w:val="0"/>
        <w:suppressAutoHyphens/>
        <w:kinsoku/>
        <w:autoSpaceDE/>
        <w:autoSpaceDN/>
        <w:adjustRightInd/>
        <w:snapToGrid/>
        <w:spacing w:line="560" w:lineRule="exact"/>
        <w:ind w:firstLine="640" w:firstLineChars="200"/>
        <w:jc w:val="both"/>
        <w:textAlignment w:val="auto"/>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pP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陕西嘉唐建设项目管理有限公司就甲方所需服务，按照政府采购程序组织</w:t>
      </w:r>
      <w:r>
        <w:rPr>
          <w:rFonts w:hint="eastAsia" w:ascii="Times New Roman" w:hAnsi="Times New Roman" w:eastAsia="仿宋_GB2312" w:cs="Times New Roman"/>
          <w:snapToGrid/>
          <w:color w:val="000000" w:themeColor="text1"/>
          <w:kern w:val="2"/>
          <w:sz w:val="32"/>
          <w:szCs w:val="32"/>
          <w:highlight w:val="none"/>
          <w:lang w:val="en-US" w:eastAsia="zh-CN"/>
          <w14:textFill>
            <w14:solidFill>
              <w14:schemeClr w14:val="tx1"/>
            </w14:solidFill>
          </w14:textFill>
        </w:rPr>
        <w:t>采购</w:t>
      </w: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，确定乙方为</w:t>
      </w:r>
      <w:r>
        <w:rPr>
          <w:rFonts w:hint="eastAsia" w:ascii="Times New Roman" w:hAnsi="Times New Roman" w:eastAsia="仿宋_GB2312" w:cs="Times New Roman"/>
          <w:snapToGrid/>
          <w:color w:val="000000" w:themeColor="text1"/>
          <w:kern w:val="2"/>
          <w:sz w:val="32"/>
          <w:szCs w:val="32"/>
          <w:highlight w:val="none"/>
          <w:u w:val="single"/>
          <w:lang w:val="en-US" w:eastAsia="zh-CN"/>
          <w14:textFill>
            <w14:solidFill>
              <w14:schemeClr w14:val="tx1"/>
            </w14:solidFill>
          </w14:textFill>
        </w:rPr>
        <w:t xml:space="preserve">         </w:t>
      </w:r>
      <w:r>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w:t>
      </w: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项目编号：</w:t>
      </w:r>
      <w:r>
        <w:rPr>
          <w:rFonts w:hint="eastAsia" w:ascii="Times New Roman" w:hAnsi="Times New Roman" w:eastAsia="仿宋_GB2312" w:cs="Times New Roman"/>
          <w:snapToGrid/>
          <w:color w:val="000000" w:themeColor="text1"/>
          <w:kern w:val="2"/>
          <w:sz w:val="32"/>
          <w:szCs w:val="32"/>
          <w:highlight w:val="none"/>
          <w:u w:val="single"/>
          <w:lang w:val="en-US" w:eastAsia="zh-CN"/>
          <w14:textFill>
            <w14:solidFill>
              <w14:schemeClr w14:val="tx1"/>
            </w14:solidFill>
          </w14:textFill>
        </w:rPr>
        <w:t xml:space="preserve">           </w:t>
      </w:r>
      <w:r>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w:t>
      </w: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中标人。根据《中华人民共和国政府采购法》及实施条例、《中华人民共和国民法典》及其他有关法律、法规，以及项目的竞争性磋商文件、响应文件，经甲、乙双方协商确认，达成如下合同条款。</w:t>
      </w:r>
    </w:p>
    <w:p w14:paraId="0EFECF2B">
      <w:pPr>
        <w:pStyle w:val="2"/>
        <w:suppressAutoHyphens/>
        <w:ind w:firstLine="640"/>
        <w:rPr>
          <w:rFonts w:ascii="Times New Roman" w:hAnsi="Times New Roman" w:eastAsia="黑体" w:cs="黑体"/>
          <w:color w:val="000000" w:themeColor="text1"/>
          <w:szCs w:val="32"/>
          <w:highlight w:val="none"/>
          <w14:textFill>
            <w14:solidFill>
              <w14:schemeClr w14:val="tx1"/>
            </w14:solidFill>
          </w14:textFill>
        </w:rPr>
      </w:pPr>
      <w:r>
        <w:rPr>
          <w:rFonts w:hint="eastAsia" w:ascii="Times New Roman" w:hAnsi="Times New Roman" w:eastAsia="黑体" w:cs="黑体"/>
          <w:color w:val="000000" w:themeColor="text1"/>
          <w:szCs w:val="32"/>
          <w:highlight w:val="none"/>
          <w14:textFill>
            <w14:solidFill>
              <w14:schemeClr w14:val="tx1"/>
            </w14:solidFill>
          </w14:textFill>
        </w:rPr>
        <w:t xml:space="preserve">第一条  </w:t>
      </w:r>
      <w:r>
        <w:rPr>
          <w:rFonts w:ascii="Times New Roman" w:hAnsi="Times New Roman" w:eastAsia="黑体" w:cs="黑体"/>
          <w:color w:val="000000" w:themeColor="text1"/>
          <w:szCs w:val="32"/>
          <w:highlight w:val="none"/>
          <w14:textFill>
            <w14:solidFill>
              <w14:schemeClr w14:val="tx1"/>
            </w14:solidFill>
          </w14:textFill>
        </w:rPr>
        <w:t>合同签订依据：</w:t>
      </w:r>
    </w:p>
    <w:p w14:paraId="0E832B8D">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1.1</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《中华人民共和国民法典》《中华人民共和国城乡规划法》。</w:t>
      </w:r>
    </w:p>
    <w:p w14:paraId="53F1FF40">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1.2</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《建设工程勘察设计合同条例》《城市规划编制办法》等国家及地方有关规划、建设工程勘察设计管理法规和规章。</w:t>
      </w:r>
    </w:p>
    <w:p w14:paraId="219DF80B">
      <w:pPr>
        <w:pStyle w:val="2"/>
        <w:suppressAutoHyphens/>
        <w:ind w:firstLine="640"/>
        <w:rPr>
          <w:rFonts w:ascii="Times New Roman" w:hAnsi="Times New Roman" w:eastAsia="黑体" w:cs="黑体"/>
          <w:color w:val="000000" w:themeColor="text1"/>
          <w:szCs w:val="32"/>
          <w:highlight w:val="none"/>
          <w14:textFill>
            <w14:solidFill>
              <w14:schemeClr w14:val="tx1"/>
            </w14:solidFill>
          </w14:textFill>
        </w:rPr>
      </w:pPr>
      <w:r>
        <w:rPr>
          <w:rFonts w:ascii="Times New Roman" w:hAnsi="Times New Roman" w:eastAsia="黑体" w:cs="黑体"/>
          <w:color w:val="000000" w:themeColor="text1"/>
          <w:szCs w:val="32"/>
          <w:highlight w:val="none"/>
          <w14:textFill>
            <w14:solidFill>
              <w14:schemeClr w14:val="tx1"/>
            </w14:solidFill>
          </w14:textFill>
        </w:rPr>
        <w:t>第二条</w:t>
      </w:r>
      <w:r>
        <w:rPr>
          <w:rFonts w:hint="eastAsia" w:ascii="Times New Roman" w:hAnsi="Times New Roman" w:eastAsia="黑体" w:cs="黑体"/>
          <w:color w:val="000000" w:themeColor="text1"/>
          <w:szCs w:val="32"/>
          <w:highlight w:val="none"/>
          <w14:textFill>
            <w14:solidFill>
              <w14:schemeClr w14:val="tx1"/>
            </w14:solidFill>
          </w14:textFill>
        </w:rPr>
        <w:t xml:space="preserve">  </w:t>
      </w:r>
      <w:r>
        <w:rPr>
          <w:rFonts w:ascii="Times New Roman" w:hAnsi="Times New Roman" w:eastAsia="黑体" w:cs="黑体"/>
          <w:color w:val="000000" w:themeColor="text1"/>
          <w:szCs w:val="32"/>
          <w:highlight w:val="none"/>
          <w14:textFill>
            <w14:solidFill>
              <w14:schemeClr w14:val="tx1"/>
            </w14:solidFill>
          </w14:textFill>
        </w:rPr>
        <w:t>委托项目及内容</w:t>
      </w:r>
      <w:r>
        <w:rPr>
          <w:rFonts w:hint="eastAsia" w:ascii="Times New Roman" w:hAnsi="Times New Roman" w:eastAsia="黑体" w:cs="黑体"/>
          <w:color w:val="000000" w:themeColor="text1"/>
          <w:szCs w:val="32"/>
          <w:highlight w:val="none"/>
          <w14:textFill>
            <w14:solidFill>
              <w14:schemeClr w14:val="tx1"/>
            </w14:solidFill>
          </w14:textFill>
        </w:rPr>
        <w:t>：</w:t>
      </w:r>
    </w:p>
    <w:p w14:paraId="51FC64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2.</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1</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 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设计方案数据检测。对建设单位按照西安市</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建设项目技术审查规整要求提交的规整数据进行数据标准化检测，使之满足智能审查要求。</w:t>
      </w:r>
      <w:bookmarkStart w:id="1" w:name="_GoBack"/>
      <w:bookmarkEnd w:id="1"/>
    </w:p>
    <w:p w14:paraId="6DA3DC1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2.2 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建设用地合规性审查。对于在土地供应阶段或在企业原有用地上建设，未做过合规性审查的项目进行</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建设用地合规性审查。</w:t>
      </w:r>
    </w:p>
    <w:p w14:paraId="254889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2.3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现状建筑审查。对和</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设计方案相关的周边现状建筑的建筑性质、建筑楼位、建筑层数、建筑高度等进行数据准确性审查。</w:t>
      </w:r>
    </w:p>
    <w:p w14:paraId="2015A2F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2.4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实施详细规划成果技术审查。对规划成果开展技术审查，包括成果规范性审查、上位规划符合性审查、技术标准符合性审查、合理性审查，其中规范性审查主要审查规划成果构成是否完整，成果文件的图面表达及内容规范性、图数文一致性等。上位规划符合性审查主要审查</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是</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否落实上位规划传导的控制线、用地、设施、指标等。技术标准符合性审查主要审查经济技术指标、地块控制指标、配套设施、交通组织、地下空间、城市设计、建筑控制线等内容的符合性。合理性审查主要审查方案合理性、实施可行性等内容。</w:t>
      </w:r>
    </w:p>
    <w:p w14:paraId="651710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2.5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设计方案技术审查</w:t>
      </w:r>
    </w:p>
    <w:p w14:paraId="2FA85F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1）</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规划设计方案</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总图审查</w:t>
      </w:r>
    </w:p>
    <w:p w14:paraId="688144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核查建设工程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设计方案各项技术指标是否满足规划条件、国家省市相关技术标准、规范要求。包括不限于各类建（构）物</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的</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建筑面积、容积率、建筑密度（</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建筑系数</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）、绿地率、停车位、建筑高度、建筑间距、建筑退线以及《西安市居住区规划设计指导意见》等相关内容。</w:t>
      </w:r>
    </w:p>
    <w:p w14:paraId="5C00F8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2）</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规划设计方案</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建筑单体套图审查</w:t>
      </w:r>
    </w:p>
    <w:p w14:paraId="3DCA8F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包括不限于建筑性质、面积、建筑高度等内容审查。</w:t>
      </w:r>
    </w:p>
    <w:p w14:paraId="578618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3）</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规划设计方案</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日照分析报告审查</w:t>
      </w:r>
    </w:p>
    <w:p w14:paraId="191019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按照国家、地方行业技术标准、管理规定，在现场踏勘基础上，对日照分析报告进行技术审查，审查内容包括日照分析标准、日照分析软件、日照分析参数、日照分析方法、日照分析主客体范围、日照分析周边资料、日照分析结论、日照分析成果格式等内容。</w:t>
      </w:r>
    </w:p>
    <w:p w14:paraId="68336F0F">
      <w:pPr>
        <w:suppressAutoHyphens/>
        <w:ind w:firstLine="643"/>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bookmarkStart w:id="0" w:name="_Toc158124001"/>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2.6 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公示牌小样制作</w:t>
      </w:r>
      <w:bookmarkEnd w:id="0"/>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。对供地和工程规划许可各阶段需要进行规划公示的，按照标准格式进行规划公示牌电子小样制作。</w:t>
      </w:r>
    </w:p>
    <w:p w14:paraId="6CBFD8E8">
      <w:pPr>
        <w:keepNext w:val="0"/>
        <w:keepLines w:val="0"/>
        <w:pageBreakBefore w:val="0"/>
        <w:numPr>
          <w:ilvl w:val="-1"/>
          <w:numId w:val="0"/>
        </w:numPr>
        <w:kinsoku/>
        <w:wordWrap/>
        <w:overflowPunct/>
        <w:topLinePunct w:val="0"/>
        <w:autoSpaceDE/>
        <w:autoSpaceDN/>
        <w:bidi w:val="0"/>
        <w:adjustRightInd/>
        <w:snapToGrid/>
        <w:spacing w:line="240" w:lineRule="auto"/>
        <w:ind w:firstLine="643" w:firstLineChars="0"/>
        <w:textAlignment w:val="auto"/>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2.7其他规划咨询服务</w:t>
      </w:r>
    </w:p>
    <w:p w14:paraId="6AA8F72B">
      <w:pPr>
        <w:suppressAutoHyphens/>
        <w:kinsoku/>
        <w:autoSpaceDE/>
        <w:autoSpaceDN/>
        <w:adjustRightInd/>
        <w:snapToGrid/>
        <w:spacing w:line="240" w:lineRule="auto"/>
        <w:ind w:firstLine="643" w:firstLineChars="0"/>
        <w:textAlignment w:val="auto"/>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根据分局工作安排，产生的其他规划技术咨询服务工作。</w:t>
      </w:r>
    </w:p>
    <w:p w14:paraId="353E1D18">
      <w:pPr>
        <w:pStyle w:val="2"/>
        <w:suppressAutoHyphens/>
        <w:ind w:firstLine="640"/>
        <w:rPr>
          <w:rFonts w:ascii="Times New Roman" w:hAnsi="Times New Roman" w:eastAsia="黑体" w:cs="黑体"/>
          <w:color w:val="000000" w:themeColor="text1"/>
          <w:szCs w:val="32"/>
          <w:highlight w:val="none"/>
          <w14:textFill>
            <w14:solidFill>
              <w14:schemeClr w14:val="tx1"/>
            </w14:solidFill>
          </w14:textFill>
        </w:rPr>
      </w:pPr>
      <w:r>
        <w:rPr>
          <w:rFonts w:hint="eastAsia" w:ascii="Times New Roman" w:hAnsi="Times New Roman" w:eastAsia="黑体" w:cs="黑体"/>
          <w:color w:val="000000" w:themeColor="text1"/>
          <w:szCs w:val="32"/>
          <w:highlight w:val="none"/>
          <w14:textFill>
            <w14:solidFill>
              <w14:schemeClr w14:val="tx1"/>
            </w14:solidFill>
          </w14:textFill>
        </w:rPr>
        <w:t>第三条  技术要求</w:t>
      </w:r>
    </w:p>
    <w:p w14:paraId="7FEACC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严格依据国家相关行业标准和规范；陕西省、西安市相关技术规定和政策性文件；项目规划条件书及出让合同等进行审查。</w:t>
      </w:r>
    </w:p>
    <w:p w14:paraId="25897FD3">
      <w:pPr>
        <w:pStyle w:val="2"/>
        <w:suppressAutoHyphens/>
        <w:ind w:firstLine="640"/>
        <w:rPr>
          <w:rFonts w:ascii="Times New Roman" w:hAnsi="Times New Roman" w:eastAsia="黑体" w:cs="黑体"/>
          <w:color w:val="000000" w:themeColor="text1"/>
          <w:szCs w:val="32"/>
          <w:highlight w:val="none"/>
          <w14:textFill>
            <w14:solidFill>
              <w14:schemeClr w14:val="tx1"/>
            </w14:solidFill>
          </w14:textFill>
        </w:rPr>
      </w:pPr>
      <w:r>
        <w:rPr>
          <w:rFonts w:hint="eastAsia" w:ascii="Times New Roman" w:hAnsi="Times New Roman" w:eastAsia="黑体" w:cs="黑体"/>
          <w:color w:val="000000" w:themeColor="text1"/>
          <w:szCs w:val="32"/>
          <w:highlight w:val="none"/>
          <w14:textFill>
            <w14:solidFill>
              <w14:schemeClr w14:val="tx1"/>
            </w14:solidFill>
          </w14:textFill>
        </w:rPr>
        <w:t>第四条  服务要求</w:t>
      </w:r>
    </w:p>
    <w:p w14:paraId="5CD3E3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在合同执行过程中需要服务商应执行的相关服务标准和应当履行的相关义务:</w:t>
      </w:r>
    </w:p>
    <w:p w14:paraId="430502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4.1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规划管理范围内房建类新建、改建、扩建及其它需要开展技术审查的建筑工程项目，以及实施详细规划成果报审达到开展技术审查条件的，由经办人将技术审查资料转件至服务单位，进入技术审查程序。</w:t>
      </w:r>
    </w:p>
    <w:p w14:paraId="445F70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4.2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配置具有规划、建筑、地理信息、开发(系统、软件)专业背景技术团队，分别承担用地合规性审查、总图审查(规划专业)、建筑单体审查(建筑学专业)、数据质检(地理信息专业数据处理工程师)、软件(系统)服务(软件工程、计算机专业 ) 。</w:t>
      </w:r>
    </w:p>
    <w:p w14:paraId="17E71C1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4.3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服务单位需提供相关系统、软件咨询服务。</w:t>
      </w:r>
    </w:p>
    <w:p w14:paraId="61A631A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4.4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服务单位需根据资源规划局的要求增加、修改相关系统、软件功能。</w:t>
      </w:r>
    </w:p>
    <w:p w14:paraId="3E68C5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4.5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服务单位需具有软件开发及本地化服务能力。</w:t>
      </w:r>
    </w:p>
    <w:p w14:paraId="081EA41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4.6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智能审查要求。采用智能机审辅以人工审查的方式开展技术审查工作。</w:t>
      </w:r>
    </w:p>
    <w:p w14:paraId="475EED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4.7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全程网办要求。在“西安市建设工程设计方案技术审查系统”平台上开展全过程建设工程设计方案技术审查工作，包括资料受理、审查资料流转、审查成果出具，满足不见面、无纸化审查工作要求。</w:t>
      </w:r>
    </w:p>
    <w:p w14:paraId="5BD0EB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4.8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成果加密要求。按指定格式，对审查完成的建设工程设计方案（包括总图、单体图）进行加密签章。</w:t>
      </w:r>
    </w:p>
    <w:p w14:paraId="49ED41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 xml:space="preserve">4.9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配置专职技术负责人1名，须持有一级注册建筑师执业资格证及高级工程师职称证书，</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在</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西安市自然资源和规划局高陵分局提供驻场技术服务。</w:t>
      </w:r>
    </w:p>
    <w:p w14:paraId="16C0F978">
      <w:pPr>
        <w:pStyle w:val="2"/>
        <w:suppressAutoHyphens/>
        <w:ind w:firstLine="640"/>
        <w:rPr>
          <w:rFonts w:ascii="Times New Roman" w:hAnsi="Times New Roman" w:eastAsia="黑体" w:cs="黑体"/>
          <w:color w:val="000000" w:themeColor="text1"/>
          <w:szCs w:val="32"/>
          <w:highlight w:val="none"/>
          <w14:textFill>
            <w14:solidFill>
              <w14:schemeClr w14:val="tx1"/>
            </w14:solidFill>
          </w14:textFill>
        </w:rPr>
      </w:pPr>
      <w:r>
        <w:rPr>
          <w:rFonts w:ascii="Times New Roman" w:hAnsi="Times New Roman" w:eastAsia="黑体" w:cs="黑体"/>
          <w:color w:val="000000" w:themeColor="text1"/>
          <w:szCs w:val="32"/>
          <w:highlight w:val="none"/>
          <w14:textFill>
            <w14:solidFill>
              <w14:schemeClr w14:val="tx1"/>
            </w14:solidFill>
          </w14:textFill>
        </w:rPr>
        <w:t xml:space="preserve">第五条  </w:t>
      </w:r>
      <w:r>
        <w:rPr>
          <w:rFonts w:hint="eastAsia" w:ascii="Times New Roman" w:hAnsi="Times New Roman" w:eastAsia="黑体" w:cs="黑体"/>
          <w:color w:val="000000" w:themeColor="text1"/>
          <w:szCs w:val="32"/>
          <w:highlight w:val="none"/>
          <w14:textFill>
            <w14:solidFill>
              <w14:schemeClr w14:val="tx1"/>
            </w14:solidFill>
          </w14:textFill>
        </w:rPr>
        <w:t>合同履行期限</w:t>
      </w:r>
      <w:r>
        <w:rPr>
          <w:rFonts w:ascii="Times New Roman" w:hAnsi="Times New Roman" w:eastAsia="黑体" w:cs="黑体"/>
          <w:color w:val="000000" w:themeColor="text1"/>
          <w:szCs w:val="32"/>
          <w:highlight w:val="none"/>
          <w14:textFill>
            <w14:solidFill>
              <w14:schemeClr w14:val="tx1"/>
            </w14:solidFill>
          </w14:textFill>
        </w:rPr>
        <w:t>及成果内容</w:t>
      </w:r>
    </w:p>
    <w:p w14:paraId="772B9B9B">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 xml:space="preserve">5.1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合同履行期限：</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合同签订日之后一年，或将预算使用完</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p>
    <w:p w14:paraId="68850C82">
      <w:pPr>
        <w:widowControl w:val="0"/>
        <w:suppressAutoHyphens/>
        <w:kinsoku/>
        <w:overflowPunct w:val="0"/>
        <w:autoSpaceDE/>
        <w:autoSpaceDN/>
        <w:adjustRightInd w:val="0"/>
        <w:snapToGrid/>
        <w:spacing w:line="600" w:lineRule="atLeast"/>
        <w:ind w:firstLine="631" w:firstLineChars="0"/>
        <w:jc w:val="left"/>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 xml:space="preserve">5.2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各单项项目服务周期为：实施详细规划成果技术审查时限为一个地块乙方技术审查用时三个工作日（补充资料、修改图纸时间不计入），建设工程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设计方案技术审查、日照分析审查时限为三个工作日（补充资料、修改图纸时间不计入），</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公示牌小样制作成果用时一个工作日。</w:t>
      </w:r>
      <w:r>
        <w:rPr>
          <w:rFonts w:hint="eastAsia" w:ascii="仿宋_GB2312" w:hAnsi="仿宋_GB2312" w:eastAsia="仿宋_GB2312" w:cs="仿宋_GB2312"/>
          <w:sz w:val="32"/>
          <w:szCs w:val="32"/>
          <w:highlight w:val="none"/>
          <w:lang w:val="en-US" w:eastAsia="zh-CN"/>
        </w:rPr>
        <w:t>其它规划技术咨询服务根据实际情况</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经双方协商一致后</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确认时间。</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为如遇项目情况较为复杂或其他特殊情况，经双方协商一致后，乙方可适当增加审查用时。</w:t>
      </w:r>
    </w:p>
    <w:p w14:paraId="1B8A8DF6">
      <w:pPr>
        <w:widowControl w:val="0"/>
        <w:kinsoku/>
        <w:overflowPunct w:val="0"/>
        <w:autoSpaceDE/>
        <w:autoSpaceDN/>
        <w:snapToGrid/>
        <w:spacing w:line="600" w:lineRule="atLeast"/>
        <w:ind w:firstLine="631" w:firstLineChars="0"/>
        <w:jc w:val="left"/>
        <w:textAlignment w:val="auto"/>
        <w:rPr>
          <w:rFonts w:hint="eastAsia" w:ascii="仿宋_GB2312" w:hAnsi="仿宋_GB2312" w:eastAsia="仿宋_GB2312" w:cs="仿宋_GB2312"/>
          <w:snapToGrid/>
          <w:color w:val="000000" w:themeColor="text1"/>
          <w:spacing w:val="0"/>
          <w:kern w:val="2"/>
          <w:sz w:val="32"/>
          <w:szCs w:val="32"/>
          <w:highlight w:val="none"/>
          <w:u w:val="none"/>
          <w:lang w:eastAsia="zh-CN"/>
          <w14:textFill>
            <w14:solidFill>
              <w14:schemeClr w14:val="tx1"/>
            </w14:solidFill>
          </w14:textFill>
        </w:rPr>
      </w:pP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 xml:space="preserve">5.3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成果内容：实施详细规划成果技术审查成果为《地块实施详细规划成果技术审查报告》，建设工程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设计方案技术审查成果为《建设工程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设计方案技术审查意见书》，日照分析审查成果为《</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规划设计方案</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日照分析报告复核意见书》，</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建设用地合规性审查成果为《建设项目</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合规性技术审查表》，</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公示牌小样制作成果为公示牌电子小样。</w:t>
      </w:r>
      <w:r>
        <w:rPr>
          <w:rFonts w:hint="eastAsia" w:ascii="仿宋_GB2312" w:hAnsi="仿宋_GB2312" w:eastAsia="仿宋_GB2312" w:cs="仿宋_GB2312"/>
          <w:sz w:val="32"/>
          <w:szCs w:val="32"/>
          <w:highlight w:val="none"/>
          <w:lang w:val="en-US" w:eastAsia="zh-CN"/>
        </w:rPr>
        <w:t>其它规划技术咨询服务成果根据规范编制要求出具成果。</w:t>
      </w:r>
    </w:p>
    <w:p w14:paraId="3D0ACD93">
      <w:pPr>
        <w:widowControl/>
        <w:suppressAutoHyphens/>
        <w:kinsoku/>
        <w:autoSpaceDE/>
        <w:autoSpaceDN/>
        <w:adjustRightInd/>
        <w:snapToGrid/>
        <w:spacing w:line="560" w:lineRule="exact"/>
        <w:ind w:firstLine="643" w:firstLineChars="200"/>
        <w:jc w:val="left"/>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 xml:space="preserve">5.4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审查成果符合：国家相关行业标准和规范；陕西省、西安市相关技术规定和政策性文件；项目规划条件书及出让合同。</w:t>
      </w:r>
    </w:p>
    <w:p w14:paraId="4F39B827">
      <w:pPr>
        <w:pStyle w:val="2"/>
        <w:suppressAutoHyphens/>
        <w:ind w:firstLine="640"/>
        <w:rPr>
          <w:rFonts w:ascii="Times New Roman" w:hAnsi="Times New Roman" w:eastAsia="黑体" w:cs="黑体"/>
          <w:color w:val="000000" w:themeColor="text1"/>
          <w:szCs w:val="32"/>
          <w:highlight w:val="none"/>
          <w14:textFill>
            <w14:solidFill>
              <w14:schemeClr w14:val="tx1"/>
            </w14:solidFill>
          </w14:textFill>
        </w:rPr>
      </w:pPr>
      <w:r>
        <w:rPr>
          <w:rFonts w:ascii="Times New Roman" w:hAnsi="Times New Roman" w:eastAsia="黑体" w:cs="黑体"/>
          <w:color w:val="000000" w:themeColor="text1"/>
          <w:szCs w:val="32"/>
          <w:highlight w:val="none"/>
          <w14:textFill>
            <w14:solidFill>
              <w14:schemeClr w14:val="tx1"/>
            </w14:solidFill>
          </w14:textFill>
        </w:rPr>
        <w:t>第六条  合同价款及付款方式</w:t>
      </w:r>
    </w:p>
    <w:p w14:paraId="019EF08B">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6</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 xml:space="preserve">.1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合同价款</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合同为固定单价合同。</w:t>
      </w:r>
    </w:p>
    <w:p w14:paraId="28F2C90E">
      <w:pPr>
        <w:widowControl w:val="0"/>
        <w:suppressAutoHyphens/>
        <w:kinsoku/>
        <w:autoSpaceDE/>
        <w:autoSpaceDN/>
        <w:adjustRightInd/>
        <w:snapToGrid/>
        <w:spacing w:line="560" w:lineRule="exact"/>
        <w:ind w:left="0" w:leftChars="0" w:firstLine="640"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合同暂定总价款人民币</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大写</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整，</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小写</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元。其中不含税金额人民币(大写)</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non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，(小写)</w:t>
      </w:r>
      <w:r>
        <w:rPr>
          <w:rFonts w:hint="eastAsia" w:ascii="仿宋_GB2312" w:hAnsi="仿宋_GB2312" w:eastAsia="仿宋_GB2312" w:cs="仿宋_GB2312"/>
          <w:snapToGrid/>
          <w:color w:val="000000" w:themeColor="text1"/>
          <w:kern w:val="2"/>
          <w:sz w:val="32"/>
          <w:szCs w:val="32"/>
          <w:highlight w:val="none"/>
          <w:u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u w:val="non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元，增值税额人民币(大写)</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，(小写)</w:t>
      </w:r>
      <w:r>
        <w:rPr>
          <w:rFonts w:hint="eastAsia" w:ascii="仿宋_GB2312" w:hAnsi="仿宋_GB2312" w:eastAsia="仿宋_GB2312" w:cs="仿宋_GB2312"/>
          <w:snapToGrid/>
          <w:color w:val="000000" w:themeColor="text1"/>
          <w:kern w:val="2"/>
          <w:sz w:val="32"/>
          <w:szCs w:val="32"/>
          <w:highlight w:val="none"/>
          <w:u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u w:val="non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元，增值税率</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non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p>
    <w:p w14:paraId="6523C3EE">
      <w:pPr>
        <w:widowControl w:val="0"/>
        <w:suppressAutoHyphens/>
        <w:kinsoku/>
        <w:autoSpaceDE/>
        <w:autoSpaceDN/>
        <w:adjustRightInd/>
        <w:snapToGrid/>
        <w:spacing w:line="560" w:lineRule="exact"/>
        <w:ind w:firstLine="640"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根据委托内容（包含</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设计方案数据检测、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建设用地合规性审查、现状建筑审查、实施详细规划成果技术审查、建设工程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设计方案技术审查、</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公示牌小样制作）分类进行单价核算，具体核算方式如下。</w:t>
      </w:r>
    </w:p>
    <w:p w14:paraId="78A7BE28">
      <w:pPr>
        <w:widowControl w:val="0"/>
        <w:suppressAutoHyphens/>
        <w:kinsoku/>
        <w:autoSpaceDE/>
        <w:autoSpaceDN/>
        <w:adjustRightInd/>
        <w:snapToGrid/>
        <w:spacing w:line="560" w:lineRule="exact"/>
        <w:ind w:firstLine="640"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1</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设计方案数据检测、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建设用地合规性审查、现状建筑审查整体按服务期限根据项目整体赠送，不再单独收取费用。</w:t>
      </w:r>
    </w:p>
    <w:p w14:paraId="6BD9480C">
      <w:pPr>
        <w:widowControl w:val="0"/>
        <w:suppressAutoHyphens/>
        <w:kinsoku/>
        <w:autoSpaceDE/>
        <w:autoSpaceDN/>
        <w:adjustRightInd/>
        <w:snapToGrid/>
        <w:spacing w:line="560" w:lineRule="exact"/>
        <w:ind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2.</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设计方案技术审查（含遗留项目建设工程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方案技术审查）包含</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规划设计方案</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总图审查、</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规划设计方案</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建筑单体套图审查及</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规划设计方案</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日照分析报告审查。以最终以实际审查项目总建筑面积核算，单价</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none"/>
          <w:lang w:eastAsia="zh-CN"/>
          <w14:textFill>
            <w14:solidFill>
              <w14:schemeClr w14:val="tx1"/>
            </w14:solidFill>
          </w14:textFill>
        </w:rPr>
        <w:t>元</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ascii="Segoe UI Symbol" w:hAnsi="Segoe UI Symbol" w:eastAsia="仿宋_GB2312" w:cs="Segoe UI Symbol"/>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p>
    <w:p w14:paraId="7646C1BB">
      <w:pPr>
        <w:widowControl w:val="0"/>
        <w:kinsoku/>
        <w:autoSpaceDE/>
        <w:autoSpaceDN/>
        <w:adjustRightInd/>
        <w:snapToGrid/>
        <w:spacing w:line="560" w:lineRule="exact"/>
        <w:ind w:left="0" w:leftChars="0"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u w:val="none"/>
          <w:shd w:val="clear"/>
          <w:lang w:val="en-US" w:eastAsia="zh-CN" w:bidi="ar-SA"/>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kern w:val="2"/>
          <w:sz w:val="32"/>
          <w:szCs w:val="32"/>
          <w:highlight w:val="none"/>
          <w:shd w:val="clear"/>
          <w14:textFill>
            <w14:solidFill>
              <w14:schemeClr w14:val="tx1"/>
            </w14:solidFill>
          </w14:textFill>
        </w:rPr>
        <w:t>实</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施详细规划成果技术审查</w:t>
      </w:r>
      <w:r>
        <w:rPr>
          <w:rFonts w:hint="eastAsia" w:ascii="仿宋_GB2312" w:hAnsi="仿宋_GB2312" w:eastAsia="仿宋_GB2312" w:cs="仿宋_GB2312"/>
          <w:snapToGrid/>
          <w:color w:val="000000" w:themeColor="text1"/>
          <w:kern w:val="2"/>
          <w:sz w:val="32"/>
          <w:szCs w:val="32"/>
          <w:highlight w:val="none"/>
          <w:shd w:val="clear"/>
          <w:lang w:val="en-US" w:eastAsia="zh-CN" w:bidi="ar-SA"/>
          <w14:textFill>
            <w14:solidFill>
              <w14:schemeClr w14:val="tx1"/>
            </w14:solidFill>
          </w14:textFill>
        </w:rPr>
        <w:t>以提交审查项目个数核算，</w:t>
      </w:r>
      <w:r>
        <w:rPr>
          <w:rFonts w:hint="eastAsia" w:ascii="仿宋_GB2312" w:hAnsi="仿宋_GB2312" w:eastAsia="仿宋_GB2312" w:cs="仿宋_GB2312"/>
          <w:snapToGrid/>
          <w:color w:val="000000" w:themeColor="text1"/>
          <w:kern w:val="2"/>
          <w:sz w:val="32"/>
          <w:szCs w:val="32"/>
          <w:highlight w:val="none"/>
          <w:u w:val="none"/>
          <w:shd w:val="clear"/>
          <w:lang w:val="en-US" w:eastAsia="zh-CN" w:bidi="ar-SA"/>
          <w14:textFill>
            <w14:solidFill>
              <w14:schemeClr w14:val="tx1"/>
            </w14:solidFill>
          </w14:textFill>
        </w:rPr>
        <w:t>单价</w:t>
      </w:r>
      <w:r>
        <w:rPr>
          <w:rFonts w:ascii="仿宋_GB2312" w:hAnsi="仿宋_GB2312" w:eastAsia="仿宋_GB2312" w:cs="仿宋_GB2312"/>
          <w:snapToGrid/>
          <w:color w:val="000000" w:themeColor="text1"/>
          <w:kern w:val="2"/>
          <w:sz w:val="32"/>
          <w:szCs w:val="32"/>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u w:val="single"/>
          <w:shd w:val="clear"/>
          <w:lang w:val="en-US" w:eastAsia="zh-CN" w:bidi="ar-SA"/>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none"/>
          <w:shd w:val="clear"/>
          <w:lang w:val="en-US" w:eastAsia="zh-CN" w:bidi="ar-SA"/>
          <w14:textFill>
            <w14:solidFill>
              <w14:schemeClr w14:val="tx1"/>
            </w14:solidFill>
          </w14:textFill>
        </w:rPr>
        <w:t xml:space="preserve">元/个 </w:t>
      </w:r>
    </w:p>
    <w:p w14:paraId="4704EC64">
      <w:pPr>
        <w:widowControl w:val="0"/>
        <w:suppressAutoHyphens/>
        <w:kinsoku/>
        <w:autoSpaceDE/>
        <w:autoSpaceDN/>
        <w:adjustRightInd/>
        <w:snapToGrid/>
        <w:spacing w:line="560" w:lineRule="exact"/>
        <w:ind w:left="0" w:leftChars="0" w:firstLine="640" w:firstLineChars="200"/>
        <w:jc w:val="both"/>
        <w:textAlignment w:val="auto"/>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shd w:val="clear"/>
          <w:lang w:val="en-US" w:eastAsia="zh-CN" w:bidi="ar-SA"/>
          <w14:textFill>
            <w14:solidFill>
              <w14:schemeClr w14:val="tx1"/>
            </w14:solidFill>
          </w14:textFill>
        </w:rPr>
        <w:t>4.</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shd w:val="clear"/>
          <w:lang w:val="en-US" w:eastAsia="zh-CN" w:bidi="ar-SA"/>
          <w14:textFill>
            <w14:solidFill>
              <w14:schemeClr w14:val="tx1"/>
            </w14:solidFill>
          </w14:textFill>
        </w:rPr>
        <w:t>公示牌小样制作以提交</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正式小样个数核算，单价</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u w:val="non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元</w:t>
      </w:r>
      <w:r>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个。</w:t>
      </w:r>
    </w:p>
    <w:p w14:paraId="4BB505B2">
      <w:pPr>
        <w:widowControl w:val="0"/>
        <w:suppressAutoHyphens/>
        <w:kinsoku/>
        <w:autoSpaceDE/>
        <w:autoSpaceDN/>
        <w:adjustRightInd/>
        <w:snapToGrid/>
        <w:spacing w:line="560" w:lineRule="exact"/>
        <w:ind w:firstLine="640" w:firstLineChars="200"/>
        <w:jc w:val="both"/>
        <w:textAlignment w:val="auto"/>
        <w:rPr>
          <w:rFonts w:hint="default"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5.</w:t>
      </w:r>
      <w:r>
        <w:rPr>
          <w:rFonts w:hint="eastAsia" w:ascii="仿宋" w:hAnsi="仿宋" w:eastAsia="仿宋" w:cs="仿宋"/>
          <w:sz w:val="32"/>
          <w:szCs w:val="32"/>
          <w:highlight w:val="none"/>
        </w:rPr>
        <w:t>根据</w:t>
      </w:r>
      <w:r>
        <w:rPr>
          <w:rFonts w:hint="eastAsia" w:ascii="仿宋" w:hAnsi="仿宋" w:eastAsia="仿宋" w:cs="仿宋"/>
          <w:sz w:val="32"/>
          <w:szCs w:val="32"/>
          <w:highlight w:val="none"/>
          <w:lang w:eastAsia="zh-CN"/>
        </w:rPr>
        <w:t>《国家计委（计价格[2001]1218号）文规定，城市规划</w:t>
      </w:r>
      <w:r>
        <w:rPr>
          <w:rFonts w:hint="eastAsia" w:ascii="仿宋" w:hAnsi="仿宋" w:eastAsia="仿宋" w:cs="仿宋"/>
          <w:sz w:val="32"/>
          <w:szCs w:val="32"/>
          <w:highlight w:val="none"/>
          <w:lang w:val="en-US" w:eastAsia="zh-CN"/>
        </w:rPr>
        <w:t>技术咨询服务</w:t>
      </w:r>
      <w:r>
        <w:rPr>
          <w:rFonts w:hint="eastAsia" w:ascii="仿宋" w:hAnsi="仿宋" w:eastAsia="仿宋" w:cs="仿宋"/>
          <w:sz w:val="32"/>
          <w:szCs w:val="32"/>
          <w:highlight w:val="none"/>
          <w:lang w:eastAsia="zh-CN"/>
        </w:rPr>
        <w:t>费用实行甲乙双方议价。</w:t>
      </w:r>
      <w:r>
        <w:rPr>
          <w:rFonts w:hint="eastAsia" w:ascii="仿宋" w:hAnsi="仿宋" w:eastAsia="仿宋" w:cs="仿宋"/>
          <w:sz w:val="32"/>
          <w:szCs w:val="32"/>
          <w:highlight w:val="none"/>
          <w:lang w:val="en-US" w:eastAsia="zh-CN"/>
        </w:rPr>
        <w:t>根据</w:t>
      </w:r>
      <w:r>
        <w:rPr>
          <w:rFonts w:hint="eastAsia" w:ascii="仿宋" w:hAnsi="仿宋" w:eastAsia="仿宋" w:cs="仿宋"/>
          <w:sz w:val="32"/>
          <w:szCs w:val="32"/>
          <w:highlight w:val="none"/>
          <w:lang w:eastAsia="zh-CN"/>
        </w:rPr>
        <w:t>中国城市规划协会《城市规划设计计费指导意见》（2004年6月）、《城乡规划设计计费指导意见（2017版征求意见稿）》及</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西安市加强国</w:t>
      </w:r>
      <w:r>
        <w:rPr>
          <w:rFonts w:hint="eastAsia" w:ascii="仿宋" w:hAnsi="仿宋" w:eastAsia="仿宋" w:cs="仿宋"/>
          <w:sz w:val="32"/>
          <w:szCs w:val="32"/>
          <w:highlight w:val="none"/>
          <w:lang w:val="en-US" w:eastAsia="zh-CN"/>
        </w:rPr>
        <w:t>土</w:t>
      </w:r>
      <w:r>
        <w:rPr>
          <w:rFonts w:hint="eastAsia" w:ascii="仿宋" w:hAnsi="仿宋" w:eastAsia="仿宋" w:cs="仿宋"/>
          <w:sz w:val="32"/>
          <w:szCs w:val="32"/>
          <w:highlight w:val="none"/>
          <w:lang w:eastAsia="zh-CN"/>
        </w:rPr>
        <w:t>空间详细规划、实施详细规划、宗地规划许可和“规</w:t>
      </w:r>
      <w:r>
        <w:rPr>
          <w:rFonts w:hint="eastAsia" w:ascii="仿宋" w:hAnsi="仿宋" w:eastAsia="仿宋" w:cs="仿宋"/>
          <w:sz w:val="32"/>
          <w:szCs w:val="32"/>
          <w:highlight w:val="none"/>
          <w:lang w:val="en-US" w:eastAsia="zh-CN"/>
        </w:rPr>
        <w:t>土</w:t>
      </w:r>
      <w:r>
        <w:rPr>
          <w:rFonts w:hint="eastAsia" w:ascii="仿宋" w:hAnsi="仿宋" w:eastAsia="仿宋" w:cs="仿宋"/>
          <w:sz w:val="32"/>
          <w:szCs w:val="32"/>
          <w:highlight w:val="none"/>
          <w:lang w:eastAsia="zh-CN"/>
        </w:rPr>
        <w:t>评让”一体化组织管理及相关规划计费指引(试行)》市资源发〔2025〕</w:t>
      </w:r>
      <w:r>
        <w:rPr>
          <w:rFonts w:hint="eastAsia" w:ascii="仿宋" w:hAnsi="仿宋" w:eastAsia="仿宋" w:cs="仿宋"/>
          <w:sz w:val="32"/>
          <w:szCs w:val="32"/>
          <w:highlight w:val="none"/>
          <w:lang w:val="en-US" w:eastAsia="zh-CN"/>
        </w:rPr>
        <w:t>127</w:t>
      </w:r>
      <w:r>
        <w:rPr>
          <w:rFonts w:hint="eastAsia" w:ascii="仿宋" w:hAnsi="仿宋" w:eastAsia="仿宋" w:cs="仿宋"/>
          <w:sz w:val="32"/>
          <w:szCs w:val="32"/>
          <w:highlight w:val="none"/>
          <w:lang w:eastAsia="zh-CN"/>
        </w:rPr>
        <w:t>号</w:t>
      </w:r>
      <w:r>
        <w:rPr>
          <w:rFonts w:hint="eastAsia" w:ascii="仿宋" w:hAnsi="仿宋" w:eastAsia="仿宋" w:cs="仿宋"/>
          <w:sz w:val="32"/>
          <w:szCs w:val="32"/>
          <w:highlight w:val="none"/>
          <w:lang w:val="en-US" w:eastAsia="zh-CN"/>
        </w:rPr>
        <w:t>文</w:t>
      </w:r>
      <w:r>
        <w:rPr>
          <w:rFonts w:hint="eastAsia" w:ascii="仿宋" w:hAnsi="仿宋" w:eastAsia="仿宋" w:cs="仿宋"/>
          <w:sz w:val="32"/>
          <w:szCs w:val="32"/>
          <w:highlight w:val="none"/>
          <w:lang w:eastAsia="zh-CN"/>
        </w:rPr>
        <w:t>，同一收费项目在2004版计费标准与2017版计费标准中并存时，计费标准按“就低”原则执行，该</w:t>
      </w:r>
      <w:r>
        <w:rPr>
          <w:rFonts w:hint="eastAsia" w:ascii="仿宋" w:hAnsi="仿宋" w:eastAsia="仿宋" w:cs="仿宋"/>
          <w:sz w:val="32"/>
          <w:szCs w:val="32"/>
          <w:highlight w:val="none"/>
          <w:lang w:val="en-US" w:eastAsia="zh-CN"/>
        </w:rPr>
        <w:t>规划技术咨询服务</w:t>
      </w:r>
      <w:r>
        <w:rPr>
          <w:rFonts w:hint="eastAsia" w:ascii="仿宋" w:hAnsi="仿宋" w:eastAsia="仿宋" w:cs="仿宋"/>
          <w:sz w:val="32"/>
          <w:szCs w:val="32"/>
          <w:highlight w:val="none"/>
          <w:lang w:eastAsia="zh-CN"/>
        </w:rPr>
        <w:t>费用根据项目发生量据实结算。</w:t>
      </w:r>
    </w:p>
    <w:p w14:paraId="15BB4ED3">
      <w:pPr>
        <w:widowControl/>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FF"/>
          <w:kern w:val="2"/>
          <w:sz w:val="32"/>
          <w:szCs w:val="32"/>
          <w:highlight w:val="none"/>
          <w:lang w:eastAsia="zh-CN"/>
        </w:rPr>
      </w:pPr>
      <w:r>
        <w:rPr>
          <w:rFonts w:ascii="仿宋_GB2312" w:hAnsi="仿宋_GB2312" w:eastAsia="仿宋_GB2312" w:cs="仿宋_GB2312"/>
          <w:b/>
          <w:bCs/>
          <w:snapToGrid/>
          <w:color w:val="auto"/>
          <w:kern w:val="2"/>
          <w:sz w:val="32"/>
          <w:szCs w:val="32"/>
          <w:highlight w:val="none"/>
          <w:lang w:eastAsia="zh-CN"/>
        </w:rPr>
        <w:t>6</w:t>
      </w:r>
      <w:r>
        <w:rPr>
          <w:rFonts w:hint="eastAsia" w:ascii="仿宋_GB2312" w:hAnsi="仿宋_GB2312" w:eastAsia="仿宋_GB2312" w:cs="仿宋_GB2312"/>
          <w:b/>
          <w:bCs/>
          <w:snapToGrid/>
          <w:color w:val="auto"/>
          <w:kern w:val="2"/>
          <w:sz w:val="32"/>
          <w:szCs w:val="32"/>
          <w:highlight w:val="none"/>
          <w:lang w:eastAsia="zh-CN"/>
        </w:rPr>
        <w:t>.2</w:t>
      </w:r>
      <w:r>
        <w:rPr>
          <w:rFonts w:hint="eastAsia" w:ascii="仿宋_GB2312" w:hAnsi="仿宋_GB2312" w:eastAsia="仿宋_GB2312" w:cs="仿宋_GB2312"/>
          <w:snapToGrid/>
          <w:color w:val="auto"/>
          <w:kern w:val="2"/>
          <w:sz w:val="32"/>
          <w:szCs w:val="32"/>
          <w:highlight w:val="none"/>
          <w:lang w:eastAsia="zh-CN"/>
        </w:rPr>
        <w:t xml:space="preserve"> 付款方式</w:t>
      </w:r>
      <w:r>
        <w:rPr>
          <w:rFonts w:hint="eastAsia" w:ascii="仿宋_GB2312" w:hAnsi="仿宋_GB2312" w:eastAsia="仿宋_GB2312" w:cs="仿宋_GB2312"/>
          <w:snapToGrid w:val="0"/>
          <w:color w:val="auto"/>
          <w:kern w:val="0"/>
          <w:sz w:val="32"/>
          <w:szCs w:val="32"/>
          <w:highlight w:val="none"/>
          <w:lang w:eastAsia="zh-CN" w:bidi="ar"/>
        </w:rPr>
        <w:t>：</w:t>
      </w:r>
      <w:r>
        <w:rPr>
          <w:rFonts w:hint="eastAsia" w:ascii="仿宋_GB2312" w:hAnsi="仿宋_GB2312" w:eastAsia="仿宋_GB2312" w:cs="仿宋_GB2312"/>
          <w:snapToGrid w:val="0"/>
          <w:color w:val="auto"/>
          <w:kern w:val="0"/>
          <w:sz w:val="32"/>
          <w:szCs w:val="32"/>
          <w:highlight w:val="none"/>
          <w:lang w:val="en-US" w:eastAsia="zh-CN" w:bidi="ar"/>
        </w:rPr>
        <w:t>每半年，乙方应向采购方出具书面付款通知（注明开户行及账户信息）以及符合国家财税规定的增值税发票，且乙方提交已完成审查的实施详细规划地块数量、建设工程规划设计方案审查面积、规划公示牌小样制作等工作量总结的书面文件给采购方。甲方收到书面文件审核无异议后， 根据单价和实际完成审查项目并收到合规的发票，达到付款条件起30日内，支付合同总金额的100.00%。</w:t>
      </w:r>
    </w:p>
    <w:p w14:paraId="5E5CB684">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6</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w:t>
      </w: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3</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结算方式：服务期满后，据实进行结算，支付剩余款项。</w:t>
      </w:r>
    </w:p>
    <w:p w14:paraId="2E6BD17D">
      <w:pPr>
        <w:spacing w:line="560" w:lineRule="exact"/>
        <w:ind w:firstLine="643" w:firstLineChars="200"/>
        <w:jc w:val="both"/>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6</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w:t>
      </w: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4</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乙方开户银行名称、地址、账号为：</w:t>
      </w:r>
    </w:p>
    <w:p w14:paraId="39866877">
      <w:pPr>
        <w:spacing w:line="560" w:lineRule="exact"/>
        <w:ind w:firstLine="640" w:firstLineChars="200"/>
        <w:jc w:val="both"/>
        <w:rPr>
          <w:rFonts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开户银行：</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t xml:space="preserve"> </w:t>
      </w:r>
    </w:p>
    <w:p w14:paraId="08567DAF">
      <w:pPr>
        <w:spacing w:line="560" w:lineRule="exact"/>
        <w:ind w:firstLine="640" w:firstLineChars="200"/>
        <w:jc w:val="both"/>
        <w:rPr>
          <w:rFonts w:hint="default"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地    址：</w:t>
      </w:r>
      <w:r>
        <w:rPr>
          <w:rFonts w:hint="eastAsia"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p>
    <w:p w14:paraId="2DCAF179">
      <w:pPr>
        <w:spacing w:line="560" w:lineRule="exact"/>
        <w:ind w:firstLine="640" w:firstLineChars="200"/>
        <w:jc w:val="both"/>
        <w:rPr>
          <w:rFonts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账    号：</w:t>
      </w:r>
      <w:r>
        <w:rPr>
          <w:rFonts w:hint="eastAsia"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t xml:space="preserve"> </w:t>
      </w:r>
    </w:p>
    <w:p w14:paraId="7512377C">
      <w:pPr>
        <w:spacing w:line="560" w:lineRule="exact"/>
        <w:ind w:firstLine="640" w:firstLineChars="200"/>
        <w:jc w:val="both"/>
        <w:rPr>
          <w:rFonts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甲方向乙方支付服务报酬前，乙方须向甲方提出付款申请并提供信息正确、等额且符合税法要求的发票，经甲方审核通过后以银行转账或其他形式支付至合同载明的账户。否则甲方有权延迟履行付款义务。如因乙方缘故（如开具增值税发票延误等）导致甲方无法按时付款，甲方不承担违约责任。</w:t>
      </w:r>
    </w:p>
    <w:p w14:paraId="53D57EA5">
      <w:pPr>
        <w:pStyle w:val="2"/>
        <w:rPr>
          <w:rFonts w:ascii="Times New Roman" w:hAnsi="Times New Roman" w:eastAsia="黑体" w:cs="黑体"/>
          <w:color w:val="000000" w:themeColor="text1"/>
          <w:szCs w:val="32"/>
          <w:highlight w:val="none"/>
          <w14:textFill>
            <w14:solidFill>
              <w14:schemeClr w14:val="tx1"/>
            </w14:solidFill>
          </w14:textFill>
        </w:rPr>
      </w:pPr>
      <w:r>
        <w:rPr>
          <w:rFonts w:ascii="Times New Roman" w:hAnsi="Times New Roman" w:eastAsia="黑体" w:cs="黑体"/>
          <w:color w:val="000000" w:themeColor="text1"/>
          <w:szCs w:val="32"/>
          <w:highlight w:val="none"/>
          <w14:textFill>
            <w14:solidFill>
              <w14:schemeClr w14:val="tx1"/>
            </w14:solidFill>
          </w14:textFill>
        </w:rPr>
        <w:t>第七条  甲乙双方的责任</w:t>
      </w:r>
    </w:p>
    <w:p w14:paraId="50A4DF82">
      <w:pPr>
        <w:widowControl/>
        <w:suppressAutoHyphens/>
        <w:kinsoku/>
        <w:autoSpaceDE/>
        <w:autoSpaceDN/>
        <w:adjustRightInd/>
        <w:snapToGrid/>
        <w:spacing w:line="560" w:lineRule="exact"/>
        <w:ind w:firstLine="643" w:firstLineChars="200"/>
        <w:jc w:val="both"/>
        <w:textAlignment w:val="auto"/>
        <w:rPr>
          <w:rFonts w:hint="eastAsia" w:ascii="仿宋_GB2312" w:hAnsi="仿宋_GB2312" w:eastAsia="仿宋_GB2312" w:cs="仿宋_GB2312"/>
          <w:snapToGrid w:val="0"/>
          <w:color w:val="000000" w:themeColor="text1"/>
          <w:kern w:val="0"/>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7</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.1</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w:t>
      </w:r>
      <w:r>
        <w:rPr>
          <w:rFonts w:hint="eastAsia" w:ascii="仿宋_GB2312" w:hAnsi="仿宋_GB2312" w:eastAsia="仿宋_GB2312" w:cs="仿宋_GB2312"/>
          <w:snapToGrid w:val="0"/>
          <w:color w:val="000000" w:themeColor="text1"/>
          <w:kern w:val="0"/>
          <w:sz w:val="32"/>
          <w:szCs w:val="32"/>
          <w:highlight w:val="none"/>
          <w:lang w:eastAsia="zh-CN"/>
          <w14:textFill>
            <w14:solidFill>
              <w14:schemeClr w14:val="tx1"/>
            </w14:solidFill>
          </w14:textFill>
        </w:rPr>
        <w:t>甲方应如实提交有关材料和反映真实情况（电子件与纸质文件应一致）,并对申请材料实质内容的真实性负责。若存在虚报、瞒报、造假等不当行为，乙方将依法向有关部门反映，并不予承担由此产生的连带责任。甲方提交文件如果超过时间10天，乙方审查周期的各个阶段随之顺延；超过10天以上的，</w:t>
      </w:r>
      <w:r>
        <w:rPr>
          <w:rFonts w:hint="eastAsia" w:ascii="仿宋_GB2312" w:hAnsi="仿宋_GB2312" w:eastAsia="仿宋_GB2312" w:cs="仿宋_GB2312"/>
          <w:snapToGrid w:val="0"/>
          <w:color w:val="000000" w:themeColor="text1"/>
          <w:kern w:val="0"/>
          <w:sz w:val="32"/>
          <w:szCs w:val="32"/>
          <w:highlight w:val="none"/>
          <w:lang w:val="en-US" w:eastAsia="zh-CN" w:bidi="ar"/>
          <w14:textFill>
            <w14:solidFill>
              <w14:schemeClr w14:val="tx1"/>
            </w14:solidFill>
          </w14:textFill>
        </w:rPr>
        <w:t>乙方有权重新与甲方协商确定审查时间</w:t>
      </w:r>
      <w:r>
        <w:rPr>
          <w:rFonts w:hint="eastAsia" w:ascii="仿宋_GB2312" w:hAnsi="仿宋_GB2312" w:eastAsia="仿宋_GB2312" w:cs="仿宋_GB2312"/>
          <w:snapToGrid w:val="0"/>
          <w:color w:val="000000" w:themeColor="text1"/>
          <w:kern w:val="0"/>
          <w:sz w:val="32"/>
          <w:szCs w:val="32"/>
          <w:highlight w:val="none"/>
          <w:lang w:eastAsia="zh-CN"/>
          <w14:textFill>
            <w14:solidFill>
              <w14:schemeClr w14:val="tx1"/>
            </w14:solidFill>
          </w14:textFill>
        </w:rPr>
        <w:t>。</w:t>
      </w:r>
    </w:p>
    <w:p w14:paraId="6BDEDE17">
      <w:pPr>
        <w:keepNext w:val="0"/>
        <w:keepLines w:val="0"/>
        <w:widowControl/>
        <w:suppressLineNumbers w:val="0"/>
        <w:kinsoku/>
        <w:autoSpaceDE/>
        <w:autoSpaceDN/>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highlight w:val="none"/>
          <w:lang w:eastAsia="zh-CN"/>
          <w14:textFill>
            <w14:solidFill>
              <w14:schemeClr w14:val="tx1"/>
            </w14:solidFill>
          </w14:textFill>
        </w:rPr>
        <w:t>由于乙方原因造成乙方未在规定时间内完成审查任务，</w:t>
      </w:r>
      <w:r>
        <w:rPr>
          <w:rFonts w:hint="eastAsia" w:ascii="仿宋_GB2312" w:hAnsi="仿宋_GB2312" w:eastAsia="仿宋_GB2312" w:cs="仿宋_GB2312"/>
          <w:snapToGrid w:val="0"/>
          <w:color w:val="000000" w:themeColor="text1"/>
          <w:kern w:val="0"/>
          <w:sz w:val="32"/>
          <w:szCs w:val="32"/>
          <w:highlight w:val="none"/>
          <w:lang w:val="en-US" w:eastAsia="zh-CN"/>
          <w14:textFill>
            <w14:solidFill>
              <w14:schemeClr w14:val="tx1"/>
            </w14:solidFill>
          </w14:textFill>
        </w:rPr>
        <w:t>每迟延一天，</w:t>
      </w:r>
      <w:r>
        <w:rPr>
          <w:rFonts w:hint="eastAsia" w:ascii="仿宋_GB2312" w:hAnsi="仿宋_GB2312" w:eastAsia="仿宋_GB2312" w:cs="仿宋_GB2312"/>
          <w:snapToGrid w:val="0"/>
          <w:color w:val="000000" w:themeColor="text1"/>
          <w:kern w:val="0"/>
          <w:sz w:val="32"/>
          <w:szCs w:val="32"/>
          <w:highlight w:val="none"/>
          <w:lang w:val="en-US" w:eastAsia="zh-CN" w:bidi="ar"/>
          <w14:textFill>
            <w14:solidFill>
              <w14:schemeClr w14:val="tx1"/>
            </w14:solidFill>
          </w14:textFill>
        </w:rPr>
        <w:t>乙方向甲方支付</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合同暂定金额</w:t>
      </w:r>
      <w:r>
        <w:rPr>
          <w:rFonts w:hint="eastAsia" w:ascii="仿宋_GB2312" w:hAnsi="仿宋_GB2312" w:eastAsia="仿宋_GB2312" w:cs="仿宋_GB2312"/>
          <w:snapToGrid w:val="0"/>
          <w:color w:val="000000" w:themeColor="text1"/>
          <w:kern w:val="0"/>
          <w:sz w:val="32"/>
          <w:szCs w:val="32"/>
          <w:highlight w:val="none"/>
          <w:lang w:val="en-US" w:eastAsia="zh-CN" w:bidi="ar"/>
          <w14:textFill>
            <w14:solidFill>
              <w14:schemeClr w14:val="tx1"/>
            </w14:solidFill>
          </w14:textFill>
        </w:rPr>
        <w:t>的 1‰作为违约金，甲方有权要求乙方承担由此给甲方造成的损失。</w:t>
      </w:r>
    </w:p>
    <w:p w14:paraId="25BF959F">
      <w:pPr>
        <w:widowControl w:val="0"/>
        <w:suppressAutoHyphens/>
        <w:kinsoku/>
        <w:autoSpaceDE/>
        <w:autoSpaceDN/>
        <w:adjustRightInd/>
        <w:snapToGrid/>
        <w:spacing w:line="560" w:lineRule="exact"/>
        <w:ind w:firstLine="640"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由于甲方原因造成甲方未在规定时间内向乙方支付服务费用，每迟延一天，甲方向乙方支付合同暂定金额的1‰作为违约金</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并要求甲方承担由此给乙方造成的损失</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p>
    <w:p w14:paraId="472CD5B1">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7</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.2</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甲方变更委托设计项目、规模、条件或因提交资料的错误，或所提交的资料做重大修改，以至造成乙方设计返工时双方除需另行协商补充协议、重新明确有关条款外，还需根据所耗工作量增付审查费用。</w:t>
      </w:r>
    </w:p>
    <w:p w14:paraId="14765D8D">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7</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.3</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甲方协助乙方人员在现场期间调研等事宜。</w:t>
      </w:r>
    </w:p>
    <w:p w14:paraId="51ECF2F9">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7</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.4</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乙方方案与甲方要求有矛盾时，乙方需根据国家及地方有关规划设计规范和规划主管部门的意见进行修改。</w:t>
      </w:r>
    </w:p>
    <w:p w14:paraId="6EDD712E">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7.5</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乙方不得将甲方的设计方案及成果转让第三方。涉秘项目应尽到保密义务，</w:t>
      </w:r>
      <w:r>
        <w:rPr>
          <w:rFonts w:hint="eastAsia" w:ascii="仿宋_GB2312" w:hAnsi="仿宋_GB2312" w:eastAsia="仿宋_GB2312" w:cs="仿宋_GB2312"/>
          <w:snapToGrid/>
          <w:color w:val="000000" w:themeColor="text1"/>
          <w:kern w:val="2"/>
          <w:sz w:val="32"/>
          <w:szCs w:val="32"/>
          <w:highlight w:val="none"/>
          <w:lang w:val="en-US" w:eastAsia="zh-CN" w:bidi="ar"/>
          <w14:textFill>
            <w14:solidFill>
              <w14:schemeClr w14:val="tx1"/>
            </w14:solidFill>
          </w14:textFill>
        </w:rPr>
        <w:t>若因乙方未尽到保密义务而导致甲方受到损失的，应当承担由此给甲方造成的损失</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w:t>
      </w:r>
    </w:p>
    <w:p w14:paraId="5A6F5713">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7</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.6</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经甲方审查发现，乙方未按国家或省、市有关技术标准、规程、规定完成任务，甲方有权要求乙方返工或解除合同，甲方有权扣除单项审查金额的</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1</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%作为合同违约金。</w:t>
      </w:r>
    </w:p>
    <w:p w14:paraId="4126EC92">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7</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 xml:space="preserve">.7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《地块实施详细规划成果技术审查报告》、《建设工程</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设计方案技术审查意见书》、《</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规划设计方案</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日照分析报告复核意见书》</w:t>
      </w:r>
      <w:r>
        <w:rPr>
          <w:rFonts w:hint="eastAsia" w:ascii="仿宋_GB2312" w:hAnsi="仿宋_GB2312" w:eastAsia="仿宋_GB2312" w:cs="仿宋_GB2312"/>
          <w:snapToGrid/>
          <w:color w:val="000000" w:themeColor="text1"/>
          <w:kern w:val="2"/>
          <w:sz w:val="32"/>
          <w:szCs w:val="32"/>
          <w:highlight w:val="none"/>
          <w:lang w:val="en-US" w:eastAsia="zh-CN"/>
          <w14:textFill>
            <w14:solidFill>
              <w14:schemeClr w14:val="tx1"/>
            </w14:solidFill>
          </w14:textFill>
        </w:rPr>
        <w:t>及规划咨询</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知识产权归于甲方所有，乙方享有该成果的署名权，并有权为进行科学研究、学术交流研讨、自身宣传、行业评奖评优等原因自行使用技术成果。除本合同约定的使用方式外，乙方如需使用应当提前通知甲方，但使用时不得侵害另一方包括署名权在内的合法权益。</w:t>
      </w:r>
    </w:p>
    <w:p w14:paraId="5BA5180B">
      <w:pPr>
        <w:pStyle w:val="2"/>
        <w:suppressAutoHyphens/>
        <w:ind w:firstLine="640"/>
        <w:rPr>
          <w:rFonts w:ascii="Times New Roman" w:hAnsi="Times New Roman" w:eastAsia="黑体" w:cs="黑体"/>
          <w:color w:val="000000" w:themeColor="text1"/>
          <w:szCs w:val="32"/>
          <w:highlight w:val="none"/>
          <w14:textFill>
            <w14:solidFill>
              <w14:schemeClr w14:val="tx1"/>
            </w14:solidFill>
          </w14:textFill>
        </w:rPr>
      </w:pPr>
      <w:r>
        <w:rPr>
          <w:rFonts w:ascii="Times New Roman" w:hAnsi="Times New Roman" w:eastAsia="黑体" w:cs="黑体"/>
          <w:color w:val="000000" w:themeColor="text1"/>
          <w:szCs w:val="32"/>
          <w:highlight w:val="none"/>
          <w14:textFill>
            <w14:solidFill>
              <w14:schemeClr w14:val="tx1"/>
            </w14:solidFill>
          </w14:textFill>
        </w:rPr>
        <w:t>第八条</w:t>
      </w:r>
      <w:r>
        <w:rPr>
          <w:rFonts w:hint="eastAsia" w:ascii="Times New Roman" w:hAnsi="Times New Roman" w:eastAsia="黑体" w:cs="黑体"/>
          <w:color w:val="000000" w:themeColor="text1"/>
          <w:szCs w:val="32"/>
          <w:highlight w:val="none"/>
          <w14:textFill>
            <w14:solidFill>
              <w14:schemeClr w14:val="tx1"/>
            </w14:solidFill>
          </w14:textFill>
        </w:rPr>
        <w:t xml:space="preserve">  </w:t>
      </w:r>
      <w:r>
        <w:rPr>
          <w:rFonts w:ascii="Times New Roman" w:hAnsi="Times New Roman" w:eastAsia="黑体" w:cs="黑体"/>
          <w:color w:val="000000" w:themeColor="text1"/>
          <w:szCs w:val="32"/>
          <w:highlight w:val="none"/>
          <w14:textFill>
            <w14:solidFill>
              <w14:schemeClr w14:val="tx1"/>
            </w14:solidFill>
          </w14:textFill>
        </w:rPr>
        <w:t>争议解决方式</w:t>
      </w:r>
    </w:p>
    <w:p w14:paraId="45FF21BF">
      <w:pPr>
        <w:widowControl w:val="0"/>
        <w:suppressAutoHyphens/>
        <w:kinsoku/>
        <w:autoSpaceDE/>
        <w:autoSpaceDN/>
        <w:adjustRightInd/>
        <w:snapToGrid/>
        <w:spacing w:line="560" w:lineRule="exact"/>
        <w:ind w:firstLine="640" w:firstLineChars="200"/>
        <w:jc w:val="both"/>
        <w:textAlignment w:val="auto"/>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pP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合同履行过程中，甲乙双方发生任何争议应协议解决，协商不成可以向甲方所在地人民法院提起诉讼。</w:t>
      </w:r>
    </w:p>
    <w:p w14:paraId="2795D9DC">
      <w:pPr>
        <w:pStyle w:val="2"/>
        <w:suppressAutoHyphens/>
        <w:ind w:firstLine="640"/>
        <w:rPr>
          <w:rFonts w:ascii="Times New Roman" w:hAnsi="Times New Roman" w:eastAsia="黑体" w:cs="黑体"/>
          <w:color w:val="000000" w:themeColor="text1"/>
          <w:szCs w:val="32"/>
          <w:highlight w:val="none"/>
          <w14:textFill>
            <w14:solidFill>
              <w14:schemeClr w14:val="tx1"/>
            </w14:solidFill>
          </w14:textFill>
        </w:rPr>
      </w:pPr>
      <w:r>
        <w:rPr>
          <w:rFonts w:hint="eastAsia" w:ascii="Times New Roman" w:hAnsi="Times New Roman" w:eastAsia="黑体" w:cs="黑体"/>
          <w:color w:val="000000" w:themeColor="text1"/>
          <w:szCs w:val="32"/>
          <w:highlight w:val="none"/>
          <w14:textFill>
            <w14:solidFill>
              <w14:schemeClr w14:val="tx1"/>
            </w14:solidFill>
          </w14:textFill>
        </w:rPr>
        <w:t>第九条  其他</w:t>
      </w:r>
    </w:p>
    <w:p w14:paraId="5FA49311">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9</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.1</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本合同未尽事宜，双方可签订补充协议，补充协议与本合同具有同等效力。</w:t>
      </w:r>
    </w:p>
    <w:p w14:paraId="503CEA4D">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9</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.2</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本合同一式</w:t>
      </w:r>
      <w:r>
        <w:rPr>
          <w:rFonts w:hint="eastAsia"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份，甲乙双方各执</w:t>
      </w:r>
      <w:r>
        <w:rPr>
          <w:rFonts w:hint="eastAsia"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u w:val="single"/>
          <w:lang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份。</w:t>
      </w:r>
    </w:p>
    <w:p w14:paraId="39F2A13A">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9</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.3</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遇不可抗力、非乙方因素等其它因素造成合同设计内容变化，双方再补签合同确定具体事宜。</w:t>
      </w:r>
    </w:p>
    <w:p w14:paraId="53D9E6D0">
      <w:pPr>
        <w:widowControl w:val="0"/>
        <w:suppressAutoHyphens/>
        <w:kinsoku/>
        <w:autoSpaceDE/>
        <w:autoSpaceDN/>
        <w:adjustRightInd/>
        <w:snapToGrid/>
        <w:spacing w:line="560" w:lineRule="exact"/>
        <w:ind w:firstLine="643" w:firstLineChars="200"/>
        <w:jc w:val="both"/>
        <w:textAlignment w:val="auto"/>
        <w:rPr>
          <w:rFonts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pPr>
      <w:r>
        <w:rPr>
          <w:rFonts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9</w:t>
      </w:r>
      <w:r>
        <w:rPr>
          <w:rFonts w:hint="eastAsia" w:ascii="仿宋_GB2312" w:hAnsi="仿宋_GB2312" w:eastAsia="仿宋_GB2312" w:cs="仿宋_GB2312"/>
          <w:b/>
          <w:bCs/>
          <w:snapToGrid/>
          <w:color w:val="000000" w:themeColor="text1"/>
          <w:kern w:val="2"/>
          <w:sz w:val="32"/>
          <w:szCs w:val="32"/>
          <w:highlight w:val="none"/>
          <w:lang w:eastAsia="zh-CN"/>
          <w14:textFill>
            <w14:solidFill>
              <w14:schemeClr w14:val="tx1"/>
            </w14:solidFill>
          </w14:textFill>
        </w:rPr>
        <w:t>.4</w:t>
      </w: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 xml:space="preserve"> 本合同自双方盖章之日起生效，双方履行完合同规定的义务后，本合同即行终止。</w:t>
      </w:r>
    </w:p>
    <w:p w14:paraId="45415A89">
      <w:pPr>
        <w:widowControl w:val="0"/>
        <w:suppressAutoHyphens/>
        <w:kinsoku/>
        <w:autoSpaceDE/>
        <w:autoSpaceDN/>
        <w:adjustRightInd/>
        <w:snapToGrid/>
        <w:spacing w:line="560" w:lineRule="exact"/>
        <w:ind w:firstLine="640" w:firstLineChars="200"/>
        <w:jc w:val="both"/>
        <w:textAlignment w:val="auto"/>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32"/>
          <w:szCs w:val="32"/>
          <w:highlight w:val="none"/>
          <w:lang w:eastAsia="zh-CN"/>
          <w14:textFill>
            <w14:solidFill>
              <w14:schemeClr w14:val="tx1"/>
            </w14:solidFill>
          </w14:textFill>
        </w:rPr>
        <w:t>（以下无正文）</w:t>
      </w:r>
    </w:p>
    <w:p w14:paraId="56DE311D">
      <w:pPr>
        <w:widowControl w:val="0"/>
        <w:suppressAutoHyphens/>
        <w:kinsoku/>
        <w:autoSpaceDE/>
        <w:autoSpaceDN/>
        <w:adjustRightInd/>
        <w:snapToGrid/>
        <w:spacing w:line="570" w:lineRule="exact"/>
        <w:ind w:firstLine="640" w:firstLineChars="200"/>
        <w:jc w:val="both"/>
        <w:textAlignment w:val="auto"/>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pPr>
      <w:r>
        <w:rPr>
          <w:rFonts w:hint="eastAsia"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t>（合同签字盖章页）</w:t>
      </w:r>
    </w:p>
    <w:p w14:paraId="59D4592F">
      <w:pPr>
        <w:widowControl w:val="0"/>
        <w:suppressAutoHyphens/>
        <w:kinsoku/>
        <w:autoSpaceDE/>
        <w:autoSpaceDN/>
        <w:adjustRightInd/>
        <w:snapToGrid/>
        <w:spacing w:line="570" w:lineRule="exact"/>
        <w:ind w:firstLine="0" w:firstLineChars="0"/>
        <w:jc w:val="both"/>
        <w:textAlignment w:val="auto"/>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pPr>
    </w:p>
    <w:p w14:paraId="07D6F427">
      <w:pPr>
        <w:widowControl w:val="0"/>
        <w:suppressAutoHyphens/>
        <w:kinsoku/>
        <w:autoSpaceDE/>
        <w:autoSpaceDN/>
        <w:adjustRightInd/>
        <w:snapToGrid/>
        <w:spacing w:line="570" w:lineRule="exact"/>
        <w:ind w:firstLine="640" w:firstLineChars="200"/>
        <w:jc w:val="both"/>
        <w:textAlignment w:val="auto"/>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pPr>
    </w:p>
    <w:tbl>
      <w:tblPr>
        <w:tblStyle w:val="7"/>
        <w:tblW w:w="100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73"/>
        <w:gridCol w:w="338"/>
        <w:gridCol w:w="4874"/>
      </w:tblGrid>
      <w:tr w14:paraId="6949B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73" w:type="dxa"/>
          </w:tcPr>
          <w:p w14:paraId="40C27B2C">
            <w:pPr>
              <w:pStyle w:val="4"/>
              <w:topLinePunct/>
              <w:spacing w:line="560" w:lineRule="exact"/>
              <w:ind w:left="1440" w:hanging="1440" w:hangingChars="450"/>
              <w:rPr>
                <w:rFonts w:ascii="仿宋_GB2312" w:eastAsia="仿宋_GB2312"/>
                <w:color w:val="000000" w:themeColor="text1"/>
                <w:sz w:val="28"/>
                <w:szCs w:val="28"/>
                <w:highlight w:val="none"/>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14:textFill>
                  <w14:solidFill>
                    <w14:schemeClr w14:val="tx1"/>
                  </w14:solidFill>
                </w14:textFill>
              </w:rPr>
              <w:t>单位名称：西安市自然资源和规划局高陵分局</w:t>
            </w:r>
          </w:p>
        </w:tc>
        <w:tc>
          <w:tcPr>
            <w:tcW w:w="338" w:type="dxa"/>
          </w:tcPr>
          <w:p w14:paraId="02CBE722">
            <w:pPr>
              <w:pStyle w:val="4"/>
              <w:topLinePunct/>
              <w:spacing w:line="360" w:lineRule="auto"/>
              <w:rPr>
                <w:rFonts w:ascii="仿宋_GB2312" w:eastAsia="仿宋_GB2312"/>
                <w:color w:val="000000" w:themeColor="text1"/>
                <w:sz w:val="28"/>
                <w:szCs w:val="28"/>
                <w:highlight w:val="none"/>
                <w14:textFill>
                  <w14:solidFill>
                    <w14:schemeClr w14:val="tx1"/>
                  </w14:solidFill>
                </w14:textFill>
              </w:rPr>
            </w:pPr>
          </w:p>
        </w:tc>
        <w:tc>
          <w:tcPr>
            <w:tcW w:w="4874" w:type="dxa"/>
          </w:tcPr>
          <w:p w14:paraId="03687D0B">
            <w:pPr>
              <w:pStyle w:val="4"/>
              <w:topLinePunct/>
              <w:spacing w:line="360" w:lineRule="auto"/>
              <w:ind w:left="1440" w:hanging="1440" w:hangingChars="450"/>
              <w:rPr>
                <w:rFonts w:ascii="仿宋_GB2312" w:eastAsia="仿宋_GB2312"/>
                <w:color w:val="000000" w:themeColor="text1"/>
                <w:sz w:val="28"/>
                <w:szCs w:val="28"/>
                <w:highlight w:val="none"/>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14:textFill>
                  <w14:solidFill>
                    <w14:schemeClr w14:val="tx1"/>
                  </w14:solidFill>
                </w14:textFill>
              </w:rPr>
              <w:t>单位名称：</w:t>
            </w:r>
          </w:p>
        </w:tc>
      </w:tr>
      <w:tr w14:paraId="29332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0" w:hRule="atLeast"/>
          <w:jc w:val="center"/>
        </w:trPr>
        <w:tc>
          <w:tcPr>
            <w:tcW w:w="4873" w:type="dxa"/>
          </w:tcPr>
          <w:p w14:paraId="653244F5">
            <w:pPr>
              <w:pStyle w:val="4"/>
              <w:topLinePunct/>
              <w:spacing w:line="360" w:lineRule="auto"/>
              <w:rPr>
                <w:rFonts w:ascii="仿宋_GB2312" w:eastAsia="仿宋_GB2312"/>
                <w:color w:val="000000" w:themeColor="text1"/>
                <w:sz w:val="28"/>
                <w:szCs w:val="28"/>
                <w:highlight w:val="none"/>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14:textFill>
                  <w14:solidFill>
                    <w14:schemeClr w14:val="tx1"/>
                  </w14:solidFill>
                </w14:textFill>
              </w:rPr>
              <w:t>法定代表人（或委托代理人）：</w:t>
            </w:r>
          </w:p>
        </w:tc>
        <w:tc>
          <w:tcPr>
            <w:tcW w:w="338" w:type="dxa"/>
          </w:tcPr>
          <w:p w14:paraId="17C71C78">
            <w:pPr>
              <w:pStyle w:val="4"/>
              <w:topLinePunct/>
              <w:spacing w:line="360" w:lineRule="auto"/>
              <w:rPr>
                <w:rFonts w:ascii="仿宋_GB2312" w:hAnsi="仿宋_GB2312" w:eastAsia="仿宋_GB2312" w:cs="仿宋_GB2312"/>
                <w:color w:val="000000" w:themeColor="text1"/>
                <w:sz w:val="30"/>
                <w:szCs w:val="30"/>
                <w:highlight w:val="none"/>
                <w14:textFill>
                  <w14:solidFill>
                    <w14:schemeClr w14:val="tx1"/>
                  </w14:solidFill>
                </w14:textFill>
              </w:rPr>
            </w:pPr>
          </w:p>
        </w:tc>
        <w:tc>
          <w:tcPr>
            <w:tcW w:w="4874" w:type="dxa"/>
          </w:tcPr>
          <w:p w14:paraId="3A9DE909">
            <w:pPr>
              <w:pStyle w:val="4"/>
              <w:topLinePunct/>
              <w:spacing w:line="360" w:lineRule="auto"/>
              <w:rPr>
                <w:rFonts w:ascii="仿宋_GB2312" w:eastAsia="仿宋_GB2312"/>
                <w:color w:val="000000" w:themeColor="text1"/>
                <w:sz w:val="28"/>
                <w:szCs w:val="28"/>
                <w:highlight w:val="none"/>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14:textFill>
                  <w14:solidFill>
                    <w14:schemeClr w14:val="tx1"/>
                  </w14:solidFill>
                </w14:textFill>
              </w:rPr>
              <w:t>法定代表人（或委托代理人）：</w:t>
            </w:r>
          </w:p>
        </w:tc>
      </w:tr>
      <w:tr w14:paraId="49391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73" w:type="dxa"/>
          </w:tcPr>
          <w:p w14:paraId="55B7CF51">
            <w:pPr>
              <w:pStyle w:val="4"/>
              <w:topLinePunct/>
              <w:spacing w:line="360" w:lineRule="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签订日期：   年   月   日</w:t>
            </w:r>
          </w:p>
        </w:tc>
        <w:tc>
          <w:tcPr>
            <w:tcW w:w="338" w:type="dxa"/>
          </w:tcPr>
          <w:p w14:paraId="44200806">
            <w:pPr>
              <w:pStyle w:val="4"/>
              <w:topLinePunct/>
              <w:spacing w:line="360" w:lineRule="auto"/>
              <w:rPr>
                <w:rFonts w:ascii="仿宋_GB2312" w:eastAsia="仿宋_GB2312"/>
                <w:color w:val="000000" w:themeColor="text1"/>
                <w:sz w:val="32"/>
                <w:szCs w:val="32"/>
                <w:highlight w:val="none"/>
                <w14:textFill>
                  <w14:solidFill>
                    <w14:schemeClr w14:val="tx1"/>
                  </w14:solidFill>
                </w14:textFill>
              </w:rPr>
            </w:pPr>
          </w:p>
        </w:tc>
        <w:tc>
          <w:tcPr>
            <w:tcW w:w="4874" w:type="dxa"/>
          </w:tcPr>
          <w:p w14:paraId="061E38A1">
            <w:pPr>
              <w:pStyle w:val="4"/>
              <w:topLinePunct/>
              <w:spacing w:line="360" w:lineRule="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签订日期：   年   月   日</w:t>
            </w:r>
          </w:p>
        </w:tc>
      </w:tr>
    </w:tbl>
    <w:p w14:paraId="625BA9E0">
      <w:pPr>
        <w:widowControl w:val="0"/>
        <w:suppressAutoHyphens/>
        <w:kinsoku/>
        <w:autoSpaceDE/>
        <w:autoSpaceDN/>
        <w:adjustRightInd/>
        <w:snapToGrid/>
        <w:spacing w:line="570" w:lineRule="exact"/>
        <w:jc w:val="both"/>
        <w:textAlignment w:val="auto"/>
        <w:rPr>
          <w:rFonts w:ascii="Times New Roman" w:hAnsi="Times New Roman" w:eastAsia="仿宋_GB2312" w:cs="Times New Roman"/>
          <w:snapToGrid/>
          <w:color w:val="000000" w:themeColor="text1"/>
          <w:kern w:val="2"/>
          <w:sz w:val="32"/>
          <w:szCs w:val="32"/>
          <w:highlight w:val="none"/>
          <w:lang w:eastAsia="zh-CN"/>
          <w14:textFill>
            <w14:solidFill>
              <w14:schemeClr w14:val="tx1"/>
            </w14:solidFill>
          </w14:textFill>
        </w:rPr>
      </w:pPr>
    </w:p>
    <w:p w14:paraId="54637B71"/>
    <w:sectPr>
      <w:footerReference r:id="rId3" w:type="default"/>
      <w:pgSz w:w="11906" w:h="16838"/>
      <w:pgMar w:top="1270" w:right="1633" w:bottom="1270" w:left="1633" w:header="851" w:footer="47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2CA0C7-C92F-44EF-A634-80456ECC8E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587D0DB-4300-4D3E-B520-253F643F8382}"/>
  </w:font>
  <w:font w:name="仿宋_GB2312">
    <w:altName w:val="仿宋"/>
    <w:panose1 w:val="02010609030101010101"/>
    <w:charset w:val="86"/>
    <w:family w:val="modern"/>
    <w:pitch w:val="default"/>
    <w:sig w:usb0="00000000" w:usb1="00000000" w:usb2="00000000" w:usb3="00000000" w:csb0="00040000" w:csb1="00000000"/>
    <w:embedRegular r:id="rId3" w:fontKey="{6BC78233-B4A6-4EB0-A2C2-EF7E29565440}"/>
  </w:font>
  <w:font w:name="方正小标宋简体">
    <w:panose1 w:val="02000000000000000000"/>
    <w:charset w:val="86"/>
    <w:family w:val="script"/>
    <w:pitch w:val="default"/>
    <w:sig w:usb0="00000001" w:usb1="08000000" w:usb2="00000000" w:usb3="00000000" w:csb0="00040000" w:csb1="00000000"/>
    <w:embedRegular r:id="rId4" w:fontKey="{CE255BF1-F346-4340-AABE-944BE8581F33}"/>
  </w:font>
  <w:font w:name="Segoe UI Symbol">
    <w:panose1 w:val="020B0502040204020203"/>
    <w:charset w:val="00"/>
    <w:family w:val="swiss"/>
    <w:pitch w:val="default"/>
    <w:sig w:usb0="800001E3" w:usb1="1200FFEF" w:usb2="00040000" w:usb3="04000000" w:csb0="00000001" w:csb1="40000000"/>
    <w:embedRegular r:id="rId5" w:fontKey="{D7E97173-ECC9-4EE3-B8B9-8C39CB2ECB10}"/>
  </w:font>
  <w:font w:name="仿宋">
    <w:panose1 w:val="02010609060101010101"/>
    <w:charset w:val="86"/>
    <w:family w:val="modern"/>
    <w:pitch w:val="default"/>
    <w:sig w:usb0="800002BF" w:usb1="38CF7CFA" w:usb2="00000016" w:usb3="00000000" w:csb0="00040001" w:csb1="00000000"/>
    <w:embedRegular r:id="rId6" w:fontKey="{605B9715-D958-4384-9715-A4529F6CA278}"/>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hint="eastAsia" w:ascii="仿宋_GB2312" w:eastAsia="仿宋_GB2312"/>
        <w:sz w:val="32"/>
        <w:szCs w:val="32"/>
      </w:rPr>
    </w:sdtEndPr>
    <w:sdtContent>
      <w:p w14:paraId="1AACCE55">
        <w:pPr>
          <w:pStyle w:val="5"/>
          <w:jc w:val="center"/>
          <w:rPr>
            <w:rFonts w:ascii="仿宋_GB2312" w:eastAsia="仿宋_GB2312"/>
            <w:sz w:val="32"/>
            <w:szCs w:val="32"/>
          </w:rPr>
        </w:pPr>
        <w:r>
          <w:rPr>
            <w:rFonts w:hint="eastAsia" w:ascii="仿宋_GB2312" w:eastAsia="仿宋_GB2312"/>
            <w:sz w:val="32"/>
            <w:szCs w:val="32"/>
            <w:lang w:eastAsia="zh-CN"/>
          </w:rPr>
          <w:t xml:space="preserve">第 </w:t>
        </w:r>
        <w:r>
          <w:rPr>
            <w:rFonts w:hint="eastAsia" w:ascii="仿宋_GB2312" w:eastAsia="仿宋_GB2312"/>
            <w:sz w:val="32"/>
            <w:szCs w:val="32"/>
          </w:rPr>
          <w:fldChar w:fldCharType="begin"/>
        </w:r>
        <w:r>
          <w:rPr>
            <w:rFonts w:hint="eastAsia" w:ascii="仿宋_GB2312" w:eastAsia="仿宋_GB2312"/>
            <w:sz w:val="32"/>
            <w:szCs w:val="32"/>
          </w:rPr>
          <w:instrText xml:space="preserve">PAGE   \* MERGEFORMAT</w:instrText>
        </w:r>
        <w:r>
          <w:rPr>
            <w:rFonts w:hint="eastAsia" w:ascii="仿宋_GB2312" w:eastAsia="仿宋_GB2312"/>
            <w:sz w:val="32"/>
            <w:szCs w:val="32"/>
          </w:rPr>
          <w:fldChar w:fldCharType="separate"/>
        </w:r>
        <w:r>
          <w:rPr>
            <w:rFonts w:ascii="仿宋_GB2312" w:eastAsia="仿宋_GB2312"/>
            <w:sz w:val="32"/>
            <w:szCs w:val="32"/>
            <w:lang w:val="zh-CN" w:eastAsia="zh-CN"/>
          </w:rPr>
          <w:t>9</w:t>
        </w:r>
        <w:r>
          <w:rPr>
            <w:rFonts w:hint="eastAsia" w:ascii="仿宋_GB2312" w:eastAsia="仿宋_GB2312"/>
            <w:sz w:val="32"/>
            <w:szCs w:val="32"/>
          </w:rPr>
          <w:fldChar w:fldCharType="end"/>
        </w:r>
        <w:r>
          <w:rPr>
            <w:rFonts w:hint="eastAsia" w:ascii="仿宋_GB2312" w:eastAsia="仿宋_GB2312"/>
            <w:sz w:val="32"/>
            <w:szCs w:val="32"/>
            <w:lang w:eastAsia="zh-CN"/>
          </w:rPr>
          <w:t xml:space="preserve"> 页</w:t>
        </w:r>
      </w:p>
    </w:sdtContent>
  </w:sdt>
  <w:p w14:paraId="3B05B669">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E71158"/>
    <w:rsid w:val="0EE7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kinsoku/>
      <w:autoSpaceDE/>
      <w:autoSpaceDN/>
      <w:adjustRightInd/>
      <w:snapToGrid/>
      <w:spacing w:line="560" w:lineRule="exact"/>
      <w:ind w:firstLine="420" w:firstLineChars="200"/>
      <w:jc w:val="both"/>
      <w:textAlignment w:val="auto"/>
    </w:pPr>
    <w:rPr>
      <w:rFonts w:ascii="Calibri" w:hAnsi="Calibri" w:eastAsia="仿宋_GB2312" w:cs="Times New Roman"/>
      <w:snapToGrid/>
      <w:color w:val="auto"/>
      <w:kern w:val="2"/>
      <w:sz w:val="32"/>
      <w:szCs w:val="22"/>
      <w:lang w:eastAsia="zh-CN"/>
    </w:rPr>
  </w:style>
  <w:style w:type="paragraph" w:styleId="3">
    <w:name w:val="Body Text"/>
    <w:basedOn w:val="1"/>
    <w:semiHidden/>
    <w:qFormat/>
    <w:uiPriority w:val="0"/>
  </w:style>
  <w:style w:type="paragraph" w:styleId="4">
    <w:name w:val="Plain Text"/>
    <w:basedOn w:val="1"/>
    <w:qFormat/>
    <w:uiPriority w:val="0"/>
    <w:pPr>
      <w:widowControl w:val="0"/>
      <w:kinsoku/>
      <w:autoSpaceDE/>
      <w:autoSpaceDN/>
      <w:adjustRightInd/>
      <w:snapToGrid/>
      <w:jc w:val="both"/>
      <w:textAlignment w:val="auto"/>
    </w:pPr>
    <w:rPr>
      <w:rFonts w:ascii="宋体" w:hAnsi="Courier New" w:eastAsia="宋体" w:cs="Courier New"/>
      <w:snapToGrid/>
      <w:color w:val="auto"/>
      <w:kern w:val="2"/>
      <w:lang w:eastAsia="zh-CN"/>
    </w:rPr>
  </w:style>
  <w:style w:type="paragraph" w:styleId="5">
    <w:name w:val="footer"/>
    <w:basedOn w:val="1"/>
    <w:qFormat/>
    <w:uiPriority w:val="99"/>
    <w:pPr>
      <w:tabs>
        <w:tab w:val="center" w:pos="4153"/>
        <w:tab w:val="right" w:pos="8306"/>
      </w:tabs>
    </w:pPr>
    <w:rPr>
      <w:sz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2026-08-31T02:55:00Z</dcterms:created>
  <dc:creator>WPS_小小小小小小文</dc:creator>
  <cp:lastModifiedBy>WPS_小小小小小小文</cp:lastModifiedBy>
  <dcterms:modified xsi:type="dcterms:W3CDTF">2026-08-31T02:58:57Z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AEAB48F39BC24A21961E41A3D475E561_11</vt:lpwstr>
  </property>
  <property fmtid="{D5CDD505-2E9C-101B-9397-08002B2CF9AE}" pid="4" name="KSOTemplateDocerSaveRecord">
    <vt:lpwstr>eyJoZGlkIjoiMDkwZjc0NTA0ZDgxNzJmNDFlN2MyMGUyYjBjMDAxZjQiLCJ1c2VySWQiOiIxNDYxOTUwMjY0In0=</vt:lpwstr>
  </property>
</Properties>
</file>