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版本号：0617-26A2FZ184320260715001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西安市临潼区公务用车信息化平台系统维护项目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0617-26A2FZ1843</w:t>
      </w:r>
      <w:r>
        <w:br/>
      </w:r>
      <w:r>
        <w:br/>
      </w:r>
      <w:r>
        <w:br/>
      </w:r>
    </w:p>
    <w:p>
      <w:pPr>
        <w:pStyle w:val="null3"/>
        <w:jc w:val="center"/>
        <w:outlineLvl w:val="5"/>
      </w:pPr>
      <w:r>
        <w:rPr>
          <w:rFonts w:ascii="仿宋_GB2312" w:hAnsi="仿宋_GB2312" w:cs="仿宋_GB2312" w:eastAsia="仿宋_GB2312"/>
          <w:sz w:val="15"/>
          <w:b/>
        </w:rPr>
        <w:t>西安市临潼区机关事务服务中心</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西安市临潼区机关事务服务中心</w:t>
      </w:r>
      <w:r>
        <w:rPr>
          <w:rFonts w:ascii="仿宋_GB2312" w:hAnsi="仿宋_GB2312" w:cs="仿宋_GB2312" w:eastAsia="仿宋_GB2312"/>
        </w:rPr>
        <w:t>委托，拟对</w:t>
      </w:r>
      <w:r>
        <w:rPr>
          <w:rFonts w:ascii="仿宋_GB2312" w:hAnsi="仿宋_GB2312" w:cs="仿宋_GB2312" w:eastAsia="仿宋_GB2312"/>
        </w:rPr>
        <w:t>西安市临潼区公务用车信息化平台系统维护项目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0617-26A2FZ1843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西安市临潼区公务用车信息化平台系统维护项目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中央车改办连续印发《关于进一步加强公务用车平台建设的通知》、《关于完善配套政策持续巩固公车改革成果的通知》、《关于加快公车改革取消车辆处置工作的通知》，要求各级地方政府建设车辆管理平台。 为落实中改办指示，保障全区各部门正常的公务出行，政府单位公务车需实行集中统一管理，实现“管理平台化、平台信息化、车辆标识化”，建立统一管理模式，做到“便捷派车、高效用车、透明管车、有效督车”。在此背景下，西安市临潼区公务用车信息化平台系统维护项目按照中省车改办文件精神，将车改后保留车辆纳入统一平台管理，以满足公务用车信息化平台自身管理的要求和“全市一张网”的需求，同时又保证满足与陕西省现有系统软件平台的无缝对接和硬件设备的融合，数据互联互通，以达到省市级文件“全省一张网”、“全市一张网”建设精神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采购包1（西安市临潼区公务用车信息化平台系统维护项目）：属于专门面向中小企业采购。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临潼区书院门街41号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13609159440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西安市南二环西段58号成长大厦11-14层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秦进、贾楠希、杨鑫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采购包1：618,000.00元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采购包1：618,000.00元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代理服务费收费标准：代理服务费收费标准：参照国家计委颁发的《招标代理服务收费管理暂 行办法》（计价格[2002]1980号）和国家发展和改革委员会办公厅颁发的《关于招标代理服务 收费有关问题的通知》（发改办价格[2003]857号）的有关规定执行。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西安市临潼区机关事务服务中心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西安市临潼区机关事务服务中心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中央车改办连续印发《关于进一步加强公务用车平台建设的通知》、《关于完善配套政策持续巩固公车改革成果的通知》、《关于加快公车改革取消车辆处置工作的通知》，要求各级地方政府建设车辆管理平台。 为落实中改办指示，保障全区各部门正常的公务出行，政府单位公务车需实行集中统一管理，实现“管理平台化、平台信息化、车辆标识化”，建立统一管理模式，做到“便捷派车、高效用车、透明管车、有效督车”。在此背景下，西安市临潼区公务用车信息化平台系统维护项目按照中省车改办文件精神，将车改后保留车辆纳入统一平台管理，以满足公务用车信息化平台自身管理的要求和“全市一张网”的需求，同时又保证满足与陕西省现有系统软件平台的无缝对接和硬件设备的融合，数据互联互通，以达到省市级文件“全省一张网”、“全市一张网”建设精神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618,000.00</w:t>
      </w:r>
    </w:p>
    <w:p>
      <w:pPr>
        <w:pStyle w:val="null3"/>
      </w:pPr>
      <w:r>
        <w:rPr>
          <w:rFonts w:ascii="仿宋_GB2312" w:hAnsi="仿宋_GB2312" w:cs="仿宋_GB2312" w:eastAsia="仿宋_GB2312"/>
        </w:rPr>
        <w:t>采购包最高限价（元）: 618,000.00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西安市临潼区公务用车信息化平台系统维护项目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标的名称：西安市临潼区公务用车信息化平台系统维护项目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20"/>
                <w:b/>
              </w:rPr>
              <w:t>1、项目背景</w:t>
            </w:r>
          </w:p>
          <w:p>
            <w:pPr>
              <w:pStyle w:val="null3"/>
              <w:ind w:firstLine="400"/>
              <w:jc w:val="both"/>
            </w:pPr>
            <w:r>
              <w:rPr>
                <w:rFonts w:ascii="仿宋_GB2312" w:hAnsi="仿宋_GB2312" w:cs="仿宋_GB2312" w:eastAsia="仿宋_GB2312"/>
                <w:sz w:val="20"/>
              </w:rPr>
              <w:t>中央车改办连续印发《关于进一步加强公务用车平台建设的通知》、《关于完善配套政策持续巩固公车改革成果的通知》、《关于加快公车改革取消车辆处置工作的通知》，要求各级地方政府建设车辆管理平台。</w:t>
            </w:r>
          </w:p>
          <w:p>
            <w:pPr>
              <w:pStyle w:val="null3"/>
              <w:ind w:firstLine="400"/>
              <w:jc w:val="both"/>
            </w:pPr>
            <w:r>
              <w:rPr>
                <w:rFonts w:ascii="仿宋_GB2312" w:hAnsi="仿宋_GB2312" w:cs="仿宋_GB2312" w:eastAsia="仿宋_GB2312"/>
                <w:sz w:val="20"/>
              </w:rPr>
              <w:t>为落实中改办指示，保障全区各部门正常的公务出行，政府单位公务车需实行集中统一管理，实现</w:t>
            </w:r>
            <w:r>
              <w:rPr>
                <w:rFonts w:ascii="仿宋_GB2312" w:hAnsi="仿宋_GB2312" w:cs="仿宋_GB2312" w:eastAsia="仿宋_GB2312"/>
                <w:sz w:val="20"/>
              </w:rPr>
              <w:t>“管理平台化、平台信息化、车辆标识化”，建立统一管理模式，做到“便捷派车、高效用车、透明管车、有效督车”。在此背景下，</w:t>
            </w:r>
            <w:r>
              <w:rPr>
                <w:rFonts w:ascii="仿宋_GB2312" w:hAnsi="仿宋_GB2312" w:cs="仿宋_GB2312" w:eastAsia="仿宋_GB2312"/>
                <w:sz w:val="20"/>
              </w:rPr>
              <w:t>西安市临潼区</w:t>
            </w:r>
            <w:r>
              <w:rPr>
                <w:rFonts w:ascii="仿宋_GB2312" w:hAnsi="仿宋_GB2312" w:cs="仿宋_GB2312" w:eastAsia="仿宋_GB2312"/>
                <w:sz w:val="20"/>
              </w:rPr>
              <w:t>公务用车信息化平台</w:t>
            </w:r>
            <w:r>
              <w:rPr>
                <w:rFonts w:ascii="仿宋_GB2312" w:hAnsi="仿宋_GB2312" w:cs="仿宋_GB2312" w:eastAsia="仿宋_GB2312"/>
                <w:sz w:val="20"/>
              </w:rPr>
              <w:t>系统维护</w:t>
            </w:r>
            <w:r>
              <w:rPr>
                <w:rFonts w:ascii="仿宋_GB2312" w:hAnsi="仿宋_GB2312" w:cs="仿宋_GB2312" w:eastAsia="仿宋_GB2312"/>
                <w:sz w:val="20"/>
              </w:rPr>
              <w:t>项目按照中省车改办文件精神，将车改后保留车辆纳入统一平台管理，以满足公务用车信息化平台自身管理的要求和</w:t>
            </w:r>
            <w:r>
              <w:rPr>
                <w:rFonts w:ascii="仿宋_GB2312" w:hAnsi="仿宋_GB2312" w:cs="仿宋_GB2312" w:eastAsia="仿宋_GB2312"/>
                <w:sz w:val="20"/>
              </w:rPr>
              <w:t>“全市一张网”的需求，同时又保证满足与陕西省现有系统软件平台的无缝对接和硬件设备的融合，数据互联互通，以达到省市级文件“全省一张网”</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全市一张网</w:t>
            </w:r>
            <w:r>
              <w:rPr>
                <w:rFonts w:ascii="仿宋_GB2312" w:hAnsi="仿宋_GB2312" w:cs="仿宋_GB2312" w:eastAsia="仿宋_GB2312"/>
                <w:sz w:val="20"/>
              </w:rPr>
              <w:t>”</w:t>
            </w:r>
            <w:r>
              <w:rPr>
                <w:rFonts w:ascii="仿宋_GB2312" w:hAnsi="仿宋_GB2312" w:cs="仿宋_GB2312" w:eastAsia="仿宋_GB2312"/>
                <w:sz w:val="20"/>
              </w:rPr>
              <w:t>建设精神要求。</w:t>
            </w:r>
          </w:p>
          <w:p>
            <w:pPr>
              <w:pStyle w:val="null3"/>
              <w:spacing w:after="195"/>
              <w:jc w:val="left"/>
              <w:outlineLvl w:val="0"/>
            </w:pPr>
            <w:r>
              <w:rPr>
                <w:rFonts w:ascii="仿宋_GB2312" w:hAnsi="仿宋_GB2312" w:cs="仿宋_GB2312" w:eastAsia="仿宋_GB2312"/>
                <w:sz w:val="20"/>
                <w:b/>
              </w:rPr>
              <w:t>2、</w:t>
            </w:r>
            <w:r>
              <w:rPr>
                <w:rFonts w:ascii="仿宋_GB2312" w:hAnsi="仿宋_GB2312" w:cs="仿宋_GB2312" w:eastAsia="仿宋_GB2312"/>
                <w:sz w:val="20"/>
                <w:b/>
              </w:rPr>
              <w:t>服务</w:t>
            </w:r>
            <w:r>
              <w:rPr>
                <w:rFonts w:ascii="仿宋_GB2312" w:hAnsi="仿宋_GB2312" w:cs="仿宋_GB2312" w:eastAsia="仿宋_GB2312"/>
                <w:sz w:val="20"/>
                <w:b/>
              </w:rPr>
              <w:t>要求</w:t>
            </w:r>
          </w:p>
          <w:p>
            <w:pPr>
              <w:pStyle w:val="null3"/>
              <w:numPr>
                <w:ilvl w:val="0"/>
                <w:numId w:val="1"/>
              </w:numPr>
              <w:ind w:left="300"/>
            </w:pPr>
            <w:r>
              <w:rPr>
                <w:rFonts w:ascii="仿宋_GB2312" w:hAnsi="仿宋_GB2312" w:cs="仿宋_GB2312" w:eastAsia="仿宋_GB2312"/>
                <w:sz w:val="20"/>
              </w:rPr>
              <w:t>项目名称：</w:t>
            </w:r>
            <w:r>
              <w:rPr>
                <w:rFonts w:ascii="仿宋_GB2312" w:hAnsi="仿宋_GB2312" w:cs="仿宋_GB2312" w:eastAsia="仿宋_GB2312"/>
                <w:sz w:val="20"/>
              </w:rPr>
              <w:t>西安市临潼区公务用车信息化平台系统维护项目</w:t>
            </w:r>
          </w:p>
          <w:p>
            <w:pPr>
              <w:pStyle w:val="null3"/>
              <w:numPr>
                <w:ilvl w:val="0"/>
                <w:numId w:val="1"/>
              </w:numPr>
              <w:ind w:left="300"/>
            </w:pPr>
            <w:r>
              <w:rPr>
                <w:rFonts w:ascii="仿宋_GB2312" w:hAnsi="仿宋_GB2312" w:cs="仿宋_GB2312" w:eastAsia="仿宋_GB2312"/>
                <w:sz w:val="20"/>
              </w:rPr>
              <w:t>项目内容：对</w:t>
            </w:r>
            <w:r>
              <w:rPr>
                <w:rFonts w:ascii="仿宋_GB2312" w:hAnsi="仿宋_GB2312" w:cs="仿宋_GB2312" w:eastAsia="仿宋_GB2312"/>
                <w:sz w:val="20"/>
              </w:rPr>
              <w:t>450</w:t>
            </w:r>
            <w:r>
              <w:rPr>
                <w:rFonts w:ascii="仿宋_GB2312" w:hAnsi="仿宋_GB2312" w:cs="仿宋_GB2312" w:eastAsia="仿宋_GB2312"/>
                <w:sz w:val="20"/>
              </w:rPr>
              <w:t>辆</w:t>
            </w:r>
            <w:r>
              <w:rPr>
                <w:rFonts w:ascii="仿宋_GB2312" w:hAnsi="仿宋_GB2312" w:cs="仿宋_GB2312" w:eastAsia="仿宋_GB2312"/>
                <w:sz w:val="20"/>
              </w:rPr>
              <w:t>车平台运行维护服务。</w:t>
            </w:r>
          </w:p>
          <w:p>
            <w:pPr>
              <w:pStyle w:val="null3"/>
              <w:numPr>
                <w:ilvl w:val="0"/>
                <w:numId w:val="1"/>
              </w:numPr>
              <w:ind w:left="300"/>
            </w:pPr>
            <w:r>
              <w:rPr>
                <w:rFonts w:ascii="仿宋_GB2312" w:hAnsi="仿宋_GB2312" w:cs="仿宋_GB2312" w:eastAsia="仿宋_GB2312"/>
                <w:sz w:val="20"/>
              </w:rPr>
              <w:t>服务期限；壹年</w:t>
            </w:r>
          </w:p>
          <w:p>
            <w:pPr>
              <w:pStyle w:val="null3"/>
              <w:numPr>
                <w:ilvl w:val="0"/>
                <w:numId w:val="1"/>
              </w:numPr>
              <w:ind w:left="300"/>
            </w:pPr>
            <w:r>
              <w:rPr>
                <w:rFonts w:ascii="仿宋_GB2312" w:hAnsi="仿宋_GB2312" w:cs="仿宋_GB2312" w:eastAsia="仿宋_GB2312"/>
                <w:sz w:val="20"/>
              </w:rPr>
              <w:t>项目预算金额：</w:t>
            </w:r>
            <w:r>
              <w:rPr>
                <w:rFonts w:ascii="仿宋_GB2312" w:hAnsi="仿宋_GB2312" w:cs="仿宋_GB2312" w:eastAsia="仿宋_GB2312"/>
                <w:sz w:val="20"/>
              </w:rPr>
              <w:t>618000</w:t>
            </w:r>
            <w:r>
              <w:rPr>
                <w:rFonts w:ascii="仿宋_GB2312" w:hAnsi="仿宋_GB2312" w:cs="仿宋_GB2312" w:eastAsia="仿宋_GB2312"/>
                <w:sz w:val="20"/>
              </w:rPr>
              <w:t>元。</w:t>
            </w:r>
          </w:p>
          <w:p>
            <w:pPr>
              <w:pStyle w:val="null3"/>
              <w:spacing w:after="195"/>
              <w:jc w:val="left"/>
              <w:outlineLvl w:val="0"/>
            </w:pPr>
            <w:r>
              <w:rPr>
                <w:rFonts w:ascii="仿宋_GB2312" w:hAnsi="仿宋_GB2312" w:cs="仿宋_GB2312" w:eastAsia="仿宋_GB2312"/>
                <w:sz w:val="20"/>
                <w:b/>
              </w:rPr>
              <w:t>3、服务内容</w:t>
            </w:r>
          </w:p>
          <w:p>
            <w:pPr>
              <w:pStyle w:val="null3"/>
              <w:ind w:firstLine="400"/>
              <w:jc w:val="both"/>
            </w:pPr>
            <w:r>
              <w:rPr>
                <w:rFonts w:ascii="仿宋_GB2312" w:hAnsi="仿宋_GB2312" w:cs="仿宋_GB2312" w:eastAsia="仿宋_GB2312"/>
                <w:sz w:val="20"/>
              </w:rPr>
              <w:t>需要对整个系统平台进行为期</w:t>
            </w:r>
            <w:r>
              <w:rPr>
                <w:rFonts w:ascii="仿宋_GB2312" w:hAnsi="仿宋_GB2312" w:cs="仿宋_GB2312" w:eastAsia="仿宋_GB2312"/>
                <w:sz w:val="20"/>
              </w:rPr>
              <w:t>1</w:t>
            </w:r>
            <w:r>
              <w:rPr>
                <w:rFonts w:ascii="仿宋_GB2312" w:hAnsi="仿宋_GB2312" w:cs="仿宋_GB2312" w:eastAsia="仿宋_GB2312"/>
                <w:sz w:val="20"/>
              </w:rPr>
              <w:t>年的维护，维护的范围包括</w:t>
            </w:r>
            <w:r>
              <w:rPr>
                <w:rFonts w:ascii="仿宋_GB2312" w:hAnsi="仿宋_GB2312" w:cs="仿宋_GB2312" w:eastAsia="仿宋_GB2312"/>
                <w:sz w:val="20"/>
                <w:color w:val="000000"/>
              </w:rPr>
              <w:t>网络、服务器及数据的日常运维</w:t>
            </w:r>
            <w:r>
              <w:rPr>
                <w:rFonts w:ascii="仿宋_GB2312" w:hAnsi="仿宋_GB2312" w:cs="仿宋_GB2312" w:eastAsia="仿宋_GB2312"/>
                <w:sz w:val="20"/>
              </w:rPr>
              <w:t>；</w:t>
            </w:r>
            <w:r>
              <w:rPr>
                <w:rFonts w:ascii="仿宋_GB2312" w:hAnsi="仿宋_GB2312" w:cs="仿宋_GB2312" w:eastAsia="仿宋_GB2312"/>
                <w:sz w:val="20"/>
              </w:rPr>
              <w:t>对</w:t>
            </w:r>
            <w:r>
              <w:rPr>
                <w:rFonts w:ascii="仿宋_GB2312" w:hAnsi="仿宋_GB2312" w:cs="仿宋_GB2312" w:eastAsia="仿宋_GB2312"/>
                <w:sz w:val="20"/>
                <w:color w:val="000000"/>
              </w:rPr>
              <w:t>系统及服务器漏洞扫描与防护；对系统功能的完善及升级；对硬件设备的维护保养；</w:t>
            </w:r>
            <w:r>
              <w:rPr>
                <w:rFonts w:ascii="仿宋_GB2312" w:hAnsi="仿宋_GB2312" w:cs="仿宋_GB2312" w:eastAsia="仿宋_GB2312"/>
                <w:sz w:val="20"/>
              </w:rPr>
              <w:t>对短信平台服务</w:t>
            </w:r>
            <w:r>
              <w:rPr>
                <w:rFonts w:ascii="仿宋_GB2312" w:hAnsi="仿宋_GB2312" w:cs="仿宋_GB2312" w:eastAsia="仿宋_GB2312"/>
                <w:sz w:val="20"/>
              </w:rPr>
              <w:t>、</w:t>
            </w:r>
            <w:r>
              <w:rPr>
                <w:rFonts w:ascii="仿宋_GB2312" w:hAnsi="仿宋_GB2312" w:cs="仿宋_GB2312" w:eastAsia="仿宋_GB2312"/>
                <w:sz w:val="20"/>
              </w:rPr>
              <w:t>物联网</w:t>
            </w:r>
            <w:r>
              <w:rPr>
                <w:rFonts w:ascii="仿宋_GB2312" w:hAnsi="仿宋_GB2312" w:cs="仿宋_GB2312" w:eastAsia="仿宋_GB2312"/>
                <w:sz w:val="20"/>
              </w:rPr>
              <w:t>SIM流量专人进行</w:t>
            </w:r>
            <w:r>
              <w:rPr>
                <w:rFonts w:ascii="仿宋_GB2312" w:hAnsi="仿宋_GB2312" w:cs="仿宋_GB2312" w:eastAsia="仿宋_GB2312"/>
                <w:sz w:val="20"/>
              </w:rPr>
              <w:t>日常管理</w:t>
            </w:r>
            <w:r>
              <w:rPr>
                <w:rFonts w:ascii="仿宋_GB2312" w:hAnsi="仿宋_GB2312" w:cs="仿宋_GB2312" w:eastAsia="仿宋_GB2312"/>
                <w:sz w:val="20"/>
              </w:rPr>
              <w:t>。</w:t>
            </w:r>
            <w:r>
              <w:rPr>
                <w:rFonts w:ascii="仿宋_GB2312" w:hAnsi="仿宋_GB2312" w:cs="仿宋_GB2312" w:eastAsia="仿宋_GB2312"/>
                <w:sz w:val="20"/>
              </w:rPr>
              <w:t>针对软件平台系统进行</w:t>
            </w:r>
            <w:r>
              <w:rPr>
                <w:rFonts w:ascii="仿宋_GB2312" w:hAnsi="仿宋_GB2312" w:cs="仿宋_GB2312" w:eastAsia="仿宋_GB2312"/>
                <w:sz w:val="20"/>
              </w:rPr>
              <w:t>日常维护，每天定时登录服务器检查程序服务中间件、软件系统、服务器软件日志是否存在异常和报错，检查服务器网络是否存在异常；定期漏洞修复；平台功能升级</w:t>
            </w:r>
            <w:r>
              <w:rPr>
                <w:rFonts w:ascii="仿宋_GB2312" w:hAnsi="仿宋_GB2312" w:cs="仿宋_GB2312" w:eastAsia="仿宋_GB2312"/>
                <w:sz w:val="20"/>
              </w:rPr>
              <w:t>、车载客户端软件、平台联调集成、接入后管理运营</w:t>
            </w:r>
            <w:r>
              <w:rPr>
                <w:rFonts w:ascii="仿宋_GB2312" w:hAnsi="仿宋_GB2312" w:cs="仿宋_GB2312" w:eastAsia="仿宋_GB2312"/>
                <w:sz w:val="20"/>
              </w:rPr>
              <w:t>、数据备份</w:t>
            </w:r>
            <w:r>
              <w:rPr>
                <w:rFonts w:ascii="仿宋_GB2312" w:hAnsi="仿宋_GB2312" w:cs="仿宋_GB2312" w:eastAsia="仿宋_GB2312"/>
                <w:sz w:val="20"/>
              </w:rPr>
              <w:t>等维护性操作。</w:t>
            </w:r>
            <w:r>
              <w:rPr>
                <w:rFonts w:ascii="仿宋_GB2312" w:hAnsi="仿宋_GB2312" w:cs="仿宋_GB2312" w:eastAsia="仿宋_GB2312"/>
                <w:sz w:val="20"/>
              </w:rPr>
              <w:t>对</w:t>
            </w:r>
            <w:r>
              <w:rPr>
                <w:rFonts w:ascii="仿宋_GB2312" w:hAnsi="仿宋_GB2312" w:cs="仿宋_GB2312" w:eastAsia="仿宋_GB2312"/>
                <w:sz w:val="20"/>
              </w:rPr>
              <w:t>XXX台</w:t>
            </w:r>
            <w:r>
              <w:rPr>
                <w:rFonts w:ascii="仿宋_GB2312" w:hAnsi="仿宋_GB2312" w:cs="仿宋_GB2312" w:eastAsia="仿宋_GB2312"/>
                <w:sz w:val="20"/>
              </w:rPr>
              <w:t>北斗定位终端拆除、改装、维修、定期巡检、维护保养、设备系统升级</w:t>
            </w:r>
            <w:r>
              <w:rPr>
                <w:rFonts w:ascii="仿宋_GB2312" w:hAnsi="仿宋_GB2312" w:cs="仿宋_GB2312" w:eastAsia="仿宋_GB2312"/>
                <w:sz w:val="20"/>
              </w:rPr>
              <w:t>。</w:t>
            </w:r>
          </w:p>
          <w:p>
            <w:pPr>
              <w:pStyle w:val="null3"/>
              <w:spacing w:after="195"/>
              <w:jc w:val="left"/>
              <w:outlineLvl w:val="0"/>
            </w:pPr>
            <w:r>
              <w:rPr>
                <w:rFonts w:ascii="仿宋_GB2312" w:hAnsi="仿宋_GB2312" w:cs="仿宋_GB2312" w:eastAsia="仿宋_GB2312"/>
                <w:sz w:val="20"/>
                <w:b/>
              </w:rPr>
              <w:t>4、终端设备</w:t>
            </w:r>
            <w:r>
              <w:rPr>
                <w:rFonts w:ascii="仿宋_GB2312" w:hAnsi="仿宋_GB2312" w:cs="仿宋_GB2312" w:eastAsia="仿宋_GB2312"/>
                <w:sz w:val="20"/>
                <w:b/>
              </w:rPr>
              <w:t>备品备件</w:t>
            </w:r>
            <w:r>
              <w:rPr>
                <w:rFonts w:ascii="仿宋_GB2312" w:hAnsi="仿宋_GB2312" w:cs="仿宋_GB2312" w:eastAsia="仿宋_GB2312"/>
                <w:sz w:val="20"/>
                <w:b/>
              </w:rPr>
              <w:t>技术要求</w:t>
            </w:r>
          </w:p>
          <w:p>
            <w:pPr>
              <w:pStyle w:val="null3"/>
              <w:ind w:firstLine="402"/>
              <w:jc w:val="both"/>
            </w:pPr>
            <w:r>
              <w:rPr>
                <w:rFonts w:ascii="仿宋_GB2312" w:hAnsi="仿宋_GB2312" w:cs="仿宋_GB2312" w:eastAsia="仿宋_GB2312"/>
                <w:sz w:val="20"/>
                <w:b/>
              </w:rPr>
              <w:t>北斗定位车载终端：</w:t>
            </w:r>
            <w:r>
              <w:rPr>
                <w:rFonts w:ascii="仿宋_GB2312" w:hAnsi="仿宋_GB2312" w:cs="仿宋_GB2312" w:eastAsia="仿宋_GB2312"/>
                <w:sz w:val="20"/>
              </w:rPr>
              <w:t>北斗车载终端可实现车辆定位及车身动态信息采集，具有远程参数配置功能</w:t>
            </w:r>
            <w:r>
              <w:rPr>
                <w:rFonts w:ascii="仿宋_GB2312" w:hAnsi="仿宋_GB2312" w:cs="仿宋_GB2312" w:eastAsia="仿宋_GB2312"/>
                <w:sz w:val="20"/>
              </w:rPr>
              <w:t>，</w:t>
            </w:r>
            <w:r>
              <w:rPr>
                <w:rFonts w:ascii="仿宋_GB2312" w:hAnsi="仿宋_GB2312" w:cs="仿宋_GB2312" w:eastAsia="仿宋_GB2312"/>
                <w:sz w:val="20"/>
              </w:rPr>
              <w:t>为了保证后续产品服务的连贯性，北斗定位终端供应商应该与本平台建设供应方保持一致或能够提供统一的售后服务及技术服务。</w:t>
            </w:r>
          </w:p>
          <w:p>
            <w:pPr>
              <w:pStyle w:val="null3"/>
              <w:ind w:firstLine="400"/>
              <w:jc w:val="both"/>
            </w:pPr>
            <w:r>
              <w:rPr>
                <w:rFonts w:ascii="仿宋_GB2312" w:hAnsi="仿宋_GB2312" w:cs="仿宋_GB2312" w:eastAsia="仿宋_GB2312"/>
                <w:sz w:val="20"/>
              </w:rPr>
              <w:t>北斗定位车载终端技术要求</w:t>
            </w:r>
          </w:p>
          <w:p>
            <w:pPr>
              <w:pStyle w:val="null3"/>
              <w:ind w:firstLine="400"/>
              <w:jc w:val="both"/>
            </w:pPr>
            <w:r>
              <w:rPr>
                <w:rFonts w:ascii="仿宋_GB2312" w:hAnsi="仿宋_GB2312" w:cs="仿宋_GB2312" w:eastAsia="仿宋_GB2312"/>
                <w:sz w:val="20"/>
              </w:rPr>
              <w:t>1、通过OBD直接获取车辆故障信息；</w:t>
            </w:r>
          </w:p>
          <w:p>
            <w:pPr>
              <w:pStyle w:val="null3"/>
              <w:ind w:firstLine="400"/>
              <w:jc w:val="both"/>
            </w:pPr>
            <w:r>
              <w:rPr>
                <w:rFonts w:ascii="仿宋_GB2312" w:hAnsi="仿宋_GB2312" w:cs="仿宋_GB2312" w:eastAsia="仿宋_GB2312"/>
                <w:sz w:val="20"/>
              </w:rPr>
              <w:t>2、具有实时位置查询、定时监控、盲区补传、终端软件远程升级功能；</w:t>
            </w:r>
          </w:p>
          <w:p>
            <w:pPr>
              <w:pStyle w:val="null3"/>
              <w:ind w:firstLine="400"/>
              <w:jc w:val="both"/>
            </w:pPr>
            <w:r>
              <w:rPr>
                <w:rFonts w:ascii="仿宋_GB2312" w:hAnsi="仿宋_GB2312" w:cs="仿宋_GB2312" w:eastAsia="仿宋_GB2312"/>
                <w:sz w:val="20"/>
              </w:rPr>
              <w:t>3、具有区域限制、超速报警、低压报警、主电源掉电报警功能；</w:t>
            </w:r>
          </w:p>
          <w:p>
            <w:pPr>
              <w:pStyle w:val="null3"/>
              <w:ind w:firstLine="400"/>
              <w:jc w:val="both"/>
            </w:pPr>
            <w:r>
              <w:rPr>
                <w:rFonts w:ascii="仿宋_GB2312" w:hAnsi="仿宋_GB2312" w:cs="仿宋_GB2312" w:eastAsia="仿宋_GB2312"/>
                <w:sz w:val="20"/>
              </w:rPr>
              <w:t>4、拐点补传、基站定位以及低功耗模式；</w:t>
            </w:r>
          </w:p>
          <w:p>
            <w:pPr>
              <w:pStyle w:val="null3"/>
              <w:ind w:firstLine="400"/>
              <w:jc w:val="both"/>
            </w:pPr>
            <w:r>
              <w:rPr>
                <w:rFonts w:ascii="仿宋_GB2312" w:hAnsi="仿宋_GB2312" w:cs="仿宋_GB2312" w:eastAsia="仿宋_GB2312"/>
                <w:sz w:val="20"/>
              </w:rPr>
              <w:t>环境特性：正常工作温度范围</w:t>
            </w:r>
            <w:r>
              <w:rPr>
                <w:rFonts w:ascii="仿宋_GB2312" w:hAnsi="仿宋_GB2312" w:cs="仿宋_GB2312" w:eastAsia="仿宋_GB2312"/>
                <w:sz w:val="20"/>
              </w:rPr>
              <w:t>-25℃～75℃</w:t>
            </w:r>
          </w:p>
          <w:p>
            <w:pPr>
              <w:pStyle w:val="null3"/>
              <w:ind w:firstLine="400"/>
              <w:jc w:val="both"/>
            </w:pPr>
            <w:r>
              <w:rPr>
                <w:rFonts w:ascii="仿宋_GB2312" w:hAnsi="仿宋_GB2312" w:cs="仿宋_GB2312" w:eastAsia="仿宋_GB2312"/>
                <w:sz w:val="20"/>
              </w:rPr>
              <w:t>存储温度范围：</w:t>
            </w:r>
            <w:r>
              <w:rPr>
                <w:rFonts w:ascii="仿宋_GB2312" w:hAnsi="仿宋_GB2312" w:cs="仿宋_GB2312" w:eastAsia="仿宋_GB2312"/>
                <w:sz w:val="20"/>
              </w:rPr>
              <w:t>-40℃～85℃；    工作电压：DC 9～36V；</w:t>
            </w:r>
          </w:p>
          <w:p>
            <w:pPr>
              <w:pStyle w:val="null3"/>
              <w:ind w:firstLine="400"/>
              <w:jc w:val="both"/>
            </w:pPr>
            <w:r>
              <w:rPr>
                <w:rFonts w:ascii="仿宋_GB2312" w:hAnsi="仿宋_GB2312" w:cs="仿宋_GB2312" w:eastAsia="仿宋_GB2312"/>
                <w:sz w:val="20"/>
              </w:rPr>
              <w:t>工作电流：</w:t>
            </w:r>
            <w:r>
              <w:rPr>
                <w:rFonts w:ascii="仿宋_GB2312" w:hAnsi="仿宋_GB2312" w:cs="仿宋_GB2312" w:eastAsia="仿宋_GB2312"/>
                <w:sz w:val="20"/>
              </w:rPr>
              <w:t>48～52mA@12V（休眠状态电流18～21mA@12V）</w:t>
            </w:r>
          </w:p>
          <w:p>
            <w:pPr>
              <w:pStyle w:val="null3"/>
              <w:ind w:firstLine="400"/>
              <w:jc w:val="both"/>
            </w:pPr>
            <w:r>
              <w:rPr>
                <w:rFonts w:ascii="仿宋_GB2312" w:hAnsi="仿宋_GB2312" w:cs="仿宋_GB2312" w:eastAsia="仿宋_GB2312"/>
                <w:sz w:val="20"/>
              </w:rPr>
              <w:t>定位方式：北斗定位；</w:t>
            </w:r>
            <w:r>
              <w:rPr>
                <w:rFonts w:ascii="仿宋_GB2312" w:hAnsi="仿宋_GB2312" w:cs="仿宋_GB2312" w:eastAsia="仿宋_GB2312"/>
                <w:sz w:val="20"/>
              </w:rPr>
              <w:t xml:space="preserve">           </w:t>
            </w:r>
            <w:r>
              <w:rPr>
                <w:rFonts w:ascii="仿宋_GB2312" w:hAnsi="仿宋_GB2312" w:cs="仿宋_GB2312" w:eastAsia="仿宋_GB2312"/>
                <w:sz w:val="20"/>
              </w:rPr>
              <w:t>定位误差：</w:t>
            </w:r>
            <w:r>
              <w:rPr>
                <w:rFonts w:ascii="仿宋_GB2312" w:hAnsi="仿宋_GB2312" w:cs="仿宋_GB2312" w:eastAsia="仿宋_GB2312"/>
                <w:sz w:val="20"/>
              </w:rPr>
              <w:t>10m；</w:t>
            </w:r>
          </w:p>
          <w:p>
            <w:pPr>
              <w:pStyle w:val="null3"/>
              <w:ind w:firstLine="400"/>
              <w:jc w:val="both"/>
            </w:pPr>
            <w:r>
              <w:rPr>
                <w:rFonts w:ascii="仿宋_GB2312" w:hAnsi="仿宋_GB2312" w:cs="仿宋_GB2312" w:eastAsia="仿宋_GB2312"/>
                <w:sz w:val="20"/>
              </w:rPr>
              <w:t>通信网络：</w:t>
            </w:r>
            <w:r>
              <w:rPr>
                <w:rFonts w:ascii="仿宋_GB2312" w:hAnsi="仿宋_GB2312" w:cs="仿宋_GB2312" w:eastAsia="仿宋_GB2312"/>
                <w:sz w:val="20"/>
              </w:rPr>
              <w:t>GPRS；               通讯方式：TCP/UDP；</w:t>
            </w:r>
          </w:p>
          <w:p>
            <w:pPr>
              <w:pStyle w:val="null3"/>
              <w:ind w:firstLine="400"/>
              <w:jc w:val="both"/>
            </w:pPr>
            <w:r>
              <w:rPr>
                <w:rFonts w:ascii="仿宋_GB2312" w:hAnsi="仿宋_GB2312" w:cs="仿宋_GB2312" w:eastAsia="仿宋_GB2312"/>
                <w:sz w:val="20"/>
              </w:rPr>
              <w:t>后备电池工作时间：电池充饱电的前提下，可连续工作</w:t>
            </w:r>
            <w:r>
              <w:rPr>
                <w:rFonts w:ascii="仿宋_GB2312" w:hAnsi="仿宋_GB2312" w:cs="仿宋_GB2312" w:eastAsia="仿宋_GB2312"/>
                <w:sz w:val="20"/>
              </w:rPr>
              <w:t>1.5h左右；</w:t>
            </w:r>
          </w:p>
          <w:p>
            <w:pPr>
              <w:pStyle w:val="null3"/>
              <w:ind w:firstLine="400"/>
              <w:jc w:val="both"/>
            </w:pPr>
            <w:r>
              <w:rPr>
                <w:rFonts w:ascii="仿宋_GB2312" w:hAnsi="仿宋_GB2312" w:cs="仿宋_GB2312" w:eastAsia="仿宋_GB2312"/>
                <w:sz w:val="20"/>
              </w:rPr>
              <w:t>其他性能要求：数据协议符合国家交通部</w:t>
            </w:r>
            <w:r>
              <w:rPr>
                <w:rFonts w:ascii="仿宋_GB2312" w:hAnsi="仿宋_GB2312" w:cs="仿宋_GB2312" w:eastAsia="仿宋_GB2312"/>
                <w:sz w:val="20"/>
              </w:rPr>
              <w:t>JT808协议，无缝过渡公车管理平台，实现车载数据的接收、解析和存储，并与业务关联，实现对平台车辆的监管。</w:t>
            </w:r>
          </w:p>
          <w:p>
            <w:pPr>
              <w:pStyle w:val="null3"/>
              <w:jc w:val="left"/>
            </w:pPr>
            <w:r>
              <w:rPr>
                <w:rFonts w:ascii="仿宋_GB2312" w:hAnsi="仿宋_GB2312" w:cs="仿宋_GB2312" w:eastAsia="仿宋_GB2312"/>
              </w:rPr>
              <w:t xml:space="preserve"> </w:t>
            </w:r>
          </w:p>
          <w:p>
            <w:pPr>
              <w:pStyle w:val="null3"/>
              <w:outlineLvl w:val="0"/>
            </w:pPr>
            <w:r>
              <w:rPr>
                <w:rFonts w:ascii="仿宋_GB2312" w:hAnsi="仿宋_GB2312" w:cs="仿宋_GB2312" w:eastAsia="仿宋_GB2312"/>
                <w:sz w:val="20"/>
                <w:b/>
              </w:rPr>
              <w:t>5、</w:t>
            </w:r>
            <w:r>
              <w:rPr>
                <w:rFonts w:ascii="仿宋_GB2312" w:hAnsi="仿宋_GB2312" w:cs="仿宋_GB2312" w:eastAsia="仿宋_GB2312"/>
                <w:sz w:val="20"/>
                <w:b/>
              </w:rPr>
              <w:t>服务</w:t>
            </w:r>
            <w:r>
              <w:rPr>
                <w:rFonts w:ascii="仿宋_GB2312" w:hAnsi="仿宋_GB2312" w:cs="仿宋_GB2312" w:eastAsia="仿宋_GB2312"/>
                <w:sz w:val="20"/>
                <w:b/>
              </w:rPr>
              <w:t>参数要求</w:t>
            </w:r>
          </w:p>
          <w:tbl>
            <w:tblPr>
              <w:tblBorders>
                <w:top w:val="none" w:color="000000" w:sz="4"/>
                <w:left w:val="none" w:color="000000" w:sz="4"/>
                <w:bottom w:val="none" w:color="000000" w:sz="4"/>
                <w:right w:val="none" w:color="000000" w:sz="4"/>
                <w:insideH w:val="none"/>
                <w:insideV w:val="none"/>
              </w:tblBorders>
            </w:tblPr>
            <w:tblGrid>
              <w:gridCol w:w="227"/>
              <w:gridCol w:w="290"/>
              <w:gridCol w:w="230"/>
              <w:gridCol w:w="1551"/>
              <w:gridCol w:w="125"/>
              <w:gridCol w:w="130"/>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西安市临潼区公务用车信息化平台系统维护项目</w:t>
                  </w:r>
                  <w:r>
                    <w:rPr>
                      <w:rFonts w:ascii="仿宋_GB2312" w:hAnsi="仿宋_GB2312" w:cs="仿宋_GB2312" w:eastAsia="仿宋_GB2312"/>
                      <w:sz w:val="20"/>
                      <w:b/>
                    </w:rPr>
                    <w:t>采购需求表</w:t>
                  </w:r>
                </w:p>
              </w:tc>
            </w:tr>
            <w:tr>
              <w:tc>
                <w:tcPr>
                  <w:tcW w:type="dxa" w:w="2553"/>
                  <w:gridSpan w:val="6"/>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软件平台及硬件设备</w:t>
                  </w:r>
                </w:p>
              </w:tc>
            </w:tr>
            <w:tr>
              <w:tc>
                <w:tcPr>
                  <w:tcW w:type="dxa" w:w="5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功能模块</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功能描述（或参数要求）</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51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公务用车信息管理平台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用户登录</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Web端和APP端支持用户名和口令登录</w:t>
                  </w:r>
                </w:p>
              </w:tc>
              <w:tc>
                <w:tcPr>
                  <w:tcW w:type="dxa" w:w="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1</w:t>
                  </w:r>
                </w:p>
              </w:tc>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套</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工作台</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展示公车平台总体运行状况，包括车辆数、车辆运行状态、订单数量、使用率等指标；不同角色登录看到不同的展示信息</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报警总览</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通过一张图可以看到整个平台车辆不同类型告警信息的总览数据。</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报警设置</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可以针对不同的场景和业务流程设置不同的告警规则条件，同时还可以针对短信提醒规则、数据上报规则、告警时效等参数进行设置。</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车辆报警</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包括超速报警、离线报警、未审批出车报警、断电报警等几种报警类型的业务数据的统计和呈现。</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全省一张网</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通过一张地图实现所有车辆在一张网中定位和呈现，也是体现省市县数据互通的一种场景；</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监督分析</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包括车辆统计、订单统计、历史统计等：可以对车辆数据进行统计；可按照单位部门、车辆类型等维度实现车辆统计，按照车辆的性质分类、车辆的类型进行统计；对产生的订单数据进行不同维度的统计分析，可按照出行次数、区域订单数、时间等维度进行统计，可按照数量进行排行；对车辆的使用频率进行统计和分析，按照使用率进行排行；</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用车申请</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支持在线申请公务用车流程，满足本单位用车、跨单位用车等不同场景下的流程需要；支持对于任务型场景下的用车需求，满足应急公务、执法执勤等特殊场景下的用车申请流程</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车辆监控</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支持在一张图上实现所有车辆的位置定位；针对车辆实时位置，可进行动态车辆跟踪，查看车辆当前状态和位置以及对应的订单信息；系统提供车辆轨迹回放功能，通过查询目标车辆运行的历史时间段，在地图上勾画车辆运行轨迹，并可动态播放；</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车辆档案</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提供对所有车辆登记功能，支持信息的更新、图片上传以及信息维护等基本功能；</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车辆维护</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平台应该具备对车辆的维保记录、加油管理、油卡、年检、违章、</w:t>
                  </w:r>
                  <w:r>
                    <w:rPr>
                      <w:rFonts w:ascii="仿宋_GB2312" w:hAnsi="仿宋_GB2312" w:cs="仿宋_GB2312" w:eastAsia="仿宋_GB2312"/>
                      <w:sz w:val="20"/>
                    </w:rPr>
                    <w:t>ETC、保险等，与车辆维护相关的管理功能，可以通过平台信息了解该车辆的运行维护现状；</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驾驶员管理</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提供对驾驶员信息的维护管理功能，可对驾驶员档案进行登记和维护；同时对于驾驶员考勤，包括出勤、请假等日常工作在岗状态进行管理；</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第三方公司对接</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系统提供针对可以提供合作的社会化车辆租赁、维保、保险等第三方运营公司的信息进行新增、编辑、删除、停用等日常管理操作</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系统设置</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为保证系统正常运行，提供用户管理、权限设置、角色、流程参数等有关基础维护的相关功能；</w:t>
                  </w:r>
                </w:p>
              </w:tc>
            </w:tr>
            <w:tr>
              <w:tc>
                <w:tcPr>
                  <w:tcW w:type="dxa" w:w="51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手机客户端软件</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手机</w:t>
                  </w:r>
                  <w:r>
                    <w:rPr>
                      <w:rFonts w:ascii="仿宋_GB2312" w:hAnsi="仿宋_GB2312" w:cs="仿宋_GB2312" w:eastAsia="仿宋_GB2312"/>
                      <w:sz w:val="20"/>
                    </w:rPr>
                    <w:t>APP</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实现驾驶员账号口令登录，在线任务操作，通过手机</w:t>
                  </w:r>
                  <w:r>
                    <w:rPr>
                      <w:rFonts w:ascii="仿宋_GB2312" w:hAnsi="仿宋_GB2312" w:cs="仿宋_GB2312" w:eastAsia="仿宋_GB2312"/>
                      <w:sz w:val="20"/>
                    </w:rPr>
                    <w:t>APP实现接单、执行任务、提交车辆产生费用、入库操作；在线申请维修、保养，在线申请请假、休假，打卡签到操作，实现任务导航功能等。</w:t>
                  </w:r>
                </w:p>
                <w:p>
                  <w:pPr>
                    <w:pStyle w:val="null3"/>
                    <w:jc w:val="both"/>
                  </w:pPr>
                  <w:r>
                    <w:rPr>
                      <w:rFonts w:ascii="仿宋_GB2312" w:hAnsi="仿宋_GB2312" w:cs="仿宋_GB2312" w:eastAsia="仿宋_GB2312"/>
                      <w:sz w:val="20"/>
                    </w:rPr>
                    <w:t>管理人员通过账号、口令登录，实现订单多级在线审批，车辆总体位置监控、单车任务跟踪、历史轨迹回放、费用核实、统计分析、调度日志查看。</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1</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套</w:t>
                  </w:r>
                </w:p>
              </w:tc>
            </w:tr>
            <w:tr>
              <w:tc>
                <w:tcPr>
                  <w:tcW w:type="dxa" w:w="517"/>
                  <w:gridSpan w:val="2"/>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微信</w:t>
                  </w:r>
                  <w:r>
                    <w:rPr>
                      <w:rFonts w:ascii="仿宋_GB2312" w:hAnsi="仿宋_GB2312" w:cs="仿宋_GB2312" w:eastAsia="仿宋_GB2312"/>
                      <w:sz w:val="20"/>
                    </w:rPr>
                    <w:t>小程序</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实现驾驶员账号口令登录，在线任务操作，通过手机</w:t>
                  </w:r>
                  <w:r>
                    <w:rPr>
                      <w:rFonts w:ascii="仿宋_GB2312" w:hAnsi="仿宋_GB2312" w:cs="仿宋_GB2312" w:eastAsia="仿宋_GB2312"/>
                      <w:sz w:val="20"/>
                    </w:rPr>
                    <w:t>APP实现接单、执行任务、提交车辆产生费用、入库操作；在线申请维修、保养，在线申请请假、休假，打卡签到操作，实现任务导航功能等。</w:t>
                  </w:r>
                </w:p>
                <w:p>
                  <w:pPr>
                    <w:pStyle w:val="null3"/>
                    <w:jc w:val="both"/>
                  </w:pPr>
                  <w:r>
                    <w:rPr>
                      <w:rFonts w:ascii="仿宋_GB2312" w:hAnsi="仿宋_GB2312" w:cs="仿宋_GB2312" w:eastAsia="仿宋_GB2312"/>
                      <w:sz w:val="20"/>
                    </w:rPr>
                    <w:t>管理人员通过账号、口令登录，实现订单多级在线审批，车辆总体位置监控、单车任务跟踪、历史轨迹回放、费用核实、统计分析、调度日志查看。</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3"/>
                  <w:gridSpan w:val="6"/>
                  <w:tcBorders>
                    <w:top w:val="non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运行维护服务</w:t>
                  </w:r>
                </w:p>
              </w:tc>
            </w:tr>
            <w:tr>
              <w:tc>
                <w:tcPr>
                  <w:tcW w:type="dxa" w:w="5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运维服务项目</w:t>
                  </w:r>
                </w:p>
              </w:tc>
              <w:tc>
                <w:tcPr>
                  <w:tcW w:type="dxa" w:w="178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要求指标或服务内容</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公务用车信息化管理服务平台维护费用</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网络、服务器及数据日常运维</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为防止网络安全攻击对服务器、网络、数据库进行日常维护以及可能如设备、人员操作不当引起的数据损失或设备问题，保障数据的完整性和可用性，对数据库采用实时的增量备份，并进行每日凌晨的定期全量备份，数据备份文件压缩后存放于当地环境，并做好访问权限防护，也用于必要的数据恢复</w:t>
                  </w:r>
                </w:p>
              </w:tc>
              <w:tc>
                <w:tcPr>
                  <w:tcW w:type="dxa" w:w="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450</w:t>
                  </w:r>
                </w:p>
              </w:tc>
              <w:tc>
                <w:tcPr>
                  <w:tcW w:type="dxa" w:w="13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台</w:t>
                  </w:r>
                </w:p>
              </w:tc>
            </w:tr>
            <w:tr>
              <w:tc>
                <w:tcPr>
                  <w:tcW w:type="dxa" w:w="227"/>
                  <w:vMerge/>
                  <w:tcBorders>
                    <w:top w:val="none" w:color="000000" w:sz="4"/>
                    <w:left w:val="single" w:color="000000" w:sz="4"/>
                    <w:bottom w:val="single" w:color="000000" w:sz="4"/>
                    <w:right w:val="single" w:color="000000" w:sz="4"/>
                  </w:tcBorders>
                </w:tc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系统安全管理</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提供</w:t>
                  </w:r>
                  <w:r>
                    <w:rPr>
                      <w:rFonts w:ascii="仿宋_GB2312" w:hAnsi="仿宋_GB2312" w:cs="仿宋_GB2312" w:eastAsia="仿宋_GB2312"/>
                      <w:sz w:val="20"/>
                    </w:rPr>
                    <w:t>系统及服务器漏洞扫描与防护</w:t>
                  </w:r>
                  <w:r>
                    <w:rPr>
                      <w:rFonts w:ascii="仿宋_GB2312" w:hAnsi="仿宋_GB2312" w:cs="仿宋_GB2312" w:eastAsia="仿宋_GB2312"/>
                      <w:sz w:val="20"/>
                    </w:rPr>
                    <w:t>，</w:t>
                  </w:r>
                  <w:r>
                    <w:rPr>
                      <w:rFonts w:ascii="仿宋_GB2312" w:hAnsi="仿宋_GB2312" w:cs="仿宋_GB2312" w:eastAsia="仿宋_GB2312"/>
                      <w:sz w:val="20"/>
                    </w:rPr>
                    <w:t>并提供报告</w:t>
                  </w:r>
                </w:p>
              </w:tc>
              <w:tc>
                <w:tcPr>
                  <w:tcW w:type="dxa" w:w="125"/>
                  <w:vMerge/>
                  <w:tcBorders>
                    <w:top w:val="non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0"/>
                    </w:rPr>
                    <w:t>系统功能需求变更</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在使用系统的过程中，针对公务用车管理服务特点，进行系统适配需求变更及系统升级。个性化需求专项开发</w:t>
                  </w:r>
                </w:p>
              </w:tc>
              <w:tc>
                <w:tcPr>
                  <w:tcW w:type="dxa" w:w="125"/>
                  <w:vMerge/>
                  <w:tcBorders>
                    <w:top w:val="non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硬件设备维护</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北斗</w:t>
                  </w:r>
                  <w:r>
                    <w:rPr>
                      <w:rFonts w:ascii="仿宋_GB2312" w:hAnsi="仿宋_GB2312" w:cs="仿宋_GB2312" w:eastAsia="仿宋_GB2312"/>
                      <w:sz w:val="20"/>
                    </w:rPr>
                    <w:t>定位终端</w:t>
                  </w:r>
                  <w:r>
                    <w:rPr>
                      <w:rFonts w:ascii="仿宋_GB2312" w:hAnsi="仿宋_GB2312" w:cs="仿宋_GB2312" w:eastAsia="仿宋_GB2312"/>
                      <w:sz w:val="20"/>
                    </w:rPr>
                    <w:t>拆除、改装、维修</w:t>
                  </w:r>
                  <w:r>
                    <w:rPr>
                      <w:rFonts w:ascii="仿宋_GB2312" w:hAnsi="仿宋_GB2312" w:cs="仿宋_GB2312" w:eastAsia="仿宋_GB2312"/>
                      <w:sz w:val="20"/>
                    </w:rPr>
                    <w:t>、定期巡检、维护保养、</w:t>
                  </w:r>
                  <w:r>
                    <w:rPr>
                      <w:rFonts w:ascii="仿宋_GB2312" w:hAnsi="仿宋_GB2312" w:cs="仿宋_GB2312" w:eastAsia="仿宋_GB2312"/>
                      <w:sz w:val="20"/>
                    </w:rPr>
                    <w:t>设备系统</w:t>
                  </w:r>
                  <w:r>
                    <w:rPr>
                      <w:rFonts w:ascii="仿宋_GB2312" w:hAnsi="仿宋_GB2312" w:cs="仿宋_GB2312" w:eastAsia="仿宋_GB2312"/>
                      <w:sz w:val="20"/>
                    </w:rPr>
                    <w:t>升级</w:t>
                  </w:r>
                </w:p>
              </w:tc>
              <w:tc>
                <w:tcPr>
                  <w:tcW w:type="dxa" w:w="125"/>
                  <w:vMerge/>
                  <w:tcBorders>
                    <w:top w:val="non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软件系统各项功能现场培训</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系统电脑端、</w:t>
                  </w:r>
                  <w:r>
                    <w:rPr>
                      <w:rFonts w:ascii="仿宋_GB2312" w:hAnsi="仿宋_GB2312" w:cs="仿宋_GB2312" w:eastAsia="仿宋_GB2312"/>
                      <w:sz w:val="20"/>
                    </w:rPr>
                    <w:t>APP端、小程序的不定期培训</w:t>
                  </w:r>
                </w:p>
              </w:tc>
              <w:tc>
                <w:tcPr>
                  <w:tcW w:type="dxa" w:w="125"/>
                  <w:vMerge/>
                  <w:tcBorders>
                    <w:top w:val="non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服务台远程运维服务</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提供手机、微信群、微信等多种渠道的售后服务，为各使用单位提供</w:t>
                  </w:r>
                  <w:r>
                    <w:rPr>
                      <w:rFonts w:ascii="仿宋_GB2312" w:hAnsi="仿宋_GB2312" w:cs="仿宋_GB2312" w:eastAsia="仿宋_GB2312"/>
                      <w:sz w:val="20"/>
                    </w:rPr>
                    <w:t>7×24小时服务。</w:t>
                  </w:r>
                </w:p>
              </w:tc>
              <w:tc>
                <w:tcPr>
                  <w:tcW w:type="dxa" w:w="125"/>
                  <w:vMerge/>
                  <w:tcBorders>
                    <w:top w:val="none" w:color="000000" w:sz="4"/>
                    <w:left w:val="single" w:color="000000" w:sz="4"/>
                    <w:bottom w:val="single" w:color="000000" w:sz="4"/>
                    <w:right w:val="single" w:color="000000" w:sz="4"/>
                  </w:tcBorders>
                </w:tcPr>
                <w:p/>
              </w:tc>
              <w:tc>
                <w:tcPr>
                  <w:tcW w:type="dxa" w:w="130"/>
                  <w:vMerge/>
                  <w:tcBorders>
                    <w:top w:val="single" w:color="000000" w:sz="4"/>
                    <w:left w:val="single" w:color="000000" w:sz="4"/>
                    <w:bottom w:val="single" w:color="000000" w:sz="4"/>
                    <w:right w:val="single" w:color="000000" w:sz="4"/>
                  </w:tcBorders>
                </w:tc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SIM卡流量费</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物联网</w:t>
                  </w:r>
                  <w:r>
                    <w:rPr>
                      <w:rFonts w:ascii="仿宋_GB2312" w:hAnsi="仿宋_GB2312" w:cs="仿宋_GB2312" w:eastAsia="仿宋_GB2312"/>
                      <w:sz w:val="20"/>
                    </w:rPr>
                    <w:t>SIM卡流量费</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物联网卡移动数据通讯及流量费，用于车辆定位监控jiankong系统、设备远程升级维护所有数据通讯</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450</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台</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平台短信服务费</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平台短信服务费</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10690专用通道短信费；用于平台系统所有用车申请、审核、调度等短信通知，会议培训通知及相关报警事件触发提醒通知等。</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1</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年</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平台云资源服务费</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平台云资源服务费</w:t>
                  </w:r>
                </w:p>
              </w:tc>
              <w:tc>
                <w:tcPr>
                  <w:tcW w:type="dxa" w:w="1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云服务器租赁：包括信息安全防护、防火墙、云服务主机、存储、网络带宽和数据灾备服务。</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1</w:t>
                  </w:r>
                </w:p>
              </w:tc>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0"/>
                    </w:rPr>
                    <w:t>年</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1、本项目由西安市临潼区机关事务服务中心相关部门对项目进行验收。 2、验收标准：按单一来源文件、单一来源响应文件及澄清函、项目检查情况等综合指标进行验收。各项指标均应符合验收标准及要求。 3、验收合格后，填写验收单，双方签字生效。 4、验收依据： （a）合同文本； （b）单一来源文件及澄清函、单一来源响应文件； （c）国家和行业制定的相应的标准和规范； （d）验收清单。</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自合同签订之日起壹年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进度款，满足甲方服务要求 ，达到付款条件起 10 日内，支付合同总金额的 100.00%。，达到付款条件起10个工作日内，支付合同总金额的100.0%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1、本项目由西安市临潼区机关事务服务中心相关部门对项目进行验收。 2、验收标准：按单一来源文件、单一来源响应文件及澄清函、项目检查情况等综合指标进行验收。各项指标均应符合验收标准及要求。 3、验收合格后，填写验收单，双方签字生效。 4、验收依据： （a）合同文本； （b）单一来源文件及澄清函、单一来源响应文件； （c）国家和行业制定的相应的标准和规范； （d）验收清单。</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2、未按合同要求提供产品质量不能满足技术要求，采购方有权终止合同，并对供方违约行为进行追究，同时按《中华人民共和国政府采购法》的有关规定进行处罚。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六、实施要求： 实施要求：根据项目内容及采购人要求，制定总体服务方案，并组织实施。 服务地点：采购人指定的地点。 七、安装、调试及人员培训： 成交供应商负责服务的安装、调试及使用单位人员的培训。 八、付款方式： 双方在合同中自行商议。 九、质量保证 1、质保期：终验合格后12个月。 软件产品终身免费维护升级，技术参数中如有另行规定的按技术参数要求质保。国家有规定的且优于招标文件的以国家规定为准。中标人承诺的质保时间超过招标文件要求的，按其承诺时间质保。 2、中标人承诺的质保期起始时间为终验合格之日。 3、所有产品质量必须符合国家有关规范和相关政策。所有产品必须是未使用过的新产品，质量优良、渠道正当，配置合理。 4、质保期出现的质量问题由中标人负责解决并承担所有费用。质保期后提供终身维修，维修时免收维修人工费，若需更换配件，价格给予优惠。 5、质量保证：供应商提供的服务，应全面满足单一来源文件的要求，单一来源文件未明确要求的内容，供应商须按采购人的补充要求为准。 十、验收: 1、本项目由西安市临潼区机关事务服务中心相关部门对项目进行验收。 2、验收标准：按单一来源文件、单一来源响应文件及澄清函、项目检查情况等综合指标进行验收。各项指标均应符合验收标准及要求。 3、验收合格后，填写验收单，双方签字生效。 4、验收依据：（a）合同文本；（b）单一来源文件及澄清函、单一来源响应文件；（c）国家和行业制定的相应的标准和规范；（d）验收清单。 十一、合同实施： 1、成交人应在合同签订后安排人员（项目组成人员简历表所列）与使用单位就工作进行安排、部署。 2、若未能在交货期内完成合同规定的义务，由此对招标方造成的延误和一切损失，由成交人承担和赔偿。 十二、违约责任： 1、按《中华人民共和国民法典》中的相关条款执行。 2、未按合同要求提供产品质量不能满足技术要求，采购方有权终止合同，并对供方违约行为进行追究，同时按《中华人民共和国政府采购法》的有关规定进行处罚。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响应函配套资料.pdf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响应函配套资料.pdf</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1、响应文件的完整性审查。 1.1响应文件 是否按照采购文件要求的格式编写。 2、响 应文件的有效性审查。 2.1响应文件的签署、加 盖印章是否合格、有效。 3、响应文件的响 应性审查。 3.1报价是否未超过采购预算或 最高限价； 3.2报价有效期是否符合采购文件的要求；</w:t>
            </w:r>
          </w:p>
        </w:tc>
        <w:tc>
          <w:tcPr>
            <w:tcW w:type="dxa" w:w="1661"/>
          </w:tcPr>
          <w:p>
            <w:pPr>
              <w:pStyle w:val="null3"/>
            </w:pPr>
            <w:r>
              <w:rPr>
                <w:rFonts w:ascii="仿宋_GB2312" w:hAnsi="仿宋_GB2312" w:cs="仿宋_GB2312" w:eastAsia="仿宋_GB2312"/>
              </w:rPr>
              <w:t>响应文件封面 响应函配套资料.pdf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详见附件：响应函配套资料.pdf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详见附件：招标文件合同0715.docx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