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版本号：慧科ZX-CG01066BF.1B220260629001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优秀运动队建设及外出交流训练(三次)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慧科ZX-CG01066BF.1B2</w:t>
      </w:r>
      <w:r>
        <w:br/>
      </w:r>
      <w:r>
        <w:br/>
      </w:r>
      <w:r>
        <w:br/>
      </w:r>
    </w:p>
    <w:p>
      <w:pPr>
        <w:pStyle w:val="null3"/>
        <w:jc w:val="center"/>
        <w:outlineLvl w:val="2"/>
      </w:pPr>
      <w:r>
        <w:rPr>
          <w:rFonts w:ascii="仿宋_GB2312" w:hAnsi="仿宋_GB2312" w:cs="仿宋_GB2312" w:eastAsia="仿宋_GB2312"/>
          <w:sz w:val="28"/>
          <w:b/>
        </w:rPr>
        <w:t>西安市射击射箭运动管理中心</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西安市射击射箭运动管理中心</w:t>
      </w:r>
      <w:r>
        <w:rPr>
          <w:rFonts w:ascii="仿宋_GB2312" w:hAnsi="仿宋_GB2312" w:cs="仿宋_GB2312" w:eastAsia="仿宋_GB2312"/>
        </w:rPr>
        <w:t>委托，拟对</w:t>
      </w:r>
      <w:r>
        <w:rPr>
          <w:rFonts w:ascii="仿宋_GB2312" w:hAnsi="仿宋_GB2312" w:cs="仿宋_GB2312" w:eastAsia="仿宋_GB2312"/>
        </w:rPr>
        <w:t>优秀运动队建设及外出交流训练(三次)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慧科ZX-CG01066BF.1B2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优秀运动队建设及外出交流训练(三次)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西安市射击射箭运动管理中心因项目发展需求，需聘用高水平教练员2名，教练员1名，包括1名射击项目高水平教练员，1名击剑项目高水平教练员，1名击剑项目教练员。具体内容详见竞争性磋商文件。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采购包1（优秀运动队建设及外出交流训练）：属于专门面向中小企业采购。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1、供应商资质：供应商须提供有效的行业行政主管部门颁发的《人力资源服务许可证》和《劳务派遣经营许可证》；</w:t>
      </w:r>
    </w:p>
    <w:p>
      <w:pPr>
        <w:pStyle w:val="null3"/>
      </w:pPr>
      <w:r>
        <w:rPr>
          <w:rFonts w:ascii="仿宋_GB2312" w:hAnsi="仿宋_GB2312" w:cs="仿宋_GB2312" w:eastAsia="仿宋_GB2312"/>
        </w:rPr>
        <w:t>2、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3、关联关系承诺：单位负责人为同一人或者存在直接控股、管理关系的不同供应商，不得参加同一合同项下的政府采购活动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4、法定代表人授权委托书：法定代表人参加磋商的，须提供本人身份证复印件（附在响应文件中）；法定代表人授权他人参加磋商的，须提供法定代表人授权委托书。</w:t>
      </w:r>
    </w:p>
    <w:p>
      <w:pPr>
        <w:pStyle w:val="null3"/>
      </w:pPr>
      <w:r>
        <w:rPr>
          <w:rFonts w:ascii="仿宋_GB2312" w:hAnsi="仿宋_GB2312" w:cs="仿宋_GB2312" w:eastAsia="仿宋_GB2312"/>
        </w:rPr>
        <w:t>5、本项目不接受联合体磋商：提供非联合体声明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西安市射击射箭运动管理中心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陕西省西安市灞桥区港务西路与秦汉大道交叉口北900米路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西安市射击射箭运动管理中心经办刘欣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13772488526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陕西省西安市曲江新区南三环辅路以南曲江文创中心7幢1单元1702号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宋霜晨、樊军辉、张一鸣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029-89192999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成交金额为基数，参照国家计委颁发的《招标代理服务收费管理暂行办法》（计价格〔2002〕1980号）和财政部颁发的《政府采购代理机构管理暂行办法》(财库〔2018〕2号)的有关规定执行。 代理服务费缴纳账号： 开户名称：陕西慧科工程管理咨询有限公司 开户银行：交通银行股份有限公司西安光华路支行 账 号：611301135013001841428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西安市射击射箭运动管理中心</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西安市射击射箭运动管理中心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西安市射击射箭运动管理中心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联系人：宋霜晨</w:t>
      </w:r>
    </w:p>
    <w:p>
      <w:pPr>
        <w:pStyle w:val="null3"/>
      </w:pPr>
      <w:r>
        <w:rPr>
          <w:rFonts w:ascii="仿宋_GB2312" w:hAnsi="仿宋_GB2312" w:cs="仿宋_GB2312" w:eastAsia="仿宋_GB2312"/>
        </w:rPr>
        <w:t>联系电话：029-89192999</w:t>
      </w:r>
    </w:p>
    <w:p>
      <w:pPr>
        <w:pStyle w:val="null3"/>
      </w:pPr>
      <w:r>
        <w:rPr>
          <w:rFonts w:ascii="仿宋_GB2312" w:hAnsi="仿宋_GB2312" w:cs="仿宋_GB2312" w:eastAsia="仿宋_GB2312"/>
        </w:rPr>
        <w:t>地址：陕西省西安市曲江新区南三环辅路以南曲江文创中心7幢1单元1702号</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西安市射击射箭运动管理中心因项目发展需求，需聘用高水平教练员2名，教练员1名，包括1名射击项目高水平教练员，1名击剑项目高水平教练员，1名击剑项目教练员。具体内容详见竞争性磋商文件。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优秀运动队建设委托业务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标的名称：优秀运动队建设委托业务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jc w:val="both"/>
            </w:pPr>
            <w:r>
              <w:rPr>
                <w:rFonts w:ascii="仿宋_GB2312" w:hAnsi="仿宋_GB2312" w:cs="仿宋_GB2312" w:eastAsia="仿宋_GB2312"/>
                <w:sz w:val="20"/>
              </w:rPr>
              <w:t>为积极响应国家体育发展战略，提升西安市射击、击剑项目的竞技水平与后备人才培养质量，满足项目发展需求，西安市射击射箭运动管理中心现计划通过采购服务的方式，面向社会公开聘用高水平教练员团队。本项目旨在引进优秀教练人才，充实教练队伍，优化训练方法，以科学、系统的训练推动我市射击、击剑运动成绩实现新突破。</w:t>
            </w:r>
          </w:p>
          <w:p>
            <w:pPr>
              <w:pStyle w:val="null3"/>
              <w:jc w:val="both"/>
            </w:pPr>
            <w:r>
              <w:rPr>
                <w:rFonts w:ascii="仿宋_GB2312" w:hAnsi="仿宋_GB2312" w:cs="仿宋_GB2312" w:eastAsia="仿宋_GB2312"/>
                <w:sz w:val="20"/>
                <w:b/>
              </w:rPr>
              <w:t>二、服务内容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1）服务内容</w:t>
            </w:r>
          </w:p>
          <w:p>
            <w:pPr>
              <w:pStyle w:val="null3"/>
              <w:jc w:val="both"/>
            </w:pPr>
            <w:r>
              <w:rPr>
                <w:rFonts w:ascii="仿宋_GB2312" w:hAnsi="仿宋_GB2312" w:cs="仿宋_GB2312" w:eastAsia="仿宋_GB2312"/>
                <w:sz w:val="20"/>
              </w:rPr>
              <w:t>1.1教练员培训（公司规章制度、安全教育等、岗位培训）；</w:t>
            </w:r>
          </w:p>
          <w:p>
            <w:pPr>
              <w:pStyle w:val="null3"/>
              <w:jc w:val="both"/>
            </w:pPr>
            <w:r>
              <w:rPr>
                <w:rFonts w:ascii="仿宋_GB2312" w:hAnsi="仿宋_GB2312" w:cs="仿宋_GB2312" w:eastAsia="仿宋_GB2312"/>
                <w:sz w:val="20"/>
              </w:rPr>
              <w:t>1.2教练员入职手续（合同签订、体检）；</w:t>
            </w:r>
          </w:p>
          <w:p>
            <w:pPr>
              <w:pStyle w:val="null3"/>
              <w:jc w:val="both"/>
            </w:pPr>
            <w:r>
              <w:rPr>
                <w:rFonts w:ascii="仿宋_GB2312" w:hAnsi="仿宋_GB2312" w:cs="仿宋_GB2312" w:eastAsia="仿宋_GB2312"/>
                <w:sz w:val="20"/>
              </w:rPr>
              <w:t>1.3教练员薪酬发放、保险缴纳；</w:t>
            </w:r>
          </w:p>
          <w:p>
            <w:pPr>
              <w:pStyle w:val="null3"/>
              <w:jc w:val="both"/>
            </w:pPr>
            <w:r>
              <w:rPr>
                <w:rFonts w:ascii="仿宋_GB2312" w:hAnsi="仿宋_GB2312" w:cs="仿宋_GB2312" w:eastAsia="仿宋_GB2312"/>
                <w:sz w:val="20"/>
              </w:rPr>
              <w:t>1.4教练员离职手续办理、员工关系解除、问题员工协助处理；</w:t>
            </w:r>
          </w:p>
          <w:p>
            <w:pPr>
              <w:pStyle w:val="null3"/>
              <w:jc w:val="both"/>
            </w:pPr>
            <w:r>
              <w:rPr>
                <w:rFonts w:ascii="仿宋_GB2312" w:hAnsi="仿宋_GB2312" w:cs="仿宋_GB2312" w:eastAsia="仿宋_GB2312"/>
                <w:sz w:val="20"/>
              </w:rPr>
              <w:t>1.5档案管理（合同、保险手册、个人资料等）；</w:t>
            </w:r>
          </w:p>
          <w:p>
            <w:pPr>
              <w:pStyle w:val="null3"/>
              <w:jc w:val="both"/>
            </w:pPr>
            <w:r>
              <w:rPr>
                <w:rFonts w:ascii="仿宋_GB2312" w:hAnsi="仿宋_GB2312" w:cs="仿宋_GB2312" w:eastAsia="仿宋_GB2312"/>
                <w:sz w:val="20"/>
              </w:rPr>
              <w:t>1.6劳资纠纷处理；工伤等意外情况处理；</w:t>
            </w:r>
          </w:p>
          <w:p>
            <w:pPr>
              <w:pStyle w:val="null3"/>
              <w:jc w:val="both"/>
            </w:pPr>
            <w:r>
              <w:rPr>
                <w:rFonts w:ascii="仿宋_GB2312" w:hAnsi="仿宋_GB2312" w:cs="仿宋_GB2312" w:eastAsia="仿宋_GB2312"/>
                <w:sz w:val="20"/>
              </w:rPr>
              <w:t>1.7按照采购人要求的内容、时间完成服务内容。</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采购人所需的教练员具体岗位及数量如下：</w:t>
            </w:r>
          </w:p>
          <w:p>
            <w:pPr>
              <w:pStyle w:val="null3"/>
              <w:jc w:val="both"/>
            </w:pPr>
            <w:r>
              <w:rPr>
                <w:rFonts w:ascii="仿宋_GB2312" w:hAnsi="仿宋_GB2312" w:cs="仿宋_GB2312" w:eastAsia="仿宋_GB2312"/>
                <w:sz w:val="20"/>
                <w:b/>
              </w:rPr>
              <w:t>射击项目高水平教练员：</w:t>
            </w:r>
            <w:r>
              <w:rPr>
                <w:rFonts w:ascii="仿宋_GB2312" w:hAnsi="仿宋_GB2312" w:cs="仿宋_GB2312" w:eastAsia="仿宋_GB2312"/>
                <w:sz w:val="20"/>
                <w:b/>
              </w:rPr>
              <w:t>1名</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rPr>
              <w:t>击剑项目高水平教练员：</w:t>
            </w:r>
            <w:r>
              <w:rPr>
                <w:rFonts w:ascii="仿宋_GB2312" w:hAnsi="仿宋_GB2312" w:cs="仿宋_GB2312" w:eastAsia="仿宋_GB2312"/>
                <w:sz w:val="20"/>
                <w:b/>
              </w:rPr>
              <w:t>1名</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rPr>
              <w:t>击剑训练辅助教练员：</w:t>
            </w:r>
            <w:r>
              <w:rPr>
                <w:rFonts w:ascii="仿宋_GB2312" w:hAnsi="仿宋_GB2312" w:cs="仿宋_GB2312" w:eastAsia="仿宋_GB2312"/>
                <w:sz w:val="20"/>
                <w:b/>
              </w:rPr>
              <w:t>1名</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rPr>
              <w:t>三、服务要求</w:t>
            </w:r>
          </w:p>
          <w:p>
            <w:pPr>
              <w:pStyle w:val="null3"/>
              <w:jc w:val="both"/>
            </w:pPr>
            <w:r>
              <w:rPr>
                <w:rFonts w:ascii="仿宋_GB2312" w:hAnsi="仿宋_GB2312" w:cs="仿宋_GB2312" w:eastAsia="仿宋_GB2312"/>
                <w:sz w:val="20"/>
                <w:b/>
              </w:rPr>
              <w:t>（一）人员要求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基本条件：五官端正，身体健康，服务意识强，工作热情，遵守各项服务规范，自觉接受用工单位管理，提供优质高效的服务。所有应聘教练员须拥护中国共产党的领导，热爱体育事业，品行端正，身体健康，具备良好的职业道德和团队协作精神。</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2）专业要求</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射击高水平教练员：</w:t>
            </w:r>
          </w:p>
          <w:p>
            <w:pPr>
              <w:pStyle w:val="null3"/>
              <w:jc w:val="both"/>
            </w:pPr>
            <w:r>
              <w:rPr>
                <w:rFonts w:ascii="仿宋_GB2312" w:hAnsi="仿宋_GB2312" w:cs="仿宋_GB2312" w:eastAsia="仿宋_GB2312"/>
                <w:sz w:val="20"/>
              </w:rPr>
              <w:t>具有省级及以上专业运动队训练经历，具备</w:t>
            </w:r>
            <w:r>
              <w:rPr>
                <w:rFonts w:ascii="仿宋_GB2312" w:hAnsi="仿宋_GB2312" w:cs="仿宋_GB2312" w:eastAsia="仿宋_GB2312"/>
                <w:sz w:val="20"/>
              </w:rPr>
              <w:t>3</w:t>
            </w:r>
            <w:r>
              <w:rPr>
                <w:rFonts w:ascii="仿宋_GB2312" w:hAnsi="仿宋_GB2312" w:cs="仿宋_GB2312" w:eastAsia="仿宋_GB2312"/>
                <w:sz w:val="20"/>
              </w:rPr>
              <w:t>年以上专业队或省级以上体校执教经验，所带队员在省级以上比赛中取得优异成绩。拥有国家认证的中级及以上教练员职称或相应资格。</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击剑高水平教练员：</w:t>
            </w:r>
          </w:p>
          <w:p>
            <w:pPr>
              <w:pStyle w:val="null3"/>
              <w:jc w:val="both"/>
            </w:pPr>
            <w:r>
              <w:rPr>
                <w:rFonts w:ascii="仿宋_GB2312" w:hAnsi="仿宋_GB2312" w:cs="仿宋_GB2312" w:eastAsia="仿宋_GB2312"/>
                <w:sz w:val="20"/>
              </w:rPr>
              <w:t>具有省级及以上专业运动队训练经历，具备</w:t>
            </w:r>
            <w:r>
              <w:rPr>
                <w:rFonts w:ascii="仿宋_GB2312" w:hAnsi="仿宋_GB2312" w:cs="仿宋_GB2312" w:eastAsia="仿宋_GB2312"/>
                <w:sz w:val="20"/>
              </w:rPr>
              <w:t>3</w:t>
            </w:r>
            <w:r>
              <w:rPr>
                <w:rFonts w:ascii="仿宋_GB2312" w:hAnsi="仿宋_GB2312" w:cs="仿宋_GB2312" w:eastAsia="仿宋_GB2312"/>
                <w:sz w:val="20"/>
              </w:rPr>
              <w:t>年以上专业队或省级以上体校执教经验，所带队员在省级以上比赛中取得优异成绩。拥有国家认证的中级及以上教练员职称或相应资格。</w:t>
            </w:r>
          </w:p>
          <w:p>
            <w:pPr>
              <w:pStyle w:val="null3"/>
              <w:jc w:val="both"/>
            </w:pPr>
            <w:r>
              <w:rPr>
                <w:rFonts w:ascii="仿宋_GB2312" w:hAnsi="仿宋_GB2312" w:cs="仿宋_GB2312" w:eastAsia="仿宋_GB2312"/>
                <w:sz w:val="20"/>
              </w:rPr>
              <w:t>2.3击剑训练辅助教练员：</w:t>
            </w:r>
          </w:p>
          <w:p>
            <w:pPr>
              <w:pStyle w:val="null3"/>
              <w:jc w:val="both"/>
            </w:pPr>
            <w:r>
              <w:rPr>
                <w:rFonts w:ascii="仿宋_GB2312" w:hAnsi="仿宋_GB2312" w:cs="仿宋_GB2312" w:eastAsia="仿宋_GB2312"/>
                <w:sz w:val="20"/>
              </w:rPr>
              <w:t>具有专业运动队训练经历或体育院校击剑专业背景，具备击剑项目相关执教经验，能够独立完成青少年基础训练和技战术教学任务。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能力要求：掌握先进的训练理论和方法，具备制定并实施科学训练计划、进行技术指导、临场指挥、运动员选材及基础体能训练的能力。</w:t>
            </w:r>
          </w:p>
          <w:p>
            <w:pPr>
              <w:pStyle w:val="null3"/>
              <w:jc w:val="both"/>
            </w:pPr>
            <w:r>
              <w:rPr>
                <w:rFonts w:ascii="仿宋_GB2312" w:hAnsi="仿宋_GB2312" w:cs="仿宋_GB2312" w:eastAsia="仿宋_GB2312"/>
                <w:sz w:val="20"/>
                <w:b/>
              </w:rPr>
              <w:t>（二）工作职责要求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严格遵守采购人的各项规章制度，服从工作安排与管理。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根据采购人安排，负责制定并实施所负责项目、梯队（队员）的系统性年度、阶段、周及课时训练计划。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完成日常训练、比赛指导、体能训练、技术分析、心理辅导等工作，对训练质量和运动员成绩提升负责。</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参与运动员的选拔、评估与培养工作，做好训练日志、队员档案等资料的记录与管理。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积极参加采购人组织的业务学习、培训、会议及相关活动。</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服务</w:t>
            </w:r>
            <w:r>
              <w:rPr>
                <w:rFonts w:ascii="仿宋_GB2312" w:hAnsi="仿宋_GB2312" w:cs="仿宋_GB2312" w:eastAsia="仿宋_GB2312"/>
                <w:sz w:val="20"/>
                <w:b/>
              </w:rPr>
              <w:t>管理要求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教练员必须全职在采购人单位工作，遵守采购人的工作安排、训练时间、管理制度和纪律要求。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确保派出的教练员稳定提供服务，未经采购人同意，在服务期内不得随意更换人员。如需更换，替补人员资质不得低于原人员，并需提前获得采购人书面批准。</w:t>
            </w:r>
          </w:p>
          <w:p>
            <w:pPr>
              <w:pStyle w:val="null3"/>
              <w:jc w:val="both"/>
            </w:pPr>
            <w:r>
              <w:rPr>
                <w:rFonts w:ascii="仿宋_GB2312" w:hAnsi="仿宋_GB2312" w:cs="仿宋_GB2312" w:eastAsia="仿宋_GB2312"/>
                <w:sz w:val="20"/>
                <w:b/>
              </w:rPr>
              <w:t>四、商务要求</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rPr>
              <w:t>服务期限：自合同签订之日起至</w:t>
            </w:r>
            <w:r>
              <w:rPr>
                <w:rFonts w:ascii="仿宋_GB2312" w:hAnsi="仿宋_GB2312" w:cs="仿宋_GB2312" w:eastAsia="仿宋_GB2312"/>
                <w:sz w:val="20"/>
                <w:b/>
              </w:rPr>
              <w:t>2026年12月31日止。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服务地点：</w:t>
            </w:r>
            <w:r>
              <w:rPr>
                <w:rFonts w:ascii="仿宋_GB2312" w:hAnsi="仿宋_GB2312" w:cs="仿宋_GB2312" w:eastAsia="仿宋_GB2312"/>
                <w:sz w:val="20"/>
              </w:rPr>
              <w:t>采购人指定地点，</w:t>
            </w:r>
            <w:r>
              <w:rPr>
                <w:rFonts w:ascii="仿宋_GB2312" w:hAnsi="仿宋_GB2312" w:cs="仿宋_GB2312" w:eastAsia="仿宋_GB2312"/>
                <w:sz w:val="20"/>
              </w:rPr>
              <w:t>主要为西安市射击射箭运动管理中心指定地点（含训练场馆、场地），根据训练和比赛需要，可能涉及外训或外出比赛地点。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考核机制：采购人将定期对教练员的服务情况进行考核，考核结果将作为费用支付及是否续约的重要依据。考核内容包括训练计划完成情况、运动员成绩提升、日常工作表现等。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合同形式与费用构成：本合同为固定总价包干合同</w:t>
            </w:r>
            <w:r>
              <w:rPr>
                <w:rFonts w:ascii="仿宋_GB2312" w:hAnsi="仿宋_GB2312" w:cs="仿宋_GB2312" w:eastAsia="仿宋_GB2312"/>
                <w:sz w:val="20"/>
              </w:rPr>
              <w:t>，</w:t>
            </w:r>
            <w:r>
              <w:rPr>
                <w:rFonts w:ascii="仿宋_GB2312" w:hAnsi="仿宋_GB2312" w:cs="仿宋_GB2312" w:eastAsia="仿宋_GB2312"/>
                <w:sz w:val="20"/>
              </w:rPr>
              <w:t>合同总价为完成采购范围内全部工作的报价</w:t>
            </w:r>
            <w:r>
              <w:rPr>
                <w:rFonts w:ascii="仿宋_GB2312" w:hAnsi="仿宋_GB2312" w:cs="仿宋_GB2312" w:eastAsia="仿宋_GB2312"/>
                <w:sz w:val="20"/>
              </w:rPr>
              <w:t>，</w:t>
            </w:r>
            <w:r>
              <w:rPr>
                <w:rFonts w:ascii="仿宋_GB2312" w:hAnsi="仿宋_GB2312" w:cs="仿宋_GB2312" w:eastAsia="仿宋_GB2312"/>
                <w:sz w:val="20"/>
              </w:rPr>
              <w:t>包括人员工资、利润、管理费、税金、代理服务费等达到</w:t>
            </w:r>
            <w:r>
              <w:rPr>
                <w:rFonts w:ascii="仿宋_GB2312" w:hAnsi="仿宋_GB2312" w:cs="仿宋_GB2312" w:eastAsia="仿宋_GB2312"/>
                <w:sz w:val="20"/>
              </w:rPr>
              <w:t>服务</w:t>
            </w:r>
            <w:r>
              <w:rPr>
                <w:rFonts w:ascii="仿宋_GB2312" w:hAnsi="仿宋_GB2312" w:cs="仿宋_GB2312" w:eastAsia="仿宋_GB2312"/>
                <w:sz w:val="20"/>
              </w:rPr>
              <w:t>要求的一切费用。除合同另有明确约定外，采购人无需支付任何其他费用。</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付款方式</w:t>
            </w:r>
            <w:r>
              <w:rPr>
                <w:rFonts w:ascii="仿宋_GB2312" w:hAnsi="仿宋_GB2312" w:cs="仿宋_GB2312" w:eastAsia="仿宋_GB2312"/>
                <w:sz w:val="20"/>
              </w:rPr>
              <w:t>：</w:t>
            </w:r>
            <w:r>
              <w:rPr>
                <w:rFonts w:ascii="仿宋_GB2312" w:hAnsi="仿宋_GB2312" w:cs="仿宋_GB2312" w:eastAsia="仿宋_GB2312"/>
                <w:sz w:val="20"/>
              </w:rPr>
              <w:t>签订合同后，</w:t>
            </w:r>
            <w:r>
              <w:rPr>
                <w:rFonts w:ascii="仿宋_GB2312" w:hAnsi="仿宋_GB2312" w:cs="仿宋_GB2312" w:eastAsia="仿宋_GB2312"/>
                <w:u w:val="single"/>
              </w:rPr>
              <w:t>分期付款</w:t>
            </w:r>
            <w:r>
              <w:rPr>
                <w:rFonts w:ascii="仿宋_GB2312" w:hAnsi="仿宋_GB2312" w:cs="仿宋_GB2312" w:eastAsia="仿宋_GB2312"/>
                <w:sz w:val="20"/>
              </w:rPr>
              <w:t>。</w:t>
            </w:r>
          </w:p>
          <w:p>
            <w:pPr>
              <w:pStyle w:val="null3"/>
            </w:pPr>
            <w:r>
              <w:rPr>
                <w:rFonts w:ascii="仿宋_GB2312" w:hAnsi="仿宋_GB2312" w:cs="仿宋_GB2312" w:eastAsia="仿宋_GB2312"/>
                <w:sz w:val="20"/>
              </w:rPr>
              <w:t>4.1合同签订后，达到付款条件起5日内，支付合同总金额的 40.00%；</w:t>
            </w:r>
          </w:p>
          <w:p>
            <w:pPr>
              <w:pStyle w:val="null3"/>
            </w:pPr>
            <w:r>
              <w:rPr>
                <w:rFonts w:ascii="仿宋_GB2312" w:hAnsi="仿宋_GB2312" w:cs="仿宋_GB2312" w:eastAsia="仿宋_GB2312"/>
                <w:sz w:val="20"/>
              </w:rPr>
              <w:t>4.2合同履行至2026年9月30日，</w:t>
            </w:r>
            <w:r>
              <w:rPr>
                <w:rFonts w:ascii="仿宋_GB2312" w:hAnsi="仿宋_GB2312" w:cs="仿宋_GB2312" w:eastAsia="仿宋_GB2312"/>
              </w:rPr>
              <w:t>达到付款条件起</w:t>
            </w:r>
            <w:r>
              <w:rPr>
                <w:rFonts w:ascii="仿宋_GB2312" w:hAnsi="仿宋_GB2312" w:cs="仿宋_GB2312" w:eastAsia="仿宋_GB2312"/>
              </w:rPr>
              <w:t>5日内，支付合同总金额的 30.00%</w:t>
            </w:r>
            <w:r>
              <w:rPr>
                <w:rFonts w:ascii="仿宋_GB2312" w:hAnsi="仿宋_GB2312" w:cs="仿宋_GB2312" w:eastAsia="仿宋_GB2312"/>
              </w:rPr>
              <w:t>；</w:t>
            </w:r>
          </w:p>
          <w:p>
            <w:pPr>
              <w:pStyle w:val="null3"/>
            </w:pPr>
            <w:r>
              <w:rPr>
                <w:rFonts w:ascii="仿宋_GB2312" w:hAnsi="仿宋_GB2312" w:cs="仿宋_GB2312" w:eastAsia="仿宋_GB2312"/>
                <w:sz w:val="20"/>
              </w:rPr>
              <w:t>4.3合同履行至2026年12月31日，</w:t>
            </w:r>
            <w:r>
              <w:rPr>
                <w:rFonts w:ascii="仿宋_GB2312" w:hAnsi="仿宋_GB2312" w:cs="仿宋_GB2312" w:eastAsia="仿宋_GB2312"/>
              </w:rPr>
              <w:t>达到付款条件起</w:t>
            </w:r>
            <w:r>
              <w:rPr>
                <w:rFonts w:ascii="仿宋_GB2312" w:hAnsi="仿宋_GB2312" w:cs="仿宋_GB2312" w:eastAsia="仿宋_GB2312"/>
              </w:rPr>
              <w:t>5日内</w:t>
            </w:r>
            <w:r>
              <w:rPr>
                <w:rFonts w:ascii="仿宋_GB2312" w:hAnsi="仿宋_GB2312" w:cs="仿宋_GB2312" w:eastAsia="仿宋_GB2312"/>
              </w:rPr>
              <w:t>，</w:t>
            </w:r>
            <w:r>
              <w:rPr>
                <w:rFonts w:ascii="仿宋_GB2312" w:hAnsi="仿宋_GB2312" w:cs="仿宋_GB2312" w:eastAsia="仿宋_GB2312"/>
              </w:rPr>
              <w:t>支付合同总金额的</w:t>
            </w:r>
            <w:r>
              <w:rPr>
                <w:rFonts w:ascii="仿宋_GB2312" w:hAnsi="仿宋_GB2312" w:cs="仿宋_GB2312" w:eastAsia="仿宋_GB2312"/>
              </w:rPr>
              <w:t>30.00%</w:t>
            </w:r>
            <w:r>
              <w:rPr>
                <w:rFonts w:ascii="仿宋_GB2312" w:hAnsi="仿宋_GB2312" w:cs="仿宋_GB2312" w:eastAsia="仿宋_GB2312"/>
                <w:sz w:val="20"/>
              </w:rPr>
              <w:t>。</w:t>
            </w:r>
          </w:p>
          <w:p>
            <w:pPr>
              <w:pStyle w:val="null3"/>
            </w:pPr>
            <w:r>
              <w:rPr>
                <w:rFonts w:ascii="仿宋_GB2312" w:hAnsi="仿宋_GB2312" w:cs="仿宋_GB2312" w:eastAsia="仿宋_GB2312"/>
                <w:sz w:val="20"/>
              </w:rPr>
              <w:t>付款条件：</w:t>
            </w:r>
            <w:r>
              <w:rPr>
                <w:rFonts w:ascii="仿宋_GB2312" w:hAnsi="仿宋_GB2312" w:cs="仿宋_GB2312" w:eastAsia="仿宋_GB2312"/>
                <w:sz w:val="20"/>
              </w:rPr>
              <w:t>每次支付前，由乙方向甲方提供合法有效的增值税专用发票或者普通发票，甲方收到乙方开具的发票后将相应款项汇至本合同中约定的乙方账户。乙方未提供合法有效的增值税发票的，甲方有权拒绝付款并不承担因此产生的逾期责任。</w:t>
            </w:r>
          </w:p>
          <w:p>
            <w:pPr>
              <w:pStyle w:val="null3"/>
              <w:jc w:val="both"/>
            </w:pPr>
            <w:r>
              <w:rPr>
                <w:rFonts w:ascii="仿宋_GB2312" w:hAnsi="仿宋_GB2312" w:cs="仿宋_GB2312" w:eastAsia="仿宋_GB2312"/>
                <w:sz w:val="20"/>
              </w:rPr>
              <w:t>其他条件：项目合同执行过程中，因乙方服务而造成的项目问题，甲方有权延迟支付款项或终止合同并要求赔偿损失。</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劳动关系与薪酬社保管理</w:t>
            </w:r>
          </w:p>
          <w:p>
            <w:pPr>
              <w:pStyle w:val="null3"/>
              <w:jc w:val="both"/>
            </w:pPr>
            <w:r>
              <w:rPr>
                <w:rFonts w:ascii="仿宋_GB2312" w:hAnsi="仿宋_GB2312" w:cs="仿宋_GB2312" w:eastAsia="仿宋_GB2312"/>
                <w:sz w:val="20"/>
              </w:rPr>
              <w:t>5.1成交供应商</w:t>
            </w:r>
            <w:r>
              <w:rPr>
                <w:rFonts w:ascii="仿宋_GB2312" w:hAnsi="仿宋_GB2312" w:cs="仿宋_GB2312" w:eastAsia="仿宋_GB2312"/>
                <w:sz w:val="20"/>
              </w:rPr>
              <w:t>须依据《中华人民共和国劳动合同法》等相关法律法规，分别与两名教练员签订正式劳动合同，履行用人单位的全部法定义务。</w:t>
            </w:r>
          </w:p>
          <w:p>
            <w:pPr>
              <w:pStyle w:val="null3"/>
              <w:jc w:val="both"/>
            </w:pPr>
            <w:r>
              <w:rPr>
                <w:rFonts w:ascii="仿宋_GB2312" w:hAnsi="仿宋_GB2312" w:cs="仿宋_GB2312" w:eastAsia="仿宋_GB2312"/>
                <w:sz w:val="20"/>
              </w:rPr>
              <w:t>5.2成交供应商</w:t>
            </w:r>
            <w:r>
              <w:rPr>
                <w:rFonts w:ascii="仿宋_GB2312" w:hAnsi="仿宋_GB2312" w:cs="仿宋_GB2312" w:eastAsia="仿宋_GB2312"/>
                <w:sz w:val="20"/>
              </w:rPr>
              <w:t>须严格按照合同约定和国家规定，按时、足额为教练员代发工资，并依法足额缴纳社会保险。供应商应确保不因劳动关系、薪酬或社保问题对采购人造成任何纠纷或不良影响。</w:t>
            </w:r>
          </w:p>
          <w:p>
            <w:pPr>
              <w:pStyle w:val="null3"/>
              <w:jc w:val="both"/>
            </w:pPr>
            <w:r>
              <w:rPr>
                <w:rFonts w:ascii="仿宋_GB2312" w:hAnsi="仿宋_GB2312" w:cs="仿宋_GB2312" w:eastAsia="仿宋_GB2312"/>
                <w:sz w:val="20"/>
              </w:rPr>
              <w:t>5.3</w:t>
            </w:r>
            <w:r>
              <w:rPr>
                <w:rFonts w:ascii="仿宋_GB2312" w:hAnsi="仿宋_GB2312" w:cs="仿宋_GB2312" w:eastAsia="仿宋_GB2312"/>
                <w:sz w:val="20"/>
              </w:rPr>
              <w:t>采购人有权要求供应商提供教练员的工资发放记录、社保缴纳凭证以供核查。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违约责任：如供应商未按约定履行薪酬发放、社保缴纳等义务，采购人有权从下一笔付款中直接扣减相应款项用于代其履行义务，并有权要求供应商支付合同总价</w:t>
            </w:r>
            <w:r>
              <w:rPr>
                <w:rFonts w:ascii="仿宋_GB2312" w:hAnsi="仿宋_GB2312" w:cs="仿宋_GB2312" w:eastAsia="仿宋_GB2312"/>
                <w:sz w:val="20"/>
              </w:rPr>
              <w:t>10%的违约金。情节严重的，采购人有权单方解除合同。</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其他要求：</w:t>
            </w:r>
            <w:r>
              <w:rPr>
                <w:rFonts w:ascii="仿宋_GB2312" w:hAnsi="仿宋_GB2312" w:cs="仿宋_GB2312" w:eastAsia="仿宋_GB2312"/>
                <w:sz w:val="20"/>
              </w:rPr>
              <w:t>供应商应切实履行合同相关合同义务，</w:t>
            </w:r>
            <w:r>
              <w:rPr>
                <w:rFonts w:ascii="仿宋_GB2312" w:hAnsi="仿宋_GB2312" w:cs="仿宋_GB2312" w:eastAsia="仿宋_GB2312"/>
                <w:sz w:val="20"/>
              </w:rPr>
              <w:t>并承担相应的法律责任。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采购人指定地点，主要为西安市射击射箭运动管理中心指定地点（含训练场馆、场地），根据训练和比赛需要，可能涉及外训或外出比赛地点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进度款，合同履行至2026年9月30日，达到付款条件起5个工作日内，支付合同总金额的30.0%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进度款，合同履行至2026年12月31日，达到付款条件起5个工作日内，支付合同总金额的30.0%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1.成交供应商在采购结果发布后3个工作日内向代理机构提交纸质版响应文件以便于存档，响应文件正本1份，副本2份，电子版文件2份（以U盘为载体，电子版文件须提供签字盖章齐全的响应文件 PDF 扫描件，内容、格式及信息均须与系统上传文件保持完全一致）。纸质响应文件均须A4纸打印，分别各自装订成册并编制目录和页码。 提交地点：陕西省西安市高新区锦业一路56号研祥城市广场C座3楼C-306室。 2.如磋商文件中融资相关内容与新政策要求有出入，按照最新要求执行。 3.依据西安市财政局《关于印发〈西安市预算单位政府采购主体责任清单〉的通知》（市财函〔2026〕123 号）相关要求，采购人与中标（成交）供应商应在中标（成交）通知书发出之日起 25 日内签订政府采购合同。 4.采购人应按照磋商文件和成交供应商响应文件，在成交通知书发出之日起25日内与成交供应商签订采购合同，并进行备案和公示。 5.最终报价如出现异常低价，执行财库〔2026〕2号《关于推动解决政府采购异常低价问题的通知》，磋商小组可在最后报价审查表中审核是否通过审查。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投标人2024年度或2025年度经审计的财务报告或投标截止时间前三个月内其基本开户银行出具的资信证明及账户开户许可证明材料或财政部门认可的政府采购专业担保机构开具的投标担保函（任选其一）；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供应商须提供有效的行业行政主管部门颁发的《人力资源服务许可证》和《劳务派遣经营许可证》；</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总价不超过采购最高限价</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针对本项目提出适用于本项目的总体方案，总体方案包括：①人员聘用方案②聘用人员薪酬福利及社保缴纳方案③对聘用人员的培训方案④处理劳务、劳资纠纷方案⑤对聘用人员的考核管理方案。 二、评审标准 1、完整性：方案必须全面，对评审内容中的各项要求有详细描述； 2、可实施性：切合本项目实际情况，提出步骤清晰、合理的方案； 3、针对性：方案能够紧扣项目实际情况，内容科学合理。 三、赋分标准（满分30分） ①人员聘用方案：每完全满足一个评审标准得2分，满分6分； ②聘用人员薪酬福利及社保缴纳方案:每完全满足一个评审标准得2分，满分6分； ③对聘用人员的培训方案:每完全满足一个评审标准得2分，满分6分； ④处理劳务、劳资纠纷方案:每完全满足一个评审标准得2分，满分6分； ⑤对聘用人员的考核管理方案:每完全满足一个评审标准得2分，满分6分。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针对本项目提出适用于本项目的应急预案，应急预案包括：①安全保障、突发事件等方面应急预案②供应商根据自身过往业务经验设想可能遇见的其他紧急情形并针对此情形提出应对措施。 二、评审标准 1、完整性：方案必须全面，对评审内容中的各项要求有详细描述； 2、可实施性：切合本项目实际情况，提出步骤清晰、合理的方案； 3、针对性：方案能够紧扣项目实际情况，内容科学合理。 三、赋分标准（满分6分） ①安全保障、突发事件等方面应急预案：每完全满足一个评审标准得1分，满分3分； ②供应商根据自身过往业务经验设想可能遇见的其他紧急情形并针对此情形提出应对措施:每完全满足一个评审标准得1分，满分3分。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根据本项目服务要求提出服务质量保证措施。 二、评审标准 1、完整性：内容必须全面，对评审内容中的各项要求有详细描述； 2、针对性：方案能够紧扣项目实际情况，内容科学合理。 三、赋分标准（满分4分） 服务质量保证措施:每完全满足一个评审标准得2分，满分4分。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拟派除教练员以外的服务人员（如项目负责人、财务人员、后勤保障等相关服务人员。附人员身份证或其他相关资料）5人（含）及以上得10分； 3（含）-5人的7分； 1（含）-3人得3分。 未提供不得分。 二、评审标准 以加盖公章的拟派人员身份复印件或扫描件及近3个月内任意一个月的社保缴纳证明为准。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供应商针对本次采购需求及采购人要求做出书面服务承诺（格式自拟），提供承诺得10分，未提供不得分。 二、评审标准 以响应文件中的的承诺书为准。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一、评审内容 供应商根据相关保密要求，提供针对本项目的书面保密承诺书（格式自拟），提供承诺得10分，未提供不得分。 二、评审标准 以响应文件中的的承诺书为准。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供应商提供近三年（2023年7月1日至今）签订的类似相关服务类业绩，每一份业绩得5分，提供3个类似业绩得满分15 分（提供业绩合同或成交（中标）通知书，时间以合同签订时间或中成交（中标）通知书上时间为准）。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价格最低的报价为评审基准价，其价格分为满分。其他供应商的价格分统一按照下列公式计算：磋商报价得分=(评审基准价/最终报价)×15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详见附件：非联合体声明.docx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