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版本号：YCZB-2026161C20260616001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西安市高陵区第四中学户外配套设施提升改造项目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YCZB-2026161C</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西安市高陵区第四中学户外配套设施提升改造项目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YCZB-2026161C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西安市高陵区第四中学户外配套设施提升改造项目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西安市高陵区第四中学户外配套设施提升改造项目，为完善校园室外基础设施，优化校园环境，对现有室外铺装、供暖、给排水、消防、电气等配套设施进行整体提升改造。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采购包1（西安市高陵区第四中学户外配套设施提升改造项目）：属于专门面向中小企业采购。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证明文件：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3、企业资质：供应商须具备建设行政主管部门颁发的建筑工程施工总承包三级及以上资质，并具备合法有效的安全生产许可证；</w:t>
      </w:r>
    </w:p>
    <w:p>
      <w:pPr>
        <w:pStyle w:val="null3"/>
      </w:pPr>
      <w:r>
        <w:rPr>
          <w:rFonts w:ascii="仿宋_GB2312" w:hAnsi="仿宋_GB2312" w:cs="仿宋_GB2312" w:eastAsia="仿宋_GB2312"/>
        </w:rPr>
        <w:t>4、项目经理资质：拟派项目经理须具备建筑工程专业二级及以上注册建造师资格证书和有效的安全生产考核合格证书（B证），在本单位注册且无在建工程；</w:t>
      </w:r>
    </w:p>
    <w:p>
      <w:pPr>
        <w:pStyle w:val="null3"/>
      </w:pPr>
      <w:r>
        <w:rPr>
          <w:rFonts w:ascii="仿宋_GB2312" w:hAnsi="仿宋_GB2312" w:cs="仿宋_GB2312" w:eastAsia="仿宋_GB2312"/>
        </w:rPr>
        <w:t>5、财务状况：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陕西省西安市雁塔区雁翔路111号赛格中京坊公寓A座2单元3401户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19191808021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采购包1：3,670,221.14元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LED园区路灯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具体收费金额在采购结果公告中公布。招标代理服务费及工程造价咨询服务费由成交单位在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联系人：张博</w:t>
      </w:r>
    </w:p>
    <w:p>
      <w:pPr>
        <w:pStyle w:val="null3"/>
      </w:pPr>
      <w:r>
        <w:rPr>
          <w:rFonts w:ascii="仿宋_GB2312" w:hAnsi="仿宋_GB2312" w:cs="仿宋_GB2312" w:eastAsia="仿宋_GB2312"/>
        </w:rPr>
        <w:t>联系电话：19191808021</w:t>
      </w:r>
    </w:p>
    <w:p>
      <w:pPr>
        <w:pStyle w:val="null3"/>
      </w:pPr>
      <w:r>
        <w:rPr>
          <w:rFonts w:ascii="仿宋_GB2312" w:hAnsi="仿宋_GB2312" w:cs="仿宋_GB2312" w:eastAsia="仿宋_GB2312"/>
        </w:rPr>
        <w:t>地址：陕西省西安市雁塔区雁翔路111号赛格中京坊公寓A座2单元3401户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3,670,221.14</w:t>
      </w:r>
    </w:p>
    <w:p>
      <w:pPr>
        <w:pStyle w:val="null3"/>
      </w:pPr>
      <w:r>
        <w:rPr>
          <w:rFonts w:ascii="仿宋_GB2312" w:hAnsi="仿宋_GB2312" w:cs="仿宋_GB2312" w:eastAsia="仿宋_GB2312"/>
        </w:rPr>
        <w:t>采购包最高限价（元）: 3,670,221.14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高陵区第四中学户外配套设施提升改造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3,670,221.14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标的名称：高陵区第四中学户外配套设施提升改造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1、工程内容：西安市高陵区第四中学户外配套设施提升改造项目，主要包括室外铺装、供暖管道工程、给排水工程、消防管网工程、电气工程等。</w:t>
            </w:r>
          </w:p>
          <w:p>
            <w:pPr>
              <w:pStyle w:val="null3"/>
            </w:pPr>
            <w:r>
              <w:rPr>
                <w:rFonts w:ascii="仿宋_GB2312" w:hAnsi="仿宋_GB2312" w:cs="仿宋_GB2312" w:eastAsia="仿宋_GB2312"/>
                <w:sz w:val="21"/>
              </w:rPr>
              <w:t xml:space="preserve">          2、计划工期：自进场之日起120个日历日内竣工。</w:t>
            </w:r>
          </w:p>
          <w:p>
            <w:pPr>
              <w:pStyle w:val="null3"/>
            </w:pPr>
            <w:r>
              <w:rPr>
                <w:rFonts w:ascii="仿宋_GB2312" w:hAnsi="仿宋_GB2312" w:cs="仿宋_GB2312" w:eastAsia="仿宋_GB2312"/>
                <w:sz w:val="21"/>
              </w:rPr>
              <w:t xml:space="preserve">          3、工程地点：西安市高陵区第四中学。</w:t>
            </w:r>
          </w:p>
          <w:p>
            <w:pPr>
              <w:pStyle w:val="null3"/>
            </w:pPr>
            <w:r>
              <w:rPr>
                <w:rFonts w:ascii="仿宋_GB2312" w:hAnsi="仿宋_GB2312" w:cs="仿宋_GB2312" w:eastAsia="仿宋_GB2312"/>
                <w:sz w:val="21"/>
              </w:rPr>
              <w:t xml:space="preserve">          4、质量标准：达到国家及行业现行施工验收规范“合格”标准。</w:t>
            </w:r>
          </w:p>
          <w:p>
            <w:pPr>
              <w:pStyle w:val="null3"/>
            </w:pPr>
            <w:r>
              <w:rPr>
                <w:rFonts w:ascii="仿宋_GB2312" w:hAnsi="仿宋_GB2312" w:cs="仿宋_GB2312" w:eastAsia="仿宋_GB2312"/>
                <w:sz w:val="21"/>
              </w:rPr>
              <w:t xml:space="preserve">          5、缺陷责任期：24个月，自工程竣工验收合格之日起计算。</w:t>
            </w:r>
          </w:p>
          <w:p>
            <w:pPr>
              <w:pStyle w:val="null3"/>
            </w:pPr>
            <w:r>
              <w:rPr>
                <w:rFonts w:ascii="仿宋_GB2312" w:hAnsi="仿宋_GB2312" w:cs="仿宋_GB2312" w:eastAsia="仿宋_GB2312"/>
                <w:sz w:val="21"/>
              </w:rPr>
              <w:t xml:space="preserve">          6、质量保修期：供热（供暖管道工程）保修期为2个采暖期；</w:t>
            </w:r>
            <w:r>
              <w:rPr>
                <w:rFonts w:ascii="仿宋_GB2312" w:hAnsi="仿宋_GB2312" w:cs="仿宋_GB2312" w:eastAsia="仿宋_GB2312"/>
                <w:sz w:val="21"/>
              </w:rPr>
              <w:t>本工程其他所有项目保修期均为2年;</w:t>
            </w:r>
          </w:p>
          <w:p>
            <w:pPr>
              <w:pStyle w:val="null3"/>
              <w:jc w:val="both"/>
            </w:pPr>
            <w:r>
              <w:rPr>
                <w:rFonts w:ascii="仿宋_GB2312" w:hAnsi="仿宋_GB2312" w:cs="仿宋_GB2312" w:eastAsia="仿宋_GB2312"/>
                <w:sz w:val="21"/>
              </w:rPr>
              <w:t xml:space="preserve">           7、其他</w:t>
            </w:r>
            <w:r>
              <w:rPr>
                <w:rFonts w:ascii="仿宋_GB2312" w:hAnsi="仿宋_GB2312" w:cs="仿宋_GB2312" w:eastAsia="仿宋_GB2312"/>
                <w:sz w:val="21"/>
              </w:rPr>
              <w:t>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供应商需于磋商响应文件递交截止时间前在线提交电子响应文件，同时线下提交一正一副纸质版响应文件，纸质响应文件双面打印胶装，电子响应文件与纸质响应文件不一致的，以电子版响应文件为准。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拟派项目经理须具备建筑工程专业二级及以上注册建造师资格证书和有效的安全生产考核合格证书（B证），在本单位注册且无在建工程；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供应商名称须与营业执照、资质证书等主体资格证明文件完全一致，不得使用简称或别名</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响应文件严格按照磋商文件规定的格式、顺序和内容编制，不得擅自修改结构、删减必填项或新增无关内容</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首次磋商报价不得超过磋商最高限价，且报价唯一，不得提交选择性报价或备选方案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技术部分.docx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①施工部署：每完全满足一个评审标准得1.5 分,满分4.5分； ②关键工序的施工方法及实施要点：每完全满足一个评审标准得1.5分，满分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 9 分) ①管理机构人员配备及劳动力投入：每完全满足一个评审标准得 1 分,满分 3 分;②机构设置：每完全满足一个评审标准得1分,满分3分；③职责分工：完全满足一个评审标准得1分,满分3分。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 1 分,满分 3 分; ②安全防护措施：每完全满足一个评审标准得 1 分，满分 3 分； ③安全教育培训制度：每完全满足一个评审标准得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 1 分，满分 3 分； ②工程质量管理体系：每完全满足一个评审标准得 1 分，满分 3分； ③质量管理措施：每完全满足一个评审标准得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1、完整性:内容必须全面，对评审内容中的各项要求有详细描述； 2、落地性:切合本项目实际情况，提出步骤清晰、合理并具有可实施性的方案; 3、针对性:能够紧扣项目实际情况，内容科学合理。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1、完整性:内容必须全面，对评审内容中的各项要求有详细描述； 2、落地性:切合本项目实际情况，内容清晰合理并具有可实施性; 3、针对性:能够紧扣项目实际情况，内容科学合理。 三、赋分标准(满分 3 分) ①施工机械配备：每完全满足一个评审标准得 0.5 分,满分1.5分； ②材料投入计划：每完全满足一个评审标准得 0.5 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 建立进度控制体系承诺（明确总工期、关键节点工期及管控责任人）；② 资源保障方案承诺（明确劳动力、材料、机械的投入计划及保障措施）。 二、评审标准：上述2项内容每完整响应1项得1.5分，满分3分；未提供或内容不完整的，该项不得分；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明确施工过程中的安全、质量、文明施工等）；②物资与设备的保障承诺（明确物资设备供应、维保及应急处置方案）；③保修责任及保修承诺（明确质保年限、保修范围、故障响应时效及上门服务时限）。 二、评审标准： 上述3项内容每完整响应1项得3分，满分9分；未提供或内容不完整的，该项不得分；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供应商2023年6月至磋商响应截止时间前的类似项目业绩；(附合同或中标通知书复印件，以合同签订日期为准)每个类似项目业绩得2分，最高得10分。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