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版本号：HJX-ZB-2026-060320260616001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人防科普馆运营服务采购项目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HJX-ZB-2026-0603</w:t>
      </w:r>
      <w:r>
        <w:br/>
      </w:r>
      <w:r>
        <w:br/>
      </w:r>
      <w:r>
        <w:br/>
      </w:r>
    </w:p>
    <w:p>
      <w:pPr>
        <w:pStyle w:val="null3"/>
        <w:jc w:val="center"/>
        <w:outlineLvl w:val="2"/>
      </w:pPr>
      <w:r>
        <w:rPr>
          <w:rFonts w:ascii="仿宋_GB2312" w:hAnsi="仿宋_GB2312" w:cs="仿宋_GB2312" w:eastAsia="仿宋_GB2312"/>
          <w:sz w:val="28"/>
          <w:b/>
        </w:rPr>
        <w:t>西安市国防动员办公室</w:t>
      </w:r>
    </w:p>
    <w:p>
      <w:pPr>
        <w:pStyle w:val="null3"/>
        <w:jc w:val="center"/>
        <w:outlineLvl w:val="2"/>
      </w:pPr>
      <w:r>
        <w:rPr>
          <w:rFonts w:ascii="仿宋_GB2312" w:hAnsi="仿宋_GB2312" w:cs="仿宋_GB2312" w:eastAsia="仿宋_GB2312"/>
          <w:sz w:val="28"/>
          <w:b/>
        </w:rPr>
        <w:t>禾佳祥工程咨询有限公司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禾佳祥工程咨询有限公司</w:t>
      </w:r>
      <w:r>
        <w:rPr>
          <w:rFonts w:ascii="仿宋_GB2312" w:hAnsi="仿宋_GB2312" w:cs="仿宋_GB2312" w:eastAsia="仿宋_GB2312"/>
        </w:rPr>
        <w:t>（以下简称“代理机构”）受</w:t>
      </w:r>
      <w:r>
        <w:rPr>
          <w:rFonts w:ascii="仿宋_GB2312" w:hAnsi="仿宋_GB2312" w:cs="仿宋_GB2312" w:eastAsia="仿宋_GB2312"/>
        </w:rPr>
        <w:t>西安市国防动员办公室</w:t>
      </w:r>
      <w:r>
        <w:rPr>
          <w:rFonts w:ascii="仿宋_GB2312" w:hAnsi="仿宋_GB2312" w:cs="仿宋_GB2312" w:eastAsia="仿宋_GB2312"/>
        </w:rPr>
        <w:t>委托，拟对</w:t>
      </w:r>
      <w:r>
        <w:rPr>
          <w:rFonts w:ascii="仿宋_GB2312" w:hAnsi="仿宋_GB2312" w:cs="仿宋_GB2312" w:eastAsia="仿宋_GB2312"/>
        </w:rPr>
        <w:t>人防科普馆运营服务采购项目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HJX-ZB-2026-0603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人防科普馆运营服务采购项目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西安曲江文化运动公园单建人防工程的整体运营管理及设施设备专业维保服务采购。服务范围覆盖该工程的全部区域，总面积约44,902㎡，划分为以下两个功能区： A区：西安人防科普教育馆：建筑面积约3,815㎡，承担高品质展馆运营与展示功能。 B区：曲江地下人防工程其他区域：建筑面积约41,087㎡（目前部分空置或在利用状态）。 本次采购为“一个标段”，中标人须对本项目全部服务内容负总责，包括但不限于：A区教育馆展馆运营管理、A区和B两区的物业管理服务（含消防、空调、电梯等系统年度维护保养）、A区核心智能化设备的深度专业维保。</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2、授权委托书：提供法定代表人授权书（附法定代表人、被授权人身份证复印件）及被授权人身份证原件（法定代表人直接参加投标，须提供法定代表人身份证明及身份证原件）</w:t>
      </w:r>
    </w:p>
    <w:p>
      <w:pPr>
        <w:pStyle w:val="null3"/>
      </w:pPr>
      <w:r>
        <w:rPr>
          <w:rFonts w:ascii="仿宋_GB2312" w:hAnsi="仿宋_GB2312" w:cs="仿宋_GB2312" w:eastAsia="仿宋_GB2312"/>
        </w:rPr>
        <w:t>3、财务报告：须提供经会计事务所或审计机构出具的2024年或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p>
      <w:pPr>
        <w:pStyle w:val="null3"/>
      </w:pPr>
      <w:r>
        <w:rPr>
          <w:rFonts w:ascii="仿宋_GB2312" w:hAnsi="仿宋_GB2312" w:cs="仿宋_GB2312" w:eastAsia="仿宋_GB2312"/>
        </w:rPr>
        <w:t>4、纳税证明：提供2026年3月1日至今任意一个月的纳税证明或完税证明（任意税种），依法免税的单位应提供相关证明材料</w:t>
      </w:r>
    </w:p>
    <w:p>
      <w:pPr>
        <w:pStyle w:val="null3"/>
      </w:pPr>
      <w:r>
        <w:rPr>
          <w:rFonts w:ascii="仿宋_GB2312" w:hAnsi="仿宋_GB2312" w:cs="仿宋_GB2312" w:eastAsia="仿宋_GB2312"/>
        </w:rPr>
        <w:t>5、社会保险缴纳证明：提供2026年3月1日至今任意一个月的社会保障资金缴存单据或社保机构开具的社会保险参保缴费情况证明，依法不需要缴纳社会保障资金的单位应提供相关证明材料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供应商提供在“中国执行信息公开网”未被列入失信被执行人、“信用中国”未被列入重大税收违法失信主体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8、承诺：提供具有履行合同所必需的设备和专业技术能力的承诺</w:t>
      </w:r>
    </w:p>
    <w:p>
      <w:pPr>
        <w:pStyle w:val="null3"/>
      </w:pPr>
      <w:r>
        <w:rPr>
          <w:rFonts w:ascii="仿宋_GB2312" w:hAnsi="仿宋_GB2312" w:cs="仿宋_GB2312" w:eastAsia="仿宋_GB2312"/>
        </w:rPr>
        <w:t>9、控股关系：单位负责人为同一人或者存在直接控股、管理关系的不同投标人，不得参加同一合同项下的政府采购活动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西安市国防动员办公室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未央区红旗东路888号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029-86486200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禾佳祥工程咨询有限公司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陕西省西安市未央区正荣紫阙台7幢1单元10401室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18149297882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 号、发改办价格〔2003〕857 号规定执行，本项目代理服务费固定收取 21000 元，由中标人领取中标通知书时向代理机构缴纳。服务费仅接受现金、电汇、银行转账。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西安市国防动员办公室</w:t>
      </w:r>
      <w:r>
        <w:rPr>
          <w:rFonts w:ascii="仿宋_GB2312" w:hAnsi="仿宋_GB2312" w:cs="仿宋_GB2312" w:eastAsia="仿宋_GB2312"/>
        </w:rPr>
        <w:t>和</w:t>
      </w:r>
      <w:r>
        <w:rPr>
          <w:rFonts w:ascii="仿宋_GB2312" w:hAnsi="仿宋_GB2312" w:cs="仿宋_GB2312" w:eastAsia="仿宋_GB2312"/>
        </w:rPr>
        <w:t>禾佳祥工程咨询有限公司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西安市国防动员办公室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禾佳祥工程咨询有限公司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西安市国防动员办公室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禾佳祥工程咨询有限公司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1.《中华人民共和国公共文化服务保障法》 2.《公共场所卫生管理条例》及其实施细则 3.西安市地方标准《DB6101/T 3096-2020 物业服务规范》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联系人：刘彩霞</w:t>
      </w:r>
    </w:p>
    <w:p>
      <w:pPr>
        <w:pStyle w:val="null3"/>
      </w:pPr>
      <w:r>
        <w:rPr>
          <w:rFonts w:ascii="仿宋_GB2312" w:hAnsi="仿宋_GB2312" w:cs="仿宋_GB2312" w:eastAsia="仿宋_GB2312"/>
        </w:rPr>
        <w:t>联系电话：18149297882</w:t>
      </w:r>
    </w:p>
    <w:p>
      <w:pPr>
        <w:pStyle w:val="null3"/>
      </w:pPr>
      <w:r>
        <w:rPr>
          <w:rFonts w:ascii="仿宋_GB2312" w:hAnsi="仿宋_GB2312" w:cs="仿宋_GB2312" w:eastAsia="仿宋_GB2312"/>
        </w:rPr>
        <w:t>地址：陕西省西安市未央区正荣紫阙台7幢1单元10401室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西安曲江文化运动公园单建人防工程的整体运营管理及设施设备专业维保服务采购。服务范围覆盖该工程的全部区域，总面积约44,902㎡，划分为以下两个功能区： A区：西安人防科普教育馆：建筑面积约3,815㎡，承担高品质展馆运营与展示功能。 B区：曲江地下人防工程其他区域：建筑面积约41,087㎡（目前部分空置或在利用状态）。 本次采购为“一个标段”，中标人须对本项目全部服务内容负总责，包括但不限于：A区教育馆展馆运营管理、A区和B两区的物业管理服务（含消防、空调、电梯等系统年度维护保养）、A区核心智能化设备的深度专业维保。 （六）本项目是否有为采购项目提供整体设计、规范编制或者项目管理、监理、检测等服务的供应商：否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人防科普馆运营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标的名称：人防科普馆运营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服务事项</w:t>
                  </w:r>
                </w:p>
                <w:p>
                  <w:pPr>
                    <w:pStyle w:val="null3"/>
                    <w:jc w:val="both"/>
                  </w:pPr>
                  <w:r>
                    <w:rPr>
                      <w:rFonts w:ascii="仿宋_GB2312" w:hAnsi="仿宋_GB2312" w:cs="仿宋_GB2312" w:eastAsia="仿宋_GB2312"/>
                      <w:sz w:val="24"/>
                    </w:rPr>
                    <w:t>投标人</w:t>
                  </w:r>
                  <w:r>
                    <w:rPr>
                      <w:rFonts w:ascii="仿宋_GB2312" w:hAnsi="仿宋_GB2312" w:cs="仿宋_GB2312" w:eastAsia="仿宋_GB2312"/>
                      <w:sz w:val="24"/>
                    </w:rPr>
                    <w:t>须组建完整的项目团队，建立内部协作机制，全面履行以下所有服务模块。若涉及分包，</w:t>
                  </w:r>
                  <w:r>
                    <w:rPr>
                      <w:rFonts w:ascii="仿宋_GB2312" w:hAnsi="仿宋_GB2312" w:cs="仿宋_GB2312" w:eastAsia="仿宋_GB2312"/>
                      <w:sz w:val="24"/>
                    </w:rPr>
                    <w:t>投标人</w:t>
                  </w:r>
                  <w:r>
                    <w:rPr>
                      <w:rFonts w:ascii="仿宋_GB2312" w:hAnsi="仿宋_GB2312" w:cs="仿宋_GB2312" w:eastAsia="仿宋_GB2312"/>
                      <w:sz w:val="24"/>
                    </w:rPr>
                    <w:t>须对分包方的服务质量和行为向采购人承担全部责任。</w:t>
                  </w:r>
                </w:p>
                <w:p>
                  <w:pPr>
                    <w:pStyle w:val="null3"/>
                    <w:jc w:val="both"/>
                  </w:pPr>
                  <w:r>
                    <w:rPr>
                      <w:rFonts w:ascii="仿宋_GB2312" w:hAnsi="仿宋_GB2312" w:cs="仿宋_GB2312" w:eastAsia="仿宋_GB2312"/>
                      <w:sz w:val="24"/>
                    </w:rPr>
                    <w:t>模块一：展馆运营管理及消防</w:t>
                  </w:r>
                  <w:r>
                    <w:rPr>
                      <w:rFonts w:ascii="仿宋_GB2312" w:hAnsi="仿宋_GB2312" w:cs="仿宋_GB2312" w:eastAsia="仿宋_GB2312"/>
                      <w:sz w:val="24"/>
                    </w:rPr>
                    <w:t>/空调维保服务</w:t>
                  </w:r>
                </w:p>
                <w:p>
                  <w:pPr>
                    <w:pStyle w:val="null3"/>
                    <w:jc w:val="both"/>
                  </w:pPr>
                  <w:r>
                    <w:rPr>
                      <w:rFonts w:ascii="仿宋_GB2312" w:hAnsi="仿宋_GB2312" w:cs="仿宋_GB2312" w:eastAsia="仿宋_GB2312"/>
                      <w:sz w:val="24"/>
                    </w:rPr>
                    <w:t>1.A区-西安人防科普教育馆展馆运营管理：全面负责日常开闭馆、游客接待、团体预约、专业讲解、宣传教育活动策划与执行。</w:t>
                  </w:r>
                </w:p>
                <w:p>
                  <w:pPr>
                    <w:pStyle w:val="null3"/>
                    <w:jc w:val="both"/>
                  </w:pPr>
                  <w:r>
                    <w:rPr>
                      <w:rFonts w:ascii="仿宋_GB2312" w:hAnsi="仿宋_GB2312" w:cs="仿宋_GB2312" w:eastAsia="仿宋_GB2312"/>
                      <w:sz w:val="24"/>
                    </w:rPr>
                    <w:t>2.A区-设备设施基础运维：负责西安人防科普教育馆内所有设备（含人防设备、智能化设备、强弱电、空调末端、给排水等）的日常巡检、初级维护保养，以及与核心设备专业维保团队的对接配合。</w:t>
                  </w:r>
                </w:p>
                <w:p>
                  <w:pPr>
                    <w:pStyle w:val="null3"/>
                    <w:jc w:val="both"/>
                  </w:pPr>
                  <w:r>
                    <w:rPr>
                      <w:rFonts w:ascii="仿宋_GB2312" w:hAnsi="仿宋_GB2312" w:cs="仿宋_GB2312" w:eastAsia="仿宋_GB2312"/>
                      <w:sz w:val="24"/>
                    </w:rPr>
                    <w:t>3.B区-基础管理服务：负责曲江地下人防工程（含空置或在利用区域）公共通道的安保巡逻、定期保洁、人防和消防设施的巡查维护、车辆停放秩序以及战备井的管理。</w:t>
                  </w:r>
                </w:p>
                <w:p>
                  <w:pPr>
                    <w:pStyle w:val="null3"/>
                    <w:jc w:val="both"/>
                  </w:pPr>
                  <w:r>
                    <w:rPr>
                      <w:rFonts w:ascii="仿宋_GB2312" w:hAnsi="仿宋_GB2312" w:cs="仿宋_GB2312" w:eastAsia="仿宋_GB2312"/>
                      <w:sz w:val="24"/>
                    </w:rPr>
                    <w:t>4.两区-综合保障：负责A、B两区内公共安全、环境卫生、垃圾清运、设备设施的小修小补，以及各类应急事件处理。</w:t>
                  </w:r>
                </w:p>
                <w:p>
                  <w:pPr>
                    <w:pStyle w:val="null3"/>
                    <w:jc w:val="both"/>
                  </w:pPr>
                  <w:r>
                    <w:rPr>
                      <w:rFonts w:ascii="仿宋_GB2312" w:hAnsi="仿宋_GB2312" w:cs="仿宋_GB2312" w:eastAsia="仿宋_GB2312"/>
                      <w:sz w:val="24"/>
                    </w:rPr>
                    <w:t>5. B区（含空置或在利用区域）管理：负责配合采购人或委托的专业运营公司组织招商运营工作，对接租赁商户信息咨询，做好入驻商户的管理服务（含秩序维护、装修巡查等）。同时，中标</w:t>
                  </w:r>
                  <w:r>
                    <w:rPr>
                      <w:rFonts w:ascii="仿宋_GB2312" w:hAnsi="仿宋_GB2312" w:cs="仿宋_GB2312" w:eastAsia="仿宋_GB2312"/>
                      <w:sz w:val="24"/>
                    </w:rPr>
                    <w:t>投标人</w:t>
                  </w:r>
                  <w:r>
                    <w:rPr>
                      <w:rFonts w:ascii="仿宋_GB2312" w:hAnsi="仿宋_GB2312" w:cs="仿宋_GB2312" w:eastAsia="仿宋_GB2312"/>
                      <w:sz w:val="24"/>
                    </w:rPr>
                    <w:t>协助采购人收取入驻商户的物业管理费、水电费，督促商户按采购人指定的方式及时、足额上缴人防工程使用费。中标</w:t>
                  </w:r>
                  <w:r>
                    <w:rPr>
                      <w:rFonts w:ascii="仿宋_GB2312" w:hAnsi="仿宋_GB2312" w:cs="仿宋_GB2312" w:eastAsia="仿宋_GB2312"/>
                      <w:sz w:val="24"/>
                    </w:rPr>
                    <w:t>投标人</w:t>
                  </w:r>
                  <w:r>
                    <w:rPr>
                      <w:rFonts w:ascii="仿宋_GB2312" w:hAnsi="仿宋_GB2312" w:cs="仿宋_GB2312" w:eastAsia="仿宋_GB2312"/>
                      <w:sz w:val="24"/>
                    </w:rPr>
                    <w:t>不得以任何名义擅自向商户额外收取其他未经采购人许可的费用。</w:t>
                  </w:r>
                </w:p>
                <w:p>
                  <w:pPr>
                    <w:pStyle w:val="null3"/>
                    <w:jc w:val="both"/>
                  </w:pPr>
                  <w:r>
                    <w:rPr>
                      <w:rFonts w:ascii="仿宋_GB2312" w:hAnsi="仿宋_GB2312" w:cs="仿宋_GB2312" w:eastAsia="仿宋_GB2312"/>
                      <w:sz w:val="24"/>
                    </w:rPr>
                    <w:t>模块二：核心智能化设备专业维保服务</w:t>
                  </w:r>
                </w:p>
                <w:p>
                  <w:pPr>
                    <w:pStyle w:val="null3"/>
                    <w:jc w:val="both"/>
                  </w:pPr>
                  <w:r>
                    <w:rPr>
                      <w:rFonts w:ascii="仿宋_GB2312" w:hAnsi="仿宋_GB2312" w:cs="仿宋_GB2312" w:eastAsia="仿宋_GB2312"/>
                      <w:sz w:val="24"/>
                    </w:rPr>
                    <w:t>负责</w:t>
                  </w:r>
                  <w:r>
                    <w:rPr>
                      <w:rFonts w:ascii="仿宋_GB2312" w:hAnsi="仿宋_GB2312" w:cs="仿宋_GB2312" w:eastAsia="仿宋_GB2312"/>
                      <w:sz w:val="24"/>
                    </w:rPr>
                    <w:t>A区西安人防科普教育馆核心智能化设备的深度维护与维修，包括但不限于：</w:t>
                  </w:r>
                </w:p>
                <w:p>
                  <w:pPr>
                    <w:pStyle w:val="null3"/>
                    <w:jc w:val="both"/>
                  </w:pPr>
                  <w:r>
                    <w:rPr>
                      <w:rFonts w:ascii="仿宋_GB2312" w:hAnsi="仿宋_GB2312" w:cs="仿宋_GB2312" w:eastAsia="仿宋_GB2312"/>
                      <w:sz w:val="24"/>
                    </w:rPr>
                    <w:t>1.机房软硬件：中控系统、5D影院播控系统、服务器集群（38台）、KVM、UPS、核心交换机等。维保内容须包括系统底层性能调优、核心代码级故障排除、硬件板卡级维修等。</w:t>
                  </w:r>
                </w:p>
                <w:p>
                  <w:pPr>
                    <w:pStyle w:val="null3"/>
                    <w:jc w:val="both"/>
                  </w:pPr>
                  <w:r>
                    <w:rPr>
                      <w:rFonts w:ascii="仿宋_GB2312" w:hAnsi="仿宋_GB2312" w:cs="仿宋_GB2312" w:eastAsia="仿宋_GB2312"/>
                      <w:sz w:val="24"/>
                    </w:rPr>
                    <w:t>2.现场互动设备：5D影院座椅及特效设备、大型投影融合设备等。维保内容须包括机械结构校准、液压系统维护、光学引擎深度清洁与光路校准等。</w:t>
                  </w:r>
                </w:p>
                <w:p>
                  <w:pPr>
                    <w:pStyle w:val="null3"/>
                    <w:jc w:val="both"/>
                  </w:pPr>
                  <w:r>
                    <w:rPr>
                      <w:rFonts w:ascii="仿宋_GB2312" w:hAnsi="仿宋_GB2312" w:cs="仿宋_GB2312" w:eastAsia="仿宋_GB2312"/>
                      <w:sz w:val="24"/>
                    </w:rPr>
                    <w:t>3.备品备件：负责提供并更换上述核心设备所需的专用灯泡、主板、传感器等核心配件。</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、设备故障分级处理与协作机制</w:t>
                  </w:r>
                </w:p>
                <w:p>
                  <w:pPr>
                    <w:pStyle w:val="null3"/>
                    <w:jc w:val="both"/>
                  </w:pPr>
                  <w:r>
                    <w:rPr>
                      <w:rFonts w:ascii="仿宋_GB2312" w:hAnsi="仿宋_GB2312" w:cs="仿宋_GB2312" w:eastAsia="仿宋_GB2312"/>
                      <w:sz w:val="24"/>
                    </w:rPr>
                    <w:t>为确保</w:t>
                  </w:r>
                  <w:r>
                    <w:rPr>
                      <w:rFonts w:ascii="仿宋_GB2312" w:hAnsi="仿宋_GB2312" w:cs="仿宋_GB2312" w:eastAsia="仿宋_GB2312"/>
                      <w:sz w:val="24"/>
                    </w:rPr>
                    <w:t>A区西安人防科普教育馆核心设备的正常运行，</w:t>
                  </w:r>
                  <w:r>
                    <w:rPr>
                      <w:rFonts w:ascii="仿宋_GB2312" w:hAnsi="仿宋_GB2312" w:cs="仿宋_GB2312" w:eastAsia="仿宋_GB2312"/>
                      <w:sz w:val="24"/>
                    </w:rPr>
                    <w:t>投标人</w:t>
                  </w:r>
                  <w:r>
                    <w:rPr>
                      <w:rFonts w:ascii="仿宋_GB2312" w:hAnsi="仿宋_GB2312" w:cs="仿宋_GB2312" w:eastAsia="仿宋_GB2312"/>
                      <w:sz w:val="24"/>
                    </w:rPr>
                    <w:t>须建立内部高效的故障分级处理和协作机制。</w:t>
                  </w:r>
                </w:p>
                <w:tbl>
                  <w:tblPr>
                    <w:tblBorders>
                      <w:top w:val="none" w:color="000000" w:sz="4"/>
                      <w:left w:val="none" w:color="000000" w:sz="4"/>
                      <w:bottom w:val="none" w:color="000000" w:sz="4"/>
                      <w:right w:val="none" w:color="000000" w:sz="4"/>
                      <w:insideH w:val="none"/>
                      <w:insideV w:val="none"/>
                    </w:tblBorders>
                  </w:tblPr>
                  <w:tblGrid>
                    <w:gridCol w:w="204"/>
                    <w:gridCol w:w="271"/>
                    <w:gridCol w:w="476"/>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故障等级</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w:t>
                        </w:r>
                        <w:r>
                          <w:rPr>
                            <w:rFonts w:ascii="仿宋_GB2312" w:hAnsi="仿宋_GB2312" w:cs="仿宋_GB2312" w:eastAsia="仿宋_GB2312"/>
                            <w:sz w:val="24"/>
                          </w:rPr>
                          <w:t>义</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处理要求</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Ⅲ级（微小故障）</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触摸屏偏移、声音异常、灯泡更换等。</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物业团队须在</w:t>
                        </w:r>
                        <w:r>
                          <w:rPr>
                            <w:rFonts w:ascii="仿宋_GB2312" w:hAnsi="仿宋_GB2312" w:cs="仿宋_GB2312" w:eastAsia="仿宋_GB2312"/>
                            <w:sz w:val="24"/>
                          </w:rPr>
                          <w:t>4小时内自行修复。需要更换标准配件的，按程序报批后更换。</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Ⅱ级（一般故障）</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单个互动展项、投影机故障，不影响主展线开放。</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物业团队须在</w:t>
                        </w:r>
                        <w:r>
                          <w:rPr>
                            <w:rFonts w:ascii="仿宋_GB2312" w:hAnsi="仿宋_GB2312" w:cs="仿宋_GB2312" w:eastAsia="仿宋_GB2312"/>
                            <w:sz w:val="24"/>
                          </w:rPr>
                          <w:t>2小时内诊断并判断故障原因。属于日常维修的自行修复；属于核心问题的，立即通知核心设备维保人员。核心设备维保人员须在接到报修后4小时内响应，24小时内修复。</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Ⅰ级（重大故障）</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核心设备（中控、</w:t>
                        </w:r>
                        <w:r>
                          <w:rPr>
                            <w:rFonts w:ascii="仿宋_GB2312" w:hAnsi="仿宋_GB2312" w:cs="仿宋_GB2312" w:eastAsia="仿宋_GB2312"/>
                            <w:sz w:val="24"/>
                          </w:rPr>
                          <w:t>5D影院、服务器集群）瘫痪，导致场馆无法正常开放。</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投标人</w:t>
                        </w:r>
                        <w:r>
                          <w:rPr>
                            <w:rFonts w:ascii="仿宋_GB2312" w:hAnsi="仿宋_GB2312" w:cs="仿宋_GB2312" w:eastAsia="仿宋_GB2312"/>
                            <w:sz w:val="24"/>
                          </w:rPr>
                          <w:t>须在</w:t>
                        </w:r>
                        <w:r>
                          <w:rPr>
                            <w:rFonts w:ascii="仿宋_GB2312" w:hAnsi="仿宋_GB2312" w:cs="仿宋_GB2312" w:eastAsia="仿宋_GB2312"/>
                            <w:sz w:val="24"/>
                          </w:rPr>
                          <w:t>15分钟内启动应急预案，组织运营、物业、核心设备维保人员协同抢修，同步上报采购人。负责核心设备维保的人员须在接到通知后1小时内到达现场，4小时内提出解决方案，24小时内恢复系统运行。</w:t>
                        </w:r>
                      </w:p>
                    </w:tc>
                  </w:tr>
                </w:tbl>
                <w:p>
                  <w:pPr>
                    <w:pStyle w:val="null3"/>
                    <w:jc w:val="both"/>
                  </w:pPr>
                  <w:r>
                    <w:rPr>
                      <w:rFonts w:ascii="仿宋_GB2312" w:hAnsi="仿宋_GB2312" w:cs="仿宋_GB2312" w:eastAsia="仿宋_GB2312"/>
                      <w:sz w:val="24"/>
                    </w:rPr>
                    <w:t>如若因核心设备部件自然老化导致频繁故障，确需更换部件或报废重购设备的，中标</w:t>
                  </w:r>
                  <w:r>
                    <w:rPr>
                      <w:rFonts w:ascii="仿宋_GB2312" w:hAnsi="仿宋_GB2312" w:cs="仿宋_GB2312" w:eastAsia="仿宋_GB2312"/>
                      <w:sz w:val="24"/>
                    </w:rPr>
                    <w:t>投标人</w:t>
                  </w:r>
                  <w:r>
                    <w:rPr>
                      <w:rFonts w:ascii="仿宋_GB2312" w:hAnsi="仿宋_GB2312" w:cs="仿宋_GB2312" w:eastAsia="仿宋_GB2312"/>
                      <w:sz w:val="24"/>
                    </w:rPr>
                    <w:t>应书面向采购人提出申请，详细说明故障现象、老化分析及处置建议。采购人根据实际情况，决定是否聘请第三方机构进行评估，并依据评估结果按照政府采购程序向市财政局申请专项资金。在资金落实前，中标</w:t>
                  </w:r>
                  <w:r>
                    <w:rPr>
                      <w:rFonts w:ascii="仿宋_GB2312" w:hAnsi="仿宋_GB2312" w:cs="仿宋_GB2312" w:eastAsia="仿宋_GB2312"/>
                      <w:sz w:val="24"/>
                    </w:rPr>
                    <w:t>投标人</w:t>
                  </w:r>
                  <w:r>
                    <w:rPr>
                      <w:rFonts w:ascii="仿宋_GB2312" w:hAnsi="仿宋_GB2312" w:cs="仿宋_GB2312" w:eastAsia="仿宋_GB2312"/>
                      <w:sz w:val="24"/>
                    </w:rPr>
                    <w:t>须采取临时替代或应急保障措施，确保场馆基本运营需要，相关费用由双方另行协商。</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、服务团队配置要求</w:t>
                  </w:r>
                </w:p>
                <w:p>
                  <w:pPr>
                    <w:pStyle w:val="null3"/>
                    <w:jc w:val="both"/>
                  </w:pPr>
                  <w:r>
                    <w:rPr>
                      <w:rFonts w:ascii="仿宋_GB2312" w:hAnsi="仿宋_GB2312" w:cs="仿宋_GB2312" w:eastAsia="仿宋_GB2312"/>
                      <w:sz w:val="24"/>
                    </w:rPr>
                    <w:t>投标人</w:t>
                  </w:r>
                  <w:r>
                    <w:rPr>
                      <w:rFonts w:ascii="仿宋_GB2312" w:hAnsi="仿宋_GB2312" w:cs="仿宋_GB2312" w:eastAsia="仿宋_GB2312"/>
                      <w:sz w:val="24"/>
                    </w:rPr>
                    <w:t>须为本项目配备一支总人数不少于</w:t>
                  </w:r>
                  <w:r>
                    <w:rPr>
                      <w:rFonts w:ascii="仿宋_GB2312" w:hAnsi="仿宋_GB2312" w:cs="仿宋_GB2312" w:eastAsia="仿宋_GB2312"/>
                      <w:sz w:val="24"/>
                    </w:rPr>
                    <w:t>16人的综合服务团队（含消防/空调维保）。具体要求如下：</w:t>
                  </w:r>
                </w:p>
                <w:p>
                  <w:pPr>
                    <w:pStyle w:val="null3"/>
                    <w:ind w:firstLine="360"/>
                    <w:jc w:val="both"/>
                  </w:pPr>
                  <w:r>
                    <w:rPr>
                      <w:rFonts w:ascii="仿宋_GB2312" w:hAnsi="仿宋_GB2312" w:cs="仿宋_GB2312" w:eastAsia="仿宋_GB2312"/>
                      <w:sz w:val="24"/>
                    </w:rPr>
                    <w:t>运营及物业管理团队（含消防</w:t>
                  </w:r>
                  <w:r>
                    <w:rPr>
                      <w:rFonts w:ascii="仿宋_GB2312" w:hAnsi="仿宋_GB2312" w:cs="仿宋_GB2312" w:eastAsia="仿宋_GB2312"/>
                      <w:sz w:val="24"/>
                    </w:rPr>
                    <w:t>/空调维保职责）（不少于16人，由</w:t>
                  </w:r>
                  <w:r>
                    <w:rPr>
                      <w:rFonts w:ascii="仿宋_GB2312" w:hAnsi="仿宋_GB2312" w:cs="仿宋_GB2312" w:eastAsia="仿宋_GB2312"/>
                      <w:sz w:val="24"/>
                    </w:rPr>
                    <w:t>投标人</w:t>
                  </w:r>
                  <w:r>
                    <w:rPr>
                      <w:rFonts w:ascii="仿宋_GB2312" w:hAnsi="仿宋_GB2312" w:cs="仿宋_GB2312" w:eastAsia="仿宋_GB2312"/>
                      <w:sz w:val="24"/>
                    </w:rPr>
                    <w:t>自聘）</w:t>
                  </w:r>
                </w:p>
                <w:tbl>
                  <w:tblPr>
                    <w:tblBorders>
                      <w:top w:val="none" w:color="000000" w:sz="4"/>
                      <w:left w:val="none" w:color="000000" w:sz="4"/>
                      <w:bottom w:val="none" w:color="000000" w:sz="4"/>
                      <w:right w:val="none" w:color="000000" w:sz="4"/>
                      <w:insideH w:val="none"/>
                      <w:insideV w:val="none"/>
                    </w:tblBorders>
                  </w:tblPr>
                  <w:tblGrid>
                    <w:gridCol w:w="74"/>
                    <w:gridCol w:w="173"/>
                    <w:gridCol w:w="78"/>
                    <w:gridCol w:w="623"/>
                  </w:tblGrid>
                  <w:tr>
                    <w:tc>
                      <w:tcPr>
                        <w:tcW w:type="dxa" w:w="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w:t>
                        </w:r>
                      </w:p>
                    </w:tc>
                    <w:tc>
                      <w:tcPr>
                        <w:tcW w:type="dxa" w:w="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人数</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核心职责及资质要求</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项目经理</w:t>
                        </w:r>
                      </w:p>
                      <w:p>
                        <w:pPr>
                          <w:pStyle w:val="null3"/>
                          <w:jc w:val="center"/>
                        </w:pPr>
                        <w:r>
                          <w:rPr>
                            <w:rFonts w:ascii="仿宋_GB2312" w:hAnsi="仿宋_GB2312" w:cs="仿宋_GB2312" w:eastAsia="仿宋_GB2312"/>
                            <w:sz w:val="24"/>
                          </w:rPr>
                          <w:t>（综合主管）</w:t>
                        </w:r>
                      </w:p>
                    </w:tc>
                    <w:tc>
                      <w:tcPr>
                        <w:tcW w:type="dxa" w:w="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本科及以上，</w:t>
                        </w:r>
                        <w:r>
                          <w:rPr>
                            <w:rFonts w:ascii="仿宋_GB2312" w:hAnsi="仿宋_GB2312" w:cs="仿宋_GB2312" w:eastAsia="仿宋_GB2312"/>
                            <w:sz w:val="24"/>
                          </w:rPr>
                          <w:t>3年以上物业或场馆管理经验。全面负责项目整体运营、协调及与采购人的对接。负责配合采购人或委托的专业运营公司组织招商运营工作，并对其实施管理和服务。</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讲解</w:t>
                        </w:r>
                        <w:r>
                          <w:rPr>
                            <w:rFonts w:ascii="仿宋_GB2312" w:hAnsi="仿宋_GB2312" w:cs="仿宋_GB2312" w:eastAsia="仿宋_GB2312"/>
                            <w:sz w:val="24"/>
                          </w:rPr>
                          <w:t>/引导员</w:t>
                        </w:r>
                      </w:p>
                    </w:tc>
                    <w:tc>
                      <w:tcPr>
                        <w:tcW w:type="dxa" w:w="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大专以上，普通话二</w:t>
                        </w:r>
                        <w:r>
                          <w:rPr>
                            <w:rFonts w:ascii="仿宋_GB2312" w:hAnsi="仿宋_GB2312" w:cs="仿宋_GB2312" w:eastAsia="仿宋_GB2312"/>
                            <w:sz w:val="24"/>
                          </w:rPr>
                          <w:t>乙及</w:t>
                        </w:r>
                        <w:r>
                          <w:rPr>
                            <w:rFonts w:ascii="仿宋_GB2312" w:hAnsi="仿宋_GB2312" w:cs="仿宋_GB2312" w:eastAsia="仿宋_GB2312"/>
                            <w:sz w:val="24"/>
                          </w:rPr>
                          <w:t>以上。负责讲解、咨询、接待。</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w:t>
                        </w:r>
                        <w:r>
                          <w:rPr>
                            <w:rFonts w:ascii="仿宋_GB2312" w:hAnsi="仿宋_GB2312" w:cs="仿宋_GB2312" w:eastAsia="仿宋_GB2312"/>
                            <w:sz w:val="24"/>
                          </w:rPr>
                          <w:t>/安保人员/安全教官</w:t>
                        </w:r>
                      </w:p>
                    </w:tc>
                    <w:tc>
                      <w:tcPr>
                        <w:tcW w:type="dxa" w:w="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须同时持有以下证书：</w:t>
                        </w:r>
                        <w:r>
                          <w:rPr>
                            <w:rFonts w:ascii="仿宋_GB2312" w:hAnsi="仿宋_GB2312" w:cs="仿宋_GB2312" w:eastAsia="仿宋_GB2312"/>
                            <w:sz w:val="24"/>
                          </w:rPr>
                          <w:t>①中级消防设施操作员证书（四级/中级工，监控方向）；②应急管理部门颁发的特种作业操作证（准操项目：低压电工作业）。③持有有效期内急救证或相关安全证书。负责安保巡逻、监控值守、消防检查、日常小修，现场示范急救知识。</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保洁员</w:t>
                        </w:r>
                      </w:p>
                    </w:tc>
                    <w:tc>
                      <w:tcPr>
                        <w:tcW w:type="dxa" w:w="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身体健康，有保洁经验。负责</w:t>
                        </w:r>
                        <w:r>
                          <w:rPr>
                            <w:rFonts w:ascii="仿宋_GB2312" w:hAnsi="仿宋_GB2312" w:cs="仿宋_GB2312" w:eastAsia="仿宋_GB2312"/>
                            <w:sz w:val="24"/>
                          </w:rPr>
                          <w:t>A区精细化保洁（4人）及B区基础性保洁（2人）。</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w:t>
                        </w:r>
                        <w:r>
                          <w:rPr>
                            <w:rFonts w:ascii="仿宋_GB2312" w:hAnsi="仿宋_GB2312" w:cs="仿宋_GB2312" w:eastAsia="仿宋_GB2312"/>
                            <w:sz w:val="24"/>
                          </w:rPr>
                          <w:t>/空调专员</w:t>
                        </w:r>
                      </w:p>
                    </w:tc>
                    <w:tc>
                      <w:tcPr>
                        <w:tcW w:type="dxa" w:w="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须同时持有以下证书：</w:t>
                        </w:r>
                        <w:r>
                          <w:rPr>
                            <w:rFonts w:ascii="仿宋_GB2312" w:hAnsi="仿宋_GB2312" w:cs="仿宋_GB2312" w:eastAsia="仿宋_GB2312"/>
                            <w:sz w:val="24"/>
                          </w:rPr>
                          <w:t>①中级消防设施操作员证书（四级/中级工，监控方向）；②应急管理部门颁发的特种作业操作证（准操项目：制冷与空调作业）。负责消防设施日常巡查，以及整个项目空调系统的年度维护保养。</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工资水平不得超过市财政规定的不同工种的最高限额</w:t>
                        </w:r>
                      </w:p>
                    </w:tc>
                  </w:tr>
                </w:tbl>
                <w:p>
                  <w:pPr>
                    <w:pStyle w:val="null3"/>
                    <w:jc w:val="both"/>
                  </w:pPr>
                  <w:r>
                    <w:rPr>
                      <w:rFonts w:ascii="仿宋_GB2312" w:hAnsi="仿宋_GB2312" w:cs="仿宋_GB2312" w:eastAsia="仿宋_GB2312"/>
                      <w:sz w:val="24"/>
                    </w:rPr>
                    <w:t>另外，核心智能化设备专业维保团队由</w:t>
                  </w:r>
                  <w:r>
                    <w:rPr>
                      <w:rFonts w:ascii="仿宋_GB2312" w:hAnsi="仿宋_GB2312" w:cs="仿宋_GB2312" w:eastAsia="仿宋_GB2312"/>
                      <w:sz w:val="24"/>
                    </w:rPr>
                    <w:t>投标人</w:t>
                  </w:r>
                  <w:r>
                    <w:rPr>
                      <w:rFonts w:ascii="仿宋_GB2312" w:hAnsi="仿宋_GB2312" w:cs="仿宋_GB2312" w:eastAsia="仿宋_GB2312"/>
                      <w:sz w:val="24"/>
                    </w:rPr>
                    <w:t>选定。</w:t>
                  </w:r>
                </w:p>
                <w:p>
                  <w:pPr>
                    <w:pStyle w:val="null3"/>
                    <w:numPr>
                      <w:ilvl w:val="0"/>
                      <w:numId w:val="1"/>
                    </w:numPr>
                    <w:jc w:val="both"/>
                  </w:pPr>
                  <w:r>
                    <w:rPr>
                      <w:rFonts w:ascii="仿宋_GB2312" w:hAnsi="仿宋_GB2312" w:cs="仿宋_GB2312" w:eastAsia="仿宋_GB2312"/>
                      <w:sz w:val="24"/>
                    </w:rPr>
                    <w:t>运营活动要求</w:t>
                  </w:r>
                </w:p>
                <w:p>
                  <w:pPr>
                    <w:pStyle w:val="null3"/>
                    <w:jc w:val="both"/>
                  </w:pPr>
                  <w:r>
                    <w:rPr>
                      <w:rFonts w:ascii="仿宋_GB2312" w:hAnsi="仿宋_GB2312" w:cs="仿宋_GB2312" w:eastAsia="仿宋_GB2312"/>
                      <w:sz w:val="24"/>
                    </w:rPr>
                    <w:t>除进行日常运营（每周安排</w:t>
                  </w:r>
                  <w:r>
                    <w:rPr>
                      <w:rFonts w:ascii="仿宋_GB2312" w:hAnsi="仿宋_GB2312" w:cs="仿宋_GB2312" w:eastAsia="仿宋_GB2312"/>
                      <w:sz w:val="24"/>
                    </w:rPr>
                    <w:t>1天调休，执行国家法定节假日制度</w:t>
                  </w:r>
                  <w:r>
                    <w:rPr>
                      <w:rFonts w:ascii="仿宋_GB2312" w:hAnsi="仿宋_GB2312" w:cs="仿宋_GB2312" w:eastAsia="仿宋_GB2312"/>
                      <w:sz w:val="24"/>
                    </w:rPr>
                    <w:t>），接待市民免费参观外，还应在采购人的支持下，完成如下年度接待任务；</w:t>
                  </w:r>
                </w:p>
                <w:tbl>
                  <w:tblPr>
                    <w:tblBorders>
                      <w:top w:val="none" w:color="000000" w:sz="4"/>
                      <w:left w:val="none" w:color="000000" w:sz="4"/>
                      <w:bottom w:val="none" w:color="000000" w:sz="4"/>
                      <w:right w:val="none" w:color="000000" w:sz="4"/>
                      <w:insideH w:val="none"/>
                      <w:insideV w:val="none"/>
                    </w:tblBorders>
                  </w:tblPr>
                  <w:tblGrid>
                    <w:gridCol w:w="75"/>
                    <w:gridCol w:w="588"/>
                    <w:gridCol w:w="286"/>
                  </w:tblGrid>
                  <w:tr>
                    <w:tc>
                      <w:tcPr>
                        <w:tcW w:type="dxa" w:w="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活动类型</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频次</w:t>
                        </w:r>
                        <w:r>
                          <w:rPr>
                            <w:rFonts w:ascii="仿宋_GB2312" w:hAnsi="仿宋_GB2312" w:cs="仿宋_GB2312" w:eastAsia="仿宋_GB2312"/>
                            <w:sz w:val="24"/>
                          </w:rPr>
                          <w:t>/数量要求</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重要纪念日主题活动（</w:t>
                        </w:r>
                        <w:r>
                          <w:rPr>
                            <w:rFonts w:ascii="仿宋_GB2312" w:hAnsi="仿宋_GB2312" w:cs="仿宋_GB2312" w:eastAsia="仿宋_GB2312"/>
                            <w:sz w:val="24"/>
                          </w:rPr>
                          <w:t>100人以上，如5.12、9.18等）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每年不少于</w:t>
                        </w:r>
                        <w:r>
                          <w:rPr>
                            <w:rFonts w:ascii="仿宋_GB2312" w:hAnsi="仿宋_GB2312" w:cs="仿宋_GB2312" w:eastAsia="仿宋_GB2312"/>
                            <w:sz w:val="24"/>
                          </w:rPr>
                          <w:t>3次</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其他大型宣传推广活动（</w:t>
                        </w:r>
                        <w:r>
                          <w:rPr>
                            <w:rFonts w:ascii="仿宋_GB2312" w:hAnsi="仿宋_GB2312" w:cs="仿宋_GB2312" w:eastAsia="仿宋_GB2312"/>
                            <w:sz w:val="24"/>
                          </w:rPr>
                          <w:t>100人以上）</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每年不少于</w:t>
                        </w:r>
                        <w:r>
                          <w:rPr>
                            <w:rFonts w:ascii="仿宋_GB2312" w:hAnsi="仿宋_GB2312" w:cs="仿宋_GB2312" w:eastAsia="仿宋_GB2312"/>
                            <w:sz w:val="24"/>
                          </w:rPr>
                          <w:t>5次</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30人以上中小型活动（研学、党建、社区专场等）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每年不少于</w:t>
                        </w:r>
                        <w:r>
                          <w:rPr>
                            <w:rFonts w:ascii="仿宋_GB2312" w:hAnsi="仿宋_GB2312" w:cs="仿宋_GB2312" w:eastAsia="仿宋_GB2312"/>
                            <w:sz w:val="24"/>
                          </w:rPr>
                          <w:t>20次</w:t>
                        </w:r>
                      </w:p>
                    </w:tc>
                  </w:tr>
                </w:tbl>
                <w:p>
                  <w:pPr>
                    <w:pStyle w:val="null3"/>
                    <w:ind w:left="105"/>
                    <w:jc w:val="both"/>
                  </w:pPr>
                  <w:r>
                    <w:rPr>
                      <w:rFonts w:ascii="仿宋_GB2312" w:hAnsi="仿宋_GB2312" w:cs="仿宋_GB2312" w:eastAsia="仿宋_GB2312"/>
                      <w:sz w:val="24"/>
                    </w:rPr>
                    <w:t>五</w:t>
                  </w:r>
                  <w:r>
                    <w:rPr>
                      <w:rFonts w:ascii="仿宋_GB2312" w:hAnsi="仿宋_GB2312" w:cs="仿宋_GB2312" w:eastAsia="仿宋_GB2312"/>
                      <w:sz w:val="24"/>
                    </w:rPr>
                    <w:t>、商务要求</w:t>
                  </w:r>
                </w:p>
                <w:p>
                  <w:pPr>
                    <w:pStyle w:val="null3"/>
                    <w:numPr>
                      <w:ilvl w:val="0"/>
                      <w:numId w:val="2"/>
                    </w:numPr>
                    <w:jc w:val="both"/>
                  </w:pPr>
                  <w:r>
                    <w:rPr>
                      <w:rFonts w:ascii="仿宋_GB2312" w:hAnsi="仿宋_GB2312" w:cs="仿宋_GB2312" w:eastAsia="仿宋_GB2312"/>
                      <w:sz w:val="24"/>
                    </w:rPr>
                    <w:t>服务期限：自</w:t>
                  </w:r>
                  <w:r>
                    <w:rPr>
                      <w:rFonts w:ascii="仿宋_GB2312" w:hAnsi="仿宋_GB2312" w:cs="仿宋_GB2312" w:eastAsia="仿宋_GB2312"/>
                      <w:sz w:val="24"/>
                    </w:rPr>
                    <w:t>2026年8月15日至2027年8月14日止，合同期限一年。</w:t>
                  </w:r>
                </w:p>
                <w:p>
                  <w:pPr>
                    <w:pStyle w:val="null3"/>
                    <w:numPr>
                      <w:ilvl w:val="0"/>
                      <w:numId w:val="2"/>
                    </w:numPr>
                    <w:jc w:val="both"/>
                  </w:pPr>
                  <w:r>
                    <w:rPr>
                      <w:rFonts w:ascii="仿宋_GB2312" w:hAnsi="仿宋_GB2312" w:cs="仿宋_GB2312" w:eastAsia="仿宋_GB2312"/>
                      <w:sz w:val="24"/>
                    </w:rPr>
                    <w:t>款项结算：按季度分四次支付，合同签订后</w:t>
                  </w:r>
                  <w:r>
                    <w:rPr>
                      <w:rFonts w:ascii="仿宋_GB2312" w:hAnsi="仿宋_GB2312" w:cs="仿宋_GB2312" w:eastAsia="仿宋_GB2312"/>
                      <w:sz w:val="24"/>
                    </w:rPr>
                    <w:t>10日内，支付合同价款的25%；第一季度运营期满终了后10个工作日，根据考核结果，中标方提供根据考核结果计算确定金额的增值税普通发票，甲方办理下个季度款项支付；第二季度运营期满（2026年11月15日至2027年2月14日），待2027年度部门预算下达后予以支付下季度款项；最后一个季度合同期满前10日内采购人组织考核验收，根据考核验收结果办理支付手续。</w:t>
                  </w:r>
                </w:p>
                <w:p>
                  <w:pPr>
                    <w:pStyle w:val="null3"/>
                    <w:jc w:val="both"/>
                  </w:pPr>
                  <w:r>
                    <w:rPr>
                      <w:rFonts w:ascii="仿宋_GB2312" w:hAnsi="仿宋_GB2312" w:cs="仿宋_GB2312" w:eastAsia="仿宋_GB2312"/>
                      <w:sz w:val="24"/>
                    </w:rPr>
                    <w:t>3.水电费：不包含在本采购需求书资金内，由采购人据实承担，中标方要做到电表专用，配合采购人做好电费统计和费用结算工作。</w:t>
                  </w:r>
                </w:p>
                <w:p>
                  <w:pPr>
                    <w:pStyle w:val="null3"/>
                    <w:jc w:val="both"/>
                  </w:pPr>
                  <w:r>
                    <w:rPr>
                      <w:rFonts w:ascii="仿宋_GB2312" w:hAnsi="仿宋_GB2312" w:cs="仿宋_GB2312" w:eastAsia="仿宋_GB2312"/>
                      <w:sz w:val="24"/>
                    </w:rPr>
                    <w:t>4.违约责任：考核85分以上全额付款；考核70--84分扣当季应付款的3%；考核60--69分扣当季应付款5%；考核低于60分（不包括60分）且尚未解除合同的，扣当季应付款10%；考核低于60分（不包括60分），或发生重大安全责任事故，采购人有权单方面解除合同并扣除合同总价10%违约金，中标人并应将尚未产生服务内容已支付的费用经双方核算后退返财政，同时采购人保留追究有关刑事、民事责任的权利。</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、考核与支付挂钩</w:t>
                  </w:r>
                </w:p>
                <w:tbl>
                  <w:tblPr>
                    <w:tblBorders>
                      <w:top w:val="none" w:color="000000" w:sz="4"/>
                      <w:left w:val="none" w:color="000000" w:sz="4"/>
                      <w:bottom w:val="none" w:color="000000" w:sz="4"/>
                      <w:right w:val="none" w:color="000000" w:sz="4"/>
                      <w:insideH w:val="none"/>
                      <w:insideV w:val="none"/>
                    </w:tblBorders>
                  </w:tblPr>
                  <w:tblGrid>
                    <w:gridCol w:w="219"/>
                    <w:gridCol w:w="128"/>
                    <w:gridCol w:w="602"/>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考核维度</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p>
                    </w:tc>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主要扣分项及扣分标准</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运营服务（科普馆开放及地下便民服务）</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20分</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未按规定时间开放（迟到/早退/临时闭馆未公示），每次扣5分。2.前台接待咨询态度恶劣、导览缺失、讲解设备故障未替代，每次扣2分。3.游客安全培训服务，因游客安全问题引起投诉，每投诉一次扣2分。4.预约科普活动/团体讲解无故取消，每次扣3分。5.地下手机信号或WiFi信号覆盖弱影响扫码/导览，未公示且未协调解决，每次扣2分。</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宣传推广服务</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10分</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组织宣传活动场次及人员数量满足招标文件要求，得满分，部分满足根据完成比例赋分。</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展馆公共区域内卫生保洁</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10分</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展馆内环境卫生保持不好，不符合公共区域保洁标准，地面出现杂物、垃圾，发现一次扣</w:t>
                        </w:r>
                        <w:r>
                          <w:rPr>
                            <w:rFonts w:ascii="仿宋_GB2312" w:hAnsi="仿宋_GB2312" w:cs="仿宋_GB2312" w:eastAsia="仿宋_GB2312"/>
                            <w:sz w:val="24"/>
                          </w:rPr>
                          <w:t>1分，扣完为止</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安全管理（地下防汛</w:t>
                        </w:r>
                        <w:r>
                          <w:rPr>
                            <w:rFonts w:ascii="仿宋_GB2312" w:hAnsi="仿宋_GB2312" w:cs="仿宋_GB2312" w:eastAsia="仿宋_GB2312"/>
                            <w:sz w:val="24"/>
                          </w:rPr>
                          <w:t>/人防设施等）</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20分</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发生一般及以上安全责任事故（火灾、触电、踩踏、设备伤人、人防设施误动等），出现1次相关事件直接扣20分。2.疏散通道、安全出口被堵塞或锁闭，每次扣5分；应急照明/疏散指示灯故障每处扣2分。3.安全隐患未按期整改，每项扣5分；巡检漏检/漏签每次扣2分。4.人防构筑物、设施设备没有处于良好的战备状态，被有意毁损，每发现一处扣5分。</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环境卫生（地下展厅、走廊、</w:t>
                        </w:r>
                        <w:r>
                          <w:rPr>
                            <w:rFonts w:ascii="仿宋_GB2312" w:hAnsi="仿宋_GB2312" w:cs="仿宋_GB2312" w:eastAsia="仿宋_GB2312"/>
                            <w:sz w:val="24"/>
                          </w:rPr>
                          <w:t>B区车库及设备间）</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10分</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地下空间有明显霉味、异味或通风不畅导致闷热，每次扣2分。2.墙面、地面返潮、积水未及时处理，每处扣2分。3.垃圾桶满溢未在2小时内清运，每次扣2分；垃圾未分类扣1分。4.地下车库地面油污、灰尘堆积严重，每次扣2分。</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设施设备运维（核心展陈设备</w:t>
                        </w:r>
                        <w:r>
                          <w:rPr>
                            <w:rFonts w:ascii="仿宋_GB2312" w:hAnsi="仿宋_GB2312" w:cs="仿宋_GB2312" w:eastAsia="仿宋_GB2312"/>
                            <w:sz w:val="24"/>
                          </w:rPr>
                          <w:t>+电梯、空调及消防设施等）</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20分</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核心智能化设备（人防模拟体验/VR/中控/安防）故障导致无法正常参观，单次扣2分；故障超24小时未修复加扣3分。2.电路检查及维护不及时，影响正常参观每次扣3分；供水管线漏水、爆管每次扣3分。3.通风与除湿系统：新风风机故障、除湿机失效导致湿度长期≥80%，每次扣4分。4.消防报警系统、应急照明、疏散指示牌故障未处理，每项扣5分。</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服务对象满意度</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10分</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both"/>
                        </w:pPr>
                        <w:r>
                          <w:rPr>
                            <w:rFonts w:ascii="仿宋_GB2312" w:hAnsi="仿宋_GB2312" w:cs="仿宋_GB2312" w:eastAsia="仿宋_GB2312"/>
                            <w:sz w:val="24"/>
                          </w:rPr>
                          <w:t>采购人接到投诉，经核对情况属实每次扣</w:t>
                        </w:r>
                        <w:r>
                          <w:rPr>
                            <w:rFonts w:ascii="仿宋_GB2312" w:hAnsi="仿宋_GB2312" w:cs="仿宋_GB2312" w:eastAsia="仿宋_GB2312"/>
                            <w:sz w:val="24"/>
                          </w:rPr>
                          <w:t>5分。</w:t>
                        </w:r>
                      </w:p>
                    </w:tc>
                  </w:tr>
                </w:tbl>
                <w:p>
                  <w:pPr>
                    <w:pStyle w:val="null3"/>
                    <w:numPr>
                      <w:ilvl w:val="0"/>
                      <w:numId w:val="1"/>
                    </w:numPr>
                    <w:jc w:val="both"/>
                  </w:pPr>
                  <w:r>
                    <w:rPr>
                      <w:rFonts w:ascii="仿宋_GB2312" w:hAnsi="仿宋_GB2312" w:cs="仿宋_GB2312" w:eastAsia="仿宋_GB2312"/>
                      <w:sz w:val="24"/>
                    </w:rPr>
                    <w:t>分包要求：</w:t>
                  </w:r>
                </w:p>
                <w:p>
                  <w:pPr>
                    <w:pStyle w:val="null3"/>
                    <w:ind w:firstLine="480"/>
                    <w:jc w:val="both"/>
                  </w:pPr>
                  <w:r>
                    <w:rPr>
                      <w:rFonts w:ascii="仿宋_GB2312" w:hAnsi="仿宋_GB2312" w:cs="仿宋_GB2312" w:eastAsia="仿宋_GB2312"/>
                      <w:sz w:val="24"/>
                    </w:rPr>
                    <w:t>中标人经采购人同意后，可将消防系统维护保养、电梯维护保养</w:t>
                  </w:r>
                  <w:r>
                    <w:rPr>
                      <w:rFonts w:ascii="仿宋_GB2312" w:hAnsi="仿宋_GB2312" w:cs="仿宋_GB2312" w:eastAsia="仿宋_GB2312"/>
                      <w:sz w:val="24"/>
                    </w:rPr>
                    <w:t>、</w:t>
                  </w:r>
                  <w:r>
                    <w:rPr>
                      <w:rFonts w:ascii="仿宋_GB2312" w:hAnsi="仿宋_GB2312" w:cs="仿宋_GB2312" w:eastAsia="仿宋_GB2312"/>
                      <w:sz w:val="24"/>
                    </w:rPr>
                    <w:t>空调系统维护保养以及核心智能化设备专业维保服务分包给具备相应资质的第三方实施，但不得转包，也不得将主体展馆服务分包。每个分包项仅限</w:t>
                  </w:r>
                  <w:r>
                    <w:rPr>
                      <w:rFonts w:ascii="仿宋_GB2312" w:hAnsi="仿宋_GB2312" w:cs="仿宋_GB2312" w:eastAsia="仿宋_GB2312"/>
                      <w:sz w:val="24"/>
                    </w:rPr>
                    <w:t>1家分包单位，分包单位不得再次分包。投标人自身具备对应法定资质的，可自行承担消防维保，无需分包。</w:t>
                  </w:r>
                </w:p>
                <w:p>
                  <w:pPr>
                    <w:pStyle w:val="null3"/>
                    <w:jc w:val="both"/>
                  </w:pPr>
                  <w:r>
                    <w:rPr>
                      <w:rFonts w:ascii="仿宋_GB2312" w:hAnsi="仿宋_GB2312" w:cs="仿宋_GB2312" w:eastAsia="仿宋_GB2312"/>
                      <w:sz w:val="24"/>
                    </w:rPr>
                    <w:t>分包事项要求：</w:t>
                  </w:r>
                </w:p>
                <w:p>
                  <w:pPr>
                    <w:pStyle w:val="null3"/>
                    <w:jc w:val="both"/>
                  </w:pPr>
                  <w:r>
                    <w:rPr>
                      <w:rFonts w:ascii="仿宋_GB2312" w:hAnsi="仿宋_GB2312" w:cs="仿宋_GB2312" w:eastAsia="仿宋_GB2312"/>
                      <w:sz w:val="24"/>
                    </w:rPr>
                    <w:t>1.核心智能化设备专业维保服务分包企业须具备以下资质之一：①电子与智能化工程专业承包二级及以上资质；②ITSS信息技术服务运行维护标准符合性证书（三级及以上）；③核心设备制造商针对本项目出具的原厂维保服务授权书。</w:t>
                  </w:r>
                </w:p>
                <w:p>
                  <w:pPr>
                    <w:pStyle w:val="null3"/>
                    <w:jc w:val="both"/>
                  </w:pPr>
                  <w:r>
                    <w:rPr>
                      <w:rFonts w:ascii="仿宋_GB2312" w:hAnsi="仿宋_GB2312" w:cs="仿宋_GB2312" w:eastAsia="仿宋_GB2312"/>
                      <w:sz w:val="24"/>
                    </w:rPr>
                    <w:t>2.分包企业派出的现场维保工程师，应持有核心设备制造商颁发的原厂认证工程师资格或电子智能化相关专业中级以上职称。</w:t>
                  </w:r>
                </w:p>
                <w:p>
                  <w:pPr>
                    <w:pStyle w:val="null3"/>
                    <w:jc w:val="both"/>
                  </w:pPr>
                  <w:r>
                    <w:rPr>
                      <w:rFonts w:ascii="仿宋_GB2312" w:hAnsi="仿宋_GB2312" w:cs="仿宋_GB2312" w:eastAsia="仿宋_GB2312"/>
                      <w:sz w:val="24"/>
                    </w:rPr>
                    <w:t>3.中标后，中标人与分包方签订的合同须报采购人备案。</w:t>
                  </w:r>
                </w:p>
                <w:p>
                  <w:pPr>
                    <w:pStyle w:val="null3"/>
                    <w:jc w:val="both"/>
                  </w:pPr>
                  <w:r>
                    <w:rPr>
                      <w:rFonts w:ascii="仿宋_GB2312" w:hAnsi="仿宋_GB2312" w:cs="仿宋_GB2312" w:eastAsia="仿宋_GB2312"/>
                      <w:sz w:val="24"/>
                    </w:rPr>
                    <w:t>4.消防维保分包单位须满足资质：在社会消防技术服务信息系统备案（提供截图）；服务类型包含：消防设施维护保养检测。</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八</w:t>
                  </w:r>
                  <w:r>
                    <w:rPr>
                      <w:rFonts w:ascii="仿宋_GB2312" w:hAnsi="仿宋_GB2312" w:cs="仿宋_GB2312" w:eastAsia="仿宋_GB2312"/>
                      <w:sz w:val="24"/>
                    </w:rPr>
                    <w:t>、成果交付要求</w:t>
                  </w:r>
                </w:p>
                <w:p>
                  <w:pPr>
                    <w:pStyle w:val="null3"/>
                    <w:jc w:val="both"/>
                  </w:pPr>
                  <w:r>
                    <w:rPr>
                      <w:rFonts w:ascii="仿宋_GB2312" w:hAnsi="仿宋_GB2312" w:cs="仿宋_GB2312" w:eastAsia="仿宋_GB2312"/>
                      <w:sz w:val="24"/>
                    </w:rPr>
                    <w:t>1.月度运营报告（次月5日前）：含接待数据、活动总结、设备状态、问题改进。</w:t>
                  </w:r>
                </w:p>
                <w:p>
                  <w:pPr>
                    <w:pStyle w:val="null3"/>
                    <w:jc w:val="both"/>
                  </w:pPr>
                  <w:r>
                    <w:rPr>
                      <w:rFonts w:ascii="仿宋_GB2312" w:hAnsi="仿宋_GB2312" w:cs="仿宋_GB2312" w:eastAsia="仿宋_GB2312"/>
                      <w:sz w:val="24"/>
                    </w:rPr>
                    <w:t>2.季度服务报告（季末后10日内）：含考核自评、财务收支明细、下季度计划。</w:t>
                  </w:r>
                </w:p>
                <w:p>
                  <w:pPr>
                    <w:pStyle w:val="null3"/>
                    <w:jc w:val="both"/>
                  </w:pPr>
                  <w:r>
                    <w:rPr>
                      <w:rFonts w:ascii="仿宋_GB2312" w:hAnsi="仿宋_GB2312" w:cs="仿宋_GB2312" w:eastAsia="仿宋_GB2312"/>
                      <w:sz w:val="24"/>
                    </w:rPr>
                    <w:t>3.年度总结报告（合同期满前15日内）：含全年绩效、资产盘点、满意度调查报告。</w:t>
                  </w:r>
                </w:p>
                <w:p>
                  <w:pPr>
                    <w:pStyle w:val="null3"/>
                    <w:jc w:val="both"/>
                  </w:pPr>
                  <w:r>
                    <w:rPr>
                      <w:rFonts w:ascii="仿宋_GB2312" w:hAnsi="仿宋_GB2312" w:cs="仿宋_GB2312" w:eastAsia="仿宋_GB2312"/>
                      <w:sz w:val="24"/>
                    </w:rPr>
                    <w:t>九</w:t>
                  </w:r>
                  <w:r>
                    <w:rPr>
                      <w:rFonts w:ascii="仿宋_GB2312" w:hAnsi="仿宋_GB2312" w:cs="仿宋_GB2312" w:eastAsia="仿宋_GB2312"/>
                      <w:sz w:val="24"/>
                    </w:rPr>
                    <w:t>、验收要求</w:t>
                  </w:r>
                </w:p>
                <w:p>
                  <w:pPr>
                    <w:pStyle w:val="null3"/>
                    <w:jc w:val="both"/>
                  </w:pPr>
                  <w:r>
                    <w:rPr>
                      <w:rFonts w:ascii="仿宋_GB2312" w:hAnsi="仿宋_GB2312" w:cs="仿宋_GB2312" w:eastAsia="仿宋_GB2312"/>
                      <w:sz w:val="24"/>
                    </w:rPr>
                    <w:t>运营期满采购方组织验收小组进行验收，并出具验收意见。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十、质量验收标准或规范依据</w:t>
                  </w:r>
                </w:p>
                <w:p>
                  <w:pPr>
                    <w:pStyle w:val="null3"/>
                    <w:jc w:val="both"/>
                  </w:pPr>
                  <w:r>
                    <w:rPr>
                      <w:rFonts w:ascii="仿宋_GB2312" w:hAnsi="仿宋_GB2312" w:cs="仿宋_GB2312" w:eastAsia="仿宋_GB2312"/>
                      <w:sz w:val="24"/>
                    </w:rPr>
                    <w:t>1.《中华人民共和国公共文化服务保障法》</w:t>
                  </w:r>
                </w:p>
                <w:p>
                  <w:pPr>
                    <w:pStyle w:val="null3"/>
                    <w:jc w:val="both"/>
                  </w:pPr>
                  <w:r>
                    <w:rPr>
                      <w:rFonts w:ascii="仿宋_GB2312" w:hAnsi="仿宋_GB2312" w:cs="仿宋_GB2312" w:eastAsia="仿宋_GB2312"/>
                      <w:sz w:val="24"/>
                    </w:rPr>
                    <w:t>2.《公共场所卫生管理条例》及其实施细则</w:t>
                  </w:r>
                </w:p>
                <w:p>
                  <w:pPr>
                    <w:pStyle w:val="null3"/>
                    <w:jc w:val="both"/>
                  </w:pPr>
                  <w:r>
                    <w:rPr>
                      <w:rFonts w:ascii="仿宋_GB2312" w:hAnsi="仿宋_GB2312" w:cs="仿宋_GB2312" w:eastAsia="仿宋_GB2312"/>
                      <w:sz w:val="24"/>
                    </w:rPr>
                    <w:t>3.西安市地方标准《DB6101/T 3096-2020 物业服务规范》</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1.《中华人民共和国公共文化服务保障法》 2.《公共场所卫生管理条例》及其实施细则 3.西安市地方标准《DB6101/T 3096-2020 物业服务规范》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进度款，合同签订后10日内，达到付款条件起10个工作日内，支付合同总金额的25.0%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进度款，第一季度运营期满终了后10个工作日，根据考核结果，中标方提供根据考核结果计算确定金额的增值税普通发票，甲方办理下个季度款项支付，达到付款条件起10个工作日内，支付合同总金额的25.0%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进度款，第二季度运营期满（2026年11月15日至2027年2月14日），待2027年度部门预算下达后予以支付下季度款项，达到付款条件起10个工作日内，支付合同总金额的25.0%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进度款，最后一个季度合同期满前10日内采购人组织考核验收，根据考核验收结果办理支付手续，达到付款条件起10个工作日内，支付合同总金额的25.0%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最高限价：人民币 200万元 (此预算为年度包干总价，包含本项目所有服务所需的人员、物资、设备维保、宣传、管理、利润及税费等所有费用。其中科普馆展馆运营148.4万元，核心专业设备日常维护38.6万元，核心专业设备大额维护暂列金13万元。水电费据实结算，不包含在此预算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经会计事务所或审计机构出具的2024年或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提供2026年3月1日至今任意一个月的纳税证明或完税证明（任意税种），依法免税的单位应提供相关证明材料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提供2026年3月1日至今任意一个月的社会保障资金缴存单据或社保机构开具的社会保险参保缴费情况证明，依法不需要缴纳社会保障资金的单位应提供相关证明材料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提供在“中国执行信息公开网”未被列入失信被执行人、“信用中国”未被列入重大税收违法失信主体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供应商类似项目业绩一览表.docx 中小企业声明函 商务应答表 服务内容及服务要求应答表 3、资格证明文件.docx 19业绩.docx 主要人员简历表.docx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供应商提供拒绝政府采购领域商业贿赂承诺书,否则按响应文件作为无效处理。</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开标一览表 供应商类似项目业绩一览表.docx 中小企业声明函 商务应答表 服务内容及服务要求应答表 3、资格证明文件.docx 19业绩.docx 主要人员简历表.docx 投标函 残疾人福利性单位声明函 服务方案 标的清单 投标文件封面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针对本项目特点和要求分析项目实际，包括但不限于对项目背景与现状分析、核心需求响应度、重点难点分析及应对策略等进行综合评分；以上内容专门针对本项目且阐述明晰、全面、合理得5分，每缺一项内容扣2分 , 若上述内容存在瑕疵，每出现一处瑕疵扣0.5分，扣完为止。“瑕疵”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推广方案及宣传推广活动</w:t>
            </w:r>
          </w:p>
        </w:tc>
        <w:tc>
          <w:tcPr>
            <w:tcW w:type="dxa" w:w="2492"/>
          </w:tcPr>
          <w:p>
            <w:pPr>
              <w:pStyle w:val="null3"/>
            </w:pPr>
            <w:r>
              <w:rPr>
                <w:rFonts w:ascii="仿宋_GB2312" w:hAnsi="仿宋_GB2312" w:cs="仿宋_GB2312" w:eastAsia="仿宋_GB2312"/>
              </w:rPr>
              <w:t>投标人针对本项目制定推广方案及相关推广活动，包括但不限于：①宣传计划、②短视频制作、③宣传方式、④推广发布媒介、⑤宣传物料等进行综合评分。以上内容专门针对本项目且阐述明晰、全面、合理得5分，每缺一项内容扣1分 , 若上述内容存在瑕疵，每出现一处瑕疵扣0.5分，扣完为止。“瑕疵”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供应商需针对本项目提供完整的维保方案。内容包含：① 总体维保方案；②维保控制要点；③维保时间安排及计划； ④维保质量保障措施；⑤故障处理措施；以上内容专门针对本项目且阐述明晰、全面、合理得5分，每缺一项内容扣1分 , 若上述内容存在瑕疵，每出现一处瑕疵扣0.5分，扣完为止。“瑕疵”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投标人针对本项目提供质量保证措施，内容包括但不限于①质量控制管理；②人员到位情况把控措施；③服务承诺等。以上内容专门针对本项目且阐述明晰、全面、合理得6分，每缺一项内容扣2分，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投标人针对本项目提供安全保证措施，内容包括但不限于；①安保工作方案、②安全培训方案、③安全管理制度。以上内容专门针对本项目且阐述明晰、全面、合理得6分，每缺一项内容扣2分，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拟投入的专业维保工具、检测设备</w:t>
            </w:r>
          </w:p>
        </w:tc>
        <w:tc>
          <w:tcPr>
            <w:tcW w:type="dxa" w:w="2492"/>
          </w:tcPr>
          <w:p>
            <w:pPr>
              <w:pStyle w:val="null3"/>
            </w:pPr>
            <w:r>
              <w:rPr>
                <w:rFonts w:ascii="仿宋_GB2312" w:hAnsi="仿宋_GB2312" w:cs="仿宋_GB2312" w:eastAsia="仿宋_GB2312"/>
              </w:rPr>
              <w:t>投标人针对本项目提供安全保证措施，内容包括但不限于：①专业维保工具清单、②专业检测设备清单等。 以上内容专门针对本项目且设备全面、合理、科学得5分，每缺一项内容扣2分，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投标人提供针对本项目突发情况的补救措施及应急预案。①设备故障预判及响应机制； ②突发事件应急处置流程；③保障措施与解决方案。评标委员会按方案详细程度打分； 以上内容专门针对本项目且阐述明晰、全面、合理得5分，每缺一项内容扣2分 , 若上述内容存在瑕疵，每出现一处瑕疵扣0.5分，扣完为止。“瑕疵”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投标人提供针对本项目服务承诺。包括但不限于①项目周期与进度计划； ②项目负责人稳定性及服务周到性承诺；③后期成果问题兜底解决措施。评审小组按照方案详细程度打分； 以上内容专门针对本项目且阐述明晰、全面、合理得3分，每缺一项内容扣1分 , 若上述内容存在瑕疵，每出现一处瑕疵扣0.5分，扣完为止。“瑕疵”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在满足招标文件基本要求的前提下，每提供一条增值服务，得2分，最多得6分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1.拟派项目经理具备高级专业技术职称（如高级工程师）得5分，中级得2分，未提供不得分。 2.拟派人员在满足招标文件基本要求的前提下，每提供一名持有特种作业操作证或国家注册执业资格证书的人员得2分，本项最高计14分。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以合同形式提供投标人2023年1月至今类似项目业绩，每份计5分，计满20分为止（证明资料：合同及履约良好证明）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19业绩.docx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详见附件：19业绩.docx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详见附件：人防工程合同示范文本(1).docx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