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版本号：陕融招字-2026-0502号20260430001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64通道EEG放大器采集模块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陕融招字-2026-0502号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64通道EEG放大器采集模块</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陕融招字-2026-0502号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64通道EEG放大器采集模块</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本项目为西安理工大学64通道EEG放大器采集模块采购项目，64 通道 EEG放大器采集模块由64通道EEG放大器硬件及数据采集分析系统组成，是语言认知神经机制研究的核心工具，适配大脑神经活动瞬时性、复杂性等信号采集高要求，能高时空分辨率捕捉神经轨迹、多维度提取深层特征，还可实现跨任务数据对比、捕捉个体神经差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采购包1（64通道EEG放大器采集模块）：属于专门面向中小企业采购。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陕西省西安市雁塔区南二环东段二环以南凯森盛世1号B座2606陕西省西安市雁塔区南二环东段凯森盛世1号B座2606号室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本项目为西安理工大学64通道EEG放大器采集模块采购项目，64 通道EEG放大器采集模块由64通道EEG放大器硬件及数据采集分析系统组成，是语言认知神经机制研究的核心工具，适配大脑神经活动瞬时性、复杂性等信号采集高要求，能高时空分辨率捕捉神经轨迹、多维度提取深层特征，还可实现跨任务数据对比、捕捉个体神经差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64通道EEG放大器采集模块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标的名称：64通道EEG放大器采集模块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1.64通道EEG放大器硬件</w:t>
            </w:r>
          </w:p>
          <w:p>
            <w:pPr>
              <w:pStyle w:val="null3"/>
              <w:jc w:val="both"/>
            </w:pPr>
            <w:r>
              <w:rPr>
                <w:rFonts w:ascii="仿宋_GB2312" w:hAnsi="仿宋_GB2312" w:cs="仿宋_GB2312" w:eastAsia="仿宋_GB2312"/>
                <w:sz w:val="21"/>
              </w:rPr>
              <w:t>1.1. 64导脑电放大器1套；</w:t>
            </w:r>
          </w:p>
          <w:p>
            <w:pPr>
              <w:pStyle w:val="null3"/>
              <w:jc w:val="both"/>
            </w:pPr>
            <w:r>
              <w:rPr>
                <w:rFonts w:ascii="仿宋_GB2312" w:hAnsi="仿宋_GB2312" w:cs="仿宋_GB2312" w:eastAsia="仿宋_GB2312"/>
                <w:sz w:val="21"/>
              </w:rPr>
              <w:t>1.2. 电源模块1套；</w:t>
            </w:r>
          </w:p>
          <w:p>
            <w:pPr>
              <w:pStyle w:val="null3"/>
              <w:jc w:val="both"/>
            </w:pPr>
            <w:r>
              <w:rPr>
                <w:rFonts w:ascii="仿宋_GB2312" w:hAnsi="仿宋_GB2312" w:cs="仿宋_GB2312" w:eastAsia="仿宋_GB2312"/>
                <w:sz w:val="21"/>
              </w:rPr>
              <w:t>1.3. 专用USB电缆1套；</w:t>
            </w:r>
          </w:p>
          <w:p>
            <w:pPr>
              <w:pStyle w:val="null3"/>
              <w:jc w:val="both"/>
            </w:pPr>
            <w:r>
              <w:rPr>
                <w:rFonts w:ascii="仿宋_GB2312" w:hAnsi="仿宋_GB2312" w:cs="仿宋_GB2312" w:eastAsia="仿宋_GB2312"/>
                <w:sz w:val="21"/>
              </w:rPr>
              <w:t>1.4. 32导电极2把；</w:t>
            </w:r>
          </w:p>
          <w:p>
            <w:pPr>
              <w:pStyle w:val="null3"/>
              <w:jc w:val="both"/>
            </w:pPr>
            <w:r>
              <w:rPr>
                <w:rFonts w:ascii="仿宋_GB2312" w:hAnsi="仿宋_GB2312" w:cs="仿宋_GB2312" w:eastAsia="仿宋_GB2312"/>
                <w:sz w:val="21"/>
              </w:rPr>
              <w:t>1.5. 64通道电极帽2套；</w:t>
            </w:r>
          </w:p>
          <w:p>
            <w:pPr>
              <w:pStyle w:val="null3"/>
              <w:jc w:val="both"/>
            </w:pPr>
            <w:r>
              <w:rPr>
                <w:rFonts w:ascii="仿宋_GB2312" w:hAnsi="仿宋_GB2312" w:cs="仿宋_GB2312" w:eastAsia="仿宋_GB2312"/>
                <w:sz w:val="21"/>
              </w:rPr>
              <w:t>1.6.主动信号电极2根；</w:t>
            </w:r>
          </w:p>
          <w:p>
            <w:pPr>
              <w:pStyle w:val="null3"/>
              <w:jc w:val="both"/>
            </w:pPr>
            <w:r>
              <w:rPr>
                <w:rFonts w:ascii="仿宋_GB2312" w:hAnsi="仿宋_GB2312" w:cs="仿宋_GB2312" w:eastAsia="仿宋_GB2312"/>
                <w:sz w:val="21"/>
              </w:rPr>
              <w:t>1.7.主动接地电极2根；</w:t>
            </w:r>
          </w:p>
          <w:p>
            <w:pPr>
              <w:pStyle w:val="null3"/>
              <w:jc w:val="both"/>
            </w:pPr>
            <w:r>
              <w:rPr>
                <w:rFonts w:ascii="仿宋_GB2312" w:hAnsi="仿宋_GB2312" w:cs="仿宋_GB2312" w:eastAsia="仿宋_GB2312"/>
                <w:sz w:val="21"/>
              </w:rPr>
              <w:t>1.8. 导电膏3桶</w:t>
            </w:r>
          </w:p>
          <w:p>
            <w:pPr>
              <w:pStyle w:val="null3"/>
              <w:jc w:val="both"/>
            </w:pPr>
            <w:r>
              <w:rPr>
                <w:rFonts w:ascii="仿宋_GB2312" w:hAnsi="仿宋_GB2312" w:cs="仿宋_GB2312" w:eastAsia="仿宋_GB2312"/>
                <w:sz w:val="21"/>
              </w:rPr>
              <w:t>1.9. 便携箱1个</w:t>
            </w:r>
          </w:p>
          <w:p>
            <w:pPr>
              <w:pStyle w:val="null3"/>
              <w:jc w:val="both"/>
            </w:pPr>
            <w:r>
              <w:rPr>
                <w:rFonts w:ascii="仿宋_GB2312" w:hAnsi="仿宋_GB2312" w:cs="仿宋_GB2312" w:eastAsia="仿宋_GB2312"/>
                <w:sz w:val="21"/>
              </w:rPr>
              <w:t>1.10. 采集设备1套；</w:t>
            </w:r>
          </w:p>
          <w:p>
            <w:pPr>
              <w:pStyle w:val="null3"/>
              <w:jc w:val="both"/>
            </w:pPr>
            <w:r>
              <w:rPr>
                <w:rFonts w:ascii="仿宋_GB2312" w:hAnsi="仿宋_GB2312" w:cs="仿宋_GB2312" w:eastAsia="仿宋_GB2312"/>
                <w:sz w:val="21"/>
              </w:rPr>
              <w:t>1.11. 分析设备1套；</w:t>
            </w:r>
          </w:p>
          <w:p>
            <w:pPr>
              <w:pStyle w:val="null3"/>
              <w:jc w:val="both"/>
            </w:pPr>
            <w:r>
              <w:rPr>
                <w:rFonts w:ascii="仿宋_GB2312" w:hAnsi="仿宋_GB2312" w:cs="仿宋_GB2312" w:eastAsia="仿宋_GB2312"/>
                <w:sz w:val="21"/>
              </w:rPr>
              <w:t>1.12. 刺激呈现设备3套</w:t>
            </w:r>
          </w:p>
          <w:p>
            <w:pPr>
              <w:pStyle w:val="null3"/>
              <w:jc w:val="both"/>
            </w:pPr>
            <w:r>
              <w:rPr>
                <w:rFonts w:ascii="仿宋_GB2312" w:hAnsi="仿宋_GB2312" w:cs="仿宋_GB2312" w:eastAsia="仿宋_GB2312"/>
                <w:sz w:val="21"/>
              </w:rPr>
              <w:t>2.数据采集分析系统</w:t>
            </w:r>
          </w:p>
          <w:p>
            <w:pPr>
              <w:pStyle w:val="null3"/>
              <w:jc w:val="both"/>
            </w:pPr>
            <w:r>
              <w:rPr>
                <w:rFonts w:ascii="仿宋_GB2312" w:hAnsi="仿宋_GB2312" w:cs="仿宋_GB2312" w:eastAsia="仿宋_GB2312"/>
                <w:sz w:val="21"/>
              </w:rPr>
              <w:t>2.1.加密狗若干；</w:t>
            </w:r>
          </w:p>
          <w:p>
            <w:pPr>
              <w:pStyle w:val="null3"/>
              <w:jc w:val="both"/>
            </w:pPr>
            <w:r>
              <w:rPr>
                <w:rFonts w:ascii="仿宋_GB2312" w:hAnsi="仿宋_GB2312" w:cs="仿宋_GB2312" w:eastAsia="仿宋_GB2312"/>
                <w:sz w:val="21"/>
              </w:rPr>
              <w:t>2.2.刺激软件1套；</w:t>
            </w:r>
          </w:p>
          <w:p>
            <w:pPr>
              <w:pStyle w:val="null3"/>
              <w:jc w:val="both"/>
            </w:pPr>
            <w:r>
              <w:rPr>
                <w:rFonts w:ascii="仿宋_GB2312" w:hAnsi="仿宋_GB2312" w:cs="仿宋_GB2312" w:eastAsia="仿宋_GB2312"/>
                <w:sz w:val="21"/>
              </w:rPr>
              <w:t>2.3. 采集软件1套；</w:t>
            </w:r>
          </w:p>
          <w:p>
            <w:pPr>
              <w:pStyle w:val="null3"/>
              <w:jc w:val="both"/>
            </w:pPr>
            <w:r>
              <w:rPr>
                <w:rFonts w:ascii="仿宋_GB2312" w:hAnsi="仿宋_GB2312" w:cs="仿宋_GB2312" w:eastAsia="仿宋_GB2312"/>
                <w:sz w:val="21"/>
              </w:rPr>
              <w:t>2.4. 分析软件1套；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64通道EEG放大器硬件：</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64导脑电放大器（1套）</w:t>
            </w:r>
          </w:p>
          <w:p>
            <w:pPr>
              <w:pStyle w:val="null3"/>
              <w:jc w:val="both"/>
            </w:pPr>
            <w:r>
              <w:rPr>
                <w:rFonts w:ascii="仿宋_GB2312" w:hAnsi="仿宋_GB2312" w:cs="仿宋_GB2312" w:eastAsia="仿宋_GB2312"/>
                <w:sz w:val="21"/>
              </w:rPr>
              <w:t>▲1.导联通道配置：通道数量≥72个；含EEG 通道≥64个，AUX 双极通道≥8个；所有通道独立采集，无通道间串扰；</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2.采样速率：全通道同步采集时，每通道采样速率≥25000Hz/通道；</w:t>
            </w:r>
          </w:p>
          <w:p>
            <w:pPr>
              <w:pStyle w:val="null3"/>
              <w:jc w:val="both"/>
            </w:pPr>
            <w:r>
              <w:rPr>
                <w:rFonts w:ascii="仿宋_GB2312" w:hAnsi="仿宋_GB2312" w:cs="仿宋_GB2312" w:eastAsia="仿宋_GB2312"/>
                <w:sz w:val="21"/>
              </w:rPr>
              <w:t>▲3.频带宽度：≥DC-7000Hz；</w:t>
            </w:r>
          </w:p>
          <w:p>
            <w:pPr>
              <w:pStyle w:val="null3"/>
              <w:jc w:val="both"/>
            </w:pPr>
            <w:r>
              <w:rPr>
                <w:rFonts w:ascii="仿宋_GB2312" w:hAnsi="仿宋_GB2312" w:cs="仿宋_GB2312" w:eastAsia="仿宋_GB2312"/>
                <w:sz w:val="21"/>
              </w:rPr>
              <w:t>4.放大器噪声：≤2.5μVpp；</w:t>
            </w:r>
          </w:p>
          <w:p>
            <w:pPr>
              <w:pStyle w:val="null3"/>
              <w:jc w:val="both"/>
            </w:pPr>
            <w:r>
              <w:rPr>
                <w:rFonts w:ascii="仿宋_GB2312" w:hAnsi="仿宋_GB2312" w:cs="仿宋_GB2312" w:eastAsia="仿宋_GB2312"/>
                <w:sz w:val="21"/>
              </w:rPr>
              <w:t>5.A/D转换精度：≥22位；</w:t>
            </w:r>
          </w:p>
          <w:p>
            <w:pPr>
              <w:pStyle w:val="null3"/>
              <w:jc w:val="both"/>
            </w:pPr>
            <w:r>
              <w:rPr>
                <w:rFonts w:ascii="仿宋_GB2312" w:hAnsi="仿宋_GB2312" w:cs="仿宋_GB2312" w:eastAsia="仿宋_GB2312"/>
                <w:sz w:val="21"/>
              </w:rPr>
              <w:t>6.输入阻抗：EEG＞900MΩ，AUX≥40MΩ；</w:t>
            </w:r>
          </w:p>
          <w:p>
            <w:pPr>
              <w:pStyle w:val="null3"/>
              <w:jc w:val="both"/>
            </w:pPr>
            <w:r>
              <w:rPr>
                <w:rFonts w:ascii="仿宋_GB2312" w:hAnsi="仿宋_GB2312" w:cs="仿宋_GB2312" w:eastAsia="仿宋_GB2312"/>
                <w:sz w:val="21"/>
              </w:rPr>
              <w:t>7.适应性：专用USB线传输，非屏蔽室环境下使用，准确记录脑电信号，无明显干扰杂波；</w:t>
            </w:r>
          </w:p>
          <w:p>
            <w:pPr>
              <w:pStyle w:val="null3"/>
              <w:jc w:val="both"/>
            </w:pPr>
            <w:r>
              <w:rPr>
                <w:rFonts w:ascii="仿宋_GB2312" w:hAnsi="仿宋_GB2312" w:cs="仿宋_GB2312" w:eastAsia="仿宋_GB2312"/>
                <w:sz w:val="21"/>
              </w:rPr>
              <w:t>▲8.系统设计：模块化设计，支持拓展为128导系统，拓展时无需额外购置放大器及头盒；</w:t>
            </w:r>
          </w:p>
          <w:p>
            <w:pPr>
              <w:pStyle w:val="null3"/>
              <w:jc w:val="both"/>
            </w:pPr>
            <w:r>
              <w:rPr>
                <w:rFonts w:ascii="仿宋_GB2312" w:hAnsi="仿宋_GB2312" w:cs="仿宋_GB2312" w:eastAsia="仿宋_GB2312"/>
                <w:sz w:val="21"/>
              </w:rPr>
              <w:t>▲9.电极兼容性：兼容盐水电极系统与主动电极系统；</w:t>
            </w:r>
          </w:p>
          <w:p>
            <w:pPr>
              <w:pStyle w:val="null3"/>
              <w:jc w:val="both"/>
            </w:pPr>
            <w:r>
              <w:rPr>
                <w:rFonts w:ascii="仿宋_GB2312" w:hAnsi="仿宋_GB2312" w:cs="仿宋_GB2312" w:eastAsia="仿宋_GB2312"/>
                <w:sz w:val="21"/>
              </w:rPr>
              <w:t>10.电源模块1套：</w:t>
            </w:r>
          </w:p>
          <w:p>
            <w:pPr>
              <w:pStyle w:val="null3"/>
              <w:jc w:val="both"/>
            </w:pPr>
            <w:r>
              <w:rPr>
                <w:rFonts w:ascii="仿宋_GB2312" w:hAnsi="仿宋_GB2312" w:cs="仿宋_GB2312" w:eastAsia="仿宋_GB2312"/>
                <w:sz w:val="21"/>
              </w:rPr>
              <w:t>供电方式：独立可充电电池供电，避免交流电干扰，电池最长连续使用时间</w:t>
            </w:r>
            <w:r>
              <w:rPr>
                <w:rFonts w:ascii="仿宋_GB2312" w:hAnsi="仿宋_GB2312" w:cs="仿宋_GB2312" w:eastAsia="仿宋_GB2312"/>
                <w:sz w:val="21"/>
              </w:rPr>
              <w:t>≥8 小时；</w:t>
            </w:r>
          </w:p>
          <w:p>
            <w:pPr>
              <w:pStyle w:val="null3"/>
              <w:jc w:val="both"/>
            </w:pPr>
            <w:r>
              <w:rPr>
                <w:rFonts w:ascii="仿宋_GB2312" w:hAnsi="仿宋_GB2312" w:cs="仿宋_GB2312" w:eastAsia="仿宋_GB2312"/>
                <w:sz w:val="21"/>
              </w:rPr>
              <w:t>11.设备重量：放大器单体重量≤1.5kg，</w:t>
            </w:r>
          </w:p>
          <w:p>
            <w:pPr>
              <w:pStyle w:val="null3"/>
              <w:jc w:val="both"/>
            </w:pPr>
            <w:r>
              <w:rPr>
                <w:rFonts w:ascii="仿宋_GB2312" w:hAnsi="仿宋_GB2312" w:cs="仿宋_GB2312" w:eastAsia="仿宋_GB2312"/>
                <w:sz w:val="21"/>
              </w:rPr>
              <w:t>12.电源模块（电池）：数量1套，重量≤1.5kg；</w:t>
            </w:r>
          </w:p>
          <w:p>
            <w:pPr>
              <w:pStyle w:val="null3"/>
              <w:jc w:val="both"/>
            </w:pPr>
            <w:r>
              <w:rPr>
                <w:rFonts w:ascii="仿宋_GB2312" w:hAnsi="仿宋_GB2312" w:cs="仿宋_GB2312" w:eastAsia="仿宋_GB2312"/>
                <w:sz w:val="21"/>
              </w:rPr>
              <w:t>（二）电极及电极帽</w:t>
            </w:r>
          </w:p>
          <w:p>
            <w:pPr>
              <w:pStyle w:val="null3"/>
              <w:jc w:val="both"/>
            </w:pPr>
            <w:r>
              <w:rPr>
                <w:rFonts w:ascii="仿宋_GB2312" w:hAnsi="仿宋_GB2312" w:cs="仿宋_GB2312" w:eastAsia="仿宋_GB2312"/>
                <w:sz w:val="21"/>
              </w:rPr>
              <w:t>1.电极数量：32导电极≥2把、主动信号电极≥2根、主动接地电极≥2根；</w:t>
            </w:r>
          </w:p>
          <w:p>
            <w:pPr>
              <w:pStyle w:val="null3"/>
              <w:jc w:val="both"/>
            </w:pPr>
            <w:r>
              <w:rPr>
                <w:rFonts w:ascii="仿宋_GB2312" w:hAnsi="仿宋_GB2312" w:cs="仿宋_GB2312" w:eastAsia="仿宋_GB2312"/>
                <w:sz w:val="21"/>
              </w:rPr>
              <w:t>2.电极材质：凝胶Ag/AgCl电极；</w:t>
            </w:r>
          </w:p>
          <w:p>
            <w:pPr>
              <w:pStyle w:val="null3"/>
              <w:jc w:val="both"/>
            </w:pPr>
            <w:r>
              <w:rPr>
                <w:rFonts w:ascii="仿宋_GB2312" w:hAnsi="仿宋_GB2312" w:cs="仿宋_GB2312" w:eastAsia="仿宋_GB2312"/>
                <w:sz w:val="21"/>
              </w:rPr>
              <w:t>3.电极帽：帽子皮≥2个，材质：弹性材料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▲4.实时反馈电极接触状态：</w:t>
            </w:r>
            <w:r>
              <w:rPr>
                <w:rFonts w:ascii="仿宋_GB2312" w:hAnsi="仿宋_GB2312" w:cs="仿宋_GB2312" w:eastAsia="仿宋_GB2312"/>
                <w:sz w:val="21"/>
              </w:rPr>
              <w:t>电极集成阻抗转换有源电路（主动电极技术），支持状态灯光可视化实时阻抗监测反馈头皮接触状态</w:t>
            </w:r>
            <w:r>
              <w:rPr>
                <w:rFonts w:ascii="仿宋_GB2312" w:hAnsi="仿宋_GB2312" w:cs="仿宋_GB2312" w:eastAsia="仿宋_GB2312"/>
                <w:sz w:val="21"/>
              </w:rPr>
              <w:t>；</w:t>
            </w:r>
            <w:r>
              <w:rPr>
                <w:rFonts w:ascii="仿宋_GB2312" w:hAnsi="仿宋_GB2312" w:cs="仿宋_GB2312" w:eastAsia="仿宋_GB2312"/>
                <w:sz w:val="21"/>
              </w:rPr>
              <w:t>单根可拆卸；可直接兼容</w:t>
            </w:r>
            <w:r>
              <w:rPr>
                <w:rFonts w:ascii="仿宋_GB2312" w:hAnsi="仿宋_GB2312" w:cs="仿宋_GB2312" w:eastAsia="仿宋_GB2312"/>
                <w:sz w:val="21"/>
              </w:rPr>
              <w:t>TMS、fNIRS同步采集。</w:t>
            </w:r>
          </w:p>
          <w:p>
            <w:pPr>
              <w:pStyle w:val="null3"/>
              <w:jc w:val="both"/>
            </w:pPr>
            <w:r>
              <w:rPr>
                <w:rFonts w:ascii="仿宋_GB2312" w:hAnsi="仿宋_GB2312" w:cs="仿宋_GB2312" w:eastAsia="仿宋_GB2312"/>
                <w:sz w:val="21"/>
              </w:rPr>
              <w:t>5.导电膏：数量</w:t>
            </w:r>
            <w:r>
              <w:rPr>
                <w:rFonts w:ascii="仿宋_GB2312" w:hAnsi="仿宋_GB2312" w:cs="仿宋_GB2312" w:eastAsia="仿宋_GB2312"/>
                <w:sz w:val="21"/>
              </w:rPr>
              <w:t>≥</w:t>
            </w:r>
            <w:r>
              <w:rPr>
                <w:rFonts w:ascii="仿宋_GB2312" w:hAnsi="仿宋_GB2312" w:cs="仿宋_GB2312" w:eastAsia="仿宋_GB2312"/>
                <w:sz w:val="21"/>
              </w:rPr>
              <w:t>3桶；</w:t>
            </w:r>
            <w:r>
              <w:rPr>
                <w:rFonts w:ascii="仿宋_GB2312" w:hAnsi="仿宋_GB2312" w:cs="仿宋_GB2312" w:eastAsia="仿宋_GB2312"/>
                <w:sz w:val="21"/>
              </w:rPr>
              <w:t>配备不易挥发膏状导电介质，中途无需补加，电极阻抗可降至</w:t>
            </w:r>
            <w:r>
              <w:rPr>
                <w:rFonts w:ascii="仿宋_GB2312" w:hAnsi="仿宋_GB2312" w:cs="仿宋_GB2312" w:eastAsia="仿宋_GB2312"/>
                <w:sz w:val="21"/>
              </w:rPr>
              <w:t>5KΩ以下，且能稳定维持1.5-3小时。</w:t>
            </w:r>
          </w:p>
          <w:p>
            <w:pPr>
              <w:pStyle w:val="null3"/>
              <w:jc w:val="both"/>
            </w:pPr>
            <w:r>
              <w:rPr>
                <w:rFonts w:ascii="仿宋_GB2312" w:hAnsi="仿宋_GB2312" w:cs="仿宋_GB2312" w:eastAsia="仿宋_GB2312"/>
                <w:sz w:val="21"/>
              </w:rPr>
              <w:t>（三）辅助设备</w:t>
            </w:r>
          </w:p>
          <w:p>
            <w:pPr>
              <w:pStyle w:val="null3"/>
              <w:jc w:val="both"/>
            </w:pPr>
            <w:r>
              <w:rPr>
                <w:rFonts w:ascii="仿宋_GB2312" w:hAnsi="仿宋_GB2312" w:cs="仿宋_GB2312" w:eastAsia="仿宋_GB2312"/>
                <w:sz w:val="21"/>
              </w:rPr>
              <w:t>1. 专用USB电缆：数量1套，专用定制，适配放大器数据传输，抗干扰性。USB≥2.0版本，专用USB电缆长度≥100cm，满足实验室常规使用需求。</w:t>
            </w:r>
          </w:p>
          <w:p>
            <w:pPr>
              <w:pStyle w:val="null3"/>
              <w:jc w:val="both"/>
            </w:pPr>
            <w:r>
              <w:rPr>
                <w:rFonts w:ascii="仿宋_GB2312" w:hAnsi="仿宋_GB2312" w:cs="仿宋_GB2312" w:eastAsia="仿宋_GB2312"/>
                <w:sz w:val="21"/>
              </w:rPr>
              <w:t>2.便携箱：数量：1个，材质：工程材料，内部有定制防震卡槽，可妥善放置放大器、电源模块、电极、电极帽等所有硬件设备。</w:t>
            </w:r>
          </w:p>
          <w:p>
            <w:pPr>
              <w:pStyle w:val="null3"/>
              <w:jc w:val="both"/>
            </w:pPr>
            <w:r>
              <w:rPr>
                <w:rFonts w:ascii="仿宋_GB2312" w:hAnsi="仿宋_GB2312" w:cs="仿宋_GB2312" w:eastAsia="仿宋_GB2312"/>
                <w:sz w:val="21"/>
              </w:rPr>
              <w:t>3. 专用软件配套设备：采集设备1套、分析设备1套，配置要求CPU≥Intel Core i7，内存≥16GB，硬盘≥512GB SSD，显卡支持2D/3D脑电地形图显示；刺激呈现设备3套，显示屏尺寸≥23寸、分辨率≥1920×1080，满足数据可视化需求。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二、数据采集分析系统参数：</w:t>
            </w:r>
          </w:p>
          <w:p>
            <w:pPr>
              <w:pStyle w:val="null3"/>
              <w:jc w:val="both"/>
            </w:pPr>
            <w:r>
              <w:rPr>
                <w:rFonts w:ascii="仿宋_GB2312" w:hAnsi="仿宋_GB2312" w:cs="仿宋_GB2312" w:eastAsia="仿宋_GB2312"/>
                <w:sz w:val="21"/>
              </w:rPr>
              <w:t>1.加密狗：支持加密狗方式登录，记录软件加密狗≥1个、刺激软件加密狗≥1个、分析软件加密狗≥1个；</w:t>
            </w:r>
          </w:p>
          <w:p>
            <w:pPr>
              <w:pStyle w:val="null3"/>
              <w:jc w:val="left"/>
            </w:pPr>
            <w:r>
              <w:rPr>
                <w:rFonts w:ascii="仿宋_GB2312" w:hAnsi="仿宋_GB2312" w:cs="仿宋_GB2312" w:eastAsia="仿宋_GB2312"/>
                <w:sz w:val="21"/>
              </w:rPr>
              <w:t>2.刺激软件：</w:t>
            </w:r>
          </w:p>
          <w:p>
            <w:pPr>
              <w:pStyle w:val="null3"/>
              <w:jc w:val="left"/>
            </w:pPr>
            <w:r>
              <w:rPr>
                <w:rFonts w:ascii="仿宋_GB2312" w:hAnsi="仿宋_GB2312" w:cs="仿宋_GB2312" w:eastAsia="仿宋_GB2312"/>
                <w:sz w:val="21"/>
              </w:rPr>
              <w:t>2.1 编辑与播放：支持图文、音视频等多类型素材编辑播放，实现多感官刺激，适配各类 EEG 实验范式；</w:t>
            </w:r>
          </w:p>
          <w:p>
            <w:pPr>
              <w:pStyle w:val="null3"/>
              <w:jc w:val="left"/>
            </w:pPr>
            <w:r>
              <w:rPr>
                <w:rFonts w:ascii="仿宋_GB2312" w:hAnsi="仿宋_GB2312" w:cs="仿宋_GB2312" w:eastAsia="仿宋_GB2312"/>
                <w:sz w:val="21"/>
              </w:rPr>
              <w:t>2.2 开放自由编程，可自定义实验流程、时长、顺序等参数；</w:t>
            </w:r>
          </w:p>
          <w:p>
            <w:pPr>
              <w:pStyle w:val="null3"/>
              <w:jc w:val="left"/>
            </w:pPr>
            <w:r>
              <w:rPr>
                <w:rFonts w:ascii="仿宋_GB2312" w:hAnsi="仿宋_GB2312" w:cs="仿宋_GB2312" w:eastAsia="仿宋_GB2312"/>
                <w:sz w:val="21"/>
              </w:rPr>
              <w:t>2.3 与采集硬件可同步触发，时间轴对齐，保障脑电数据分析准确，内置多款经典实验模板与范例,且支持二次开发；</w:t>
            </w:r>
          </w:p>
          <w:p>
            <w:pPr>
              <w:pStyle w:val="null3"/>
              <w:jc w:val="left"/>
            </w:pPr>
            <w:r>
              <w:rPr>
                <w:rFonts w:ascii="仿宋_GB2312" w:hAnsi="仿宋_GB2312" w:cs="仿宋_GB2312" w:eastAsia="仿宋_GB2312"/>
                <w:sz w:val="21"/>
              </w:rPr>
              <w:t>3.采集软件：</w:t>
            </w:r>
          </w:p>
          <w:p>
            <w:pPr>
              <w:pStyle w:val="null3"/>
              <w:jc w:val="left"/>
            </w:pPr>
            <w:r>
              <w:rPr>
                <w:rFonts w:ascii="仿宋_GB2312" w:hAnsi="仿宋_GB2312" w:cs="仿宋_GB2312" w:eastAsia="仿宋_GB2312"/>
                <w:sz w:val="21"/>
              </w:rPr>
              <w:t>3.1 独立采集模式，可单独完成64通道脑电采集；</w:t>
            </w:r>
          </w:p>
          <w:p>
            <w:pPr>
              <w:pStyle w:val="null3"/>
              <w:jc w:val="left"/>
            </w:pPr>
            <w:r>
              <w:rPr>
                <w:rFonts w:ascii="仿宋_GB2312" w:hAnsi="仿宋_GB2312" w:cs="仿宋_GB2312" w:eastAsia="仿宋_GB2312"/>
                <w:sz w:val="21"/>
              </w:rPr>
              <w:t>▲3.2 向导式操作界面，支持硬件参数调试，具备单通道独立滤波和信号噪声去除功能；</w:t>
            </w:r>
          </w:p>
          <w:p>
            <w:pPr>
              <w:pStyle w:val="null3"/>
              <w:jc w:val="left"/>
            </w:pPr>
            <w:r>
              <w:rPr>
                <w:rFonts w:ascii="仿宋_GB2312" w:hAnsi="仿宋_GB2312" w:cs="仿宋_GB2312" w:eastAsia="仿宋_GB2312"/>
                <w:sz w:val="21"/>
              </w:rPr>
              <w:t>▲3.3 实时监测脑电波形，支持在线分析功能，可实时观测实验数据，可以直接在软件中实时执行完整的诱发电位分析，支持同步存储原始、分段、平均等多类数据，且完整留存实验资料；</w:t>
            </w:r>
          </w:p>
          <w:p>
            <w:pPr>
              <w:pStyle w:val="null3"/>
              <w:jc w:val="left"/>
            </w:pPr>
            <w:r>
              <w:rPr>
                <w:rFonts w:ascii="仿宋_GB2312" w:hAnsi="仿宋_GB2312" w:cs="仿宋_GB2312" w:eastAsia="仿宋_GB2312"/>
                <w:sz w:val="21"/>
              </w:rPr>
              <w:t>4.分析软件：</w:t>
            </w:r>
          </w:p>
          <w:p>
            <w:pPr>
              <w:pStyle w:val="null3"/>
              <w:jc w:val="left"/>
            </w:pPr>
            <w:r>
              <w:rPr>
                <w:rFonts w:ascii="仿宋_GB2312" w:hAnsi="仿宋_GB2312" w:cs="仿宋_GB2312" w:eastAsia="仿宋_GB2312"/>
                <w:sz w:val="21"/>
              </w:rPr>
              <w:t>▲4.1 兼容脑电数据格式≥50种，适配文本、坐标、触发器等多类数据，可校正核磁、TMS环境干扰信号；</w:t>
            </w:r>
          </w:p>
          <w:p>
            <w:pPr>
              <w:pStyle w:val="null3"/>
              <w:jc w:val="left"/>
            </w:pPr>
            <w:r>
              <w:rPr>
                <w:rFonts w:ascii="仿宋_GB2312" w:hAnsi="仿宋_GB2312" w:cs="仿宋_GB2312" w:eastAsia="仿宋_GB2312"/>
                <w:sz w:val="21"/>
              </w:rPr>
              <w:t>▲4.2 可自动记录数据处理的每个操作，生成分析模板，支持数据批量处理和自动分析；</w:t>
            </w:r>
          </w:p>
          <w:p>
            <w:pPr>
              <w:pStyle w:val="null3"/>
              <w:jc w:val="left"/>
            </w:pPr>
            <w:r>
              <w:rPr>
                <w:rFonts w:ascii="仿宋_GB2312" w:hAnsi="仿宋_GB2312" w:cs="仿宋_GB2312" w:eastAsia="仿宋_GB2312"/>
                <w:sz w:val="21"/>
              </w:rPr>
              <w:t>4.3 集成眼动伪迹校正、ICA/PCA、二维脑电地形图、三维脑地形图、电流密度图谱（CSD）制作等功能；</w:t>
            </w:r>
          </w:p>
          <w:p>
            <w:pPr>
              <w:pStyle w:val="null3"/>
              <w:jc w:val="both"/>
            </w:pPr>
            <w:r>
              <w:rPr>
                <w:rFonts w:ascii="仿宋_GB2312" w:hAnsi="仿宋_GB2312" w:cs="仿宋_GB2312" w:eastAsia="仿宋_GB2312"/>
                <w:sz w:val="21"/>
              </w:rPr>
              <w:t>▲4.4 支持 2D/3D 脑电地形图可视化制图，内置 Loreta 算法，可实现脑电源定位分析。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接采购人通知后30个日历日完成供货、安装、调试并交付使用。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西安理工大学曲江校区教11楼（以采购人指定位置为准）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供应商按照合同规定期限内供货、调试完成，经采购人最终验收合格并签署《验收合格确认书》后，供应商开具全额合法有效的增值税专用发票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验收流程：①到货初检（采购人、供应商共同参与）：检查外包装完整性、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相关规定。③最终验收：签署《验收合格确认书》，产品保修期自最终验收合格之日起算，由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3年（自验收合格出具验收报告之日起算）。质保期内出现任何非人为故意损坏的质量问题，由供应商包换或包退，并承担调换或退货的全部费用。①质量标准：供应商的产品质量应当符合国家行业规定的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采购人报修后2小时内供应商必须响应，零小问题24小时内上门解决，其他问题48小时内解决，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及售后服务要求：①安装调试要求：安装标准：保证原厂最新设备并到货、安装；人员培训：配备2人以上培训人员，培训内容需包含仪器的技术原理、操作、数据处理、基本维护等内容，至采购方操作者能够完全掌握机器性能并能独立操作满意为止。②配套工程：基础施工包含安装设备所需实验场地的改造（需提前2日做好准备）。③质量保证：按采购人及招标文件要求，为采购人提供全新的货物（包括零部件），对提供的货物在质保期内，因产品质量而导致的缺陷，供应商须及时提供包修、包换、包退服务；超出质保期后，提供上门维修服务，仅收取成本费。④售后服务：响应时限：采购人报修后2小时内供应商必须响应，零小问题24小时内上门解决，其他问题48小时内解决；定期维护：质保期内每年安排上门产品巡检2次，并给操作人员示范仪器设备的日常维护和保养，让操作人员能够掌握日常的仪器设备维护和保养方法。</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政府采购电子化交易平台格式受限，招标文件“3.4.4支付约定”以下列内容为准：采购包1：一次性支付；供应商按照合同规定期限内供货、调试完成，经采购人最终验收合格并签署《验收合格确认书》后，供应商开具全额合法有效的增值税专用发票，达到付款条件起7个工作日内，支付合同总金额的100.00%。（2）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3）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供应商认为有必要补充说明的事项 投标函 中小企业声明函 供应商资格要求格式 标的清单 保证金缴纳凭证 投标文件封面 供应商承诺书 商务条款偏离表 近年业绩的有关证明材料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“★”项参数响应</w:t>
            </w:r>
          </w:p>
        </w:tc>
        <w:tc>
          <w:tcPr>
            <w:tcW w:type="dxa" w:w="3322"/>
          </w:tcPr>
          <w:p>
            <w:pPr>
              <w:pStyle w:val="null3"/>
            </w:pPr>
            <w:r>
              <w:rPr>
                <w:rFonts w:ascii="仿宋_GB2312" w:hAnsi="仿宋_GB2312" w:cs="仿宋_GB2312" w:eastAsia="仿宋_GB2312"/>
              </w:rPr>
              <w:t>对技术要求中“★”项参数响应不得负偏离，并提供佐证材料（佐证材料包括：国家认可的第三方检测机构出具的检测报告、技术白皮书、产品彩页、官网功能截图任意一种），参数负偏离或未提供证明材料，视为未响应。</w:t>
            </w:r>
          </w:p>
        </w:tc>
        <w:tc>
          <w:tcPr>
            <w:tcW w:type="dxa" w:w="1661"/>
          </w:tcPr>
          <w:p>
            <w:pPr>
              <w:pStyle w:val="null3"/>
            </w:pPr>
            <w:r>
              <w:rPr>
                <w:rFonts w:ascii="仿宋_GB2312" w:hAnsi="仿宋_GB2312" w:cs="仿宋_GB2312" w:eastAsia="仿宋_GB2312"/>
              </w:rPr>
              <w:t>产品技术参数表 投标方案说明书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根据投标人提供的产品技术参数表及相应的证明材料，经评审专家审定得分。“★”项为实质性要求，不满足视为未响应投标无效，不参与后续评分。 完全符合、响应招标文件要求，没有负偏离的得30分；“▲”参数（共10项）负偏离一项扣2分，非“▲”参数负偏离一项扣0.5分，扣完为止。 【备注：所有标注“▲”的参数均须提供佐证材料，佐证材料包括：国家认可的第三方检测机构出具的检测报告、技术白皮书、产品彩页、官网功能截图任意一种，经评审专家审定得分。未提供不得分。】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根据项目实际需求，提供完整详细的项目实施方案。内容包含①供货组织及进度安排②对接及运输方案③安装调试方案及人员、物力调配安排。 二、评审标准 1、完整性：方案须全面，对评审内容中的各项要求有详细描述； 2、可实施性：切合本项目实际情况，实施步骤清晰、合理； 3、针对性：方案能够紧扣项目实际情况，内容科学合理。 三、赋分依据（满分9分） ①供货组织及进度安排：每完全满足一个评审标准得1分，满分3分； ②对接及运输方案:每完全满足一个评审标准得1分，满分3分。 ③安装调试方案及人员、物力调配安排：每完全满足一个评审标准得1分，满分3分;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①产品性能：每完全满足一个评审标准得1分，满分3分； ②质量保证措施：每完全满足一个评审标准得1分，满分3分;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根据项目实际需求提供技术培训方案。内容包含①培训计划、时长及人员安排②培训内容及形式。 二、评审标准 1、完整性：方案须全面，对评审内容中的各项要求描述详细； 2、可实施性：切合本项目实际情况，实施步骤清晰、合理； 3、针对性：方案能够紧扣项目实际情况，内容科学合理。 三、赋分依据（满分6分） ①培训计划、时长及人员安排：每完全满足一个评审标准得1分，满分3分； ②培训内容及形式:每完全满足一个评审标准得1分，满分3分。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根据项目实际需求提供售后服务方案。内容包含①售后服务内容及响应时间、方式②售后保障（处理、补救）措施及售后回访维护。 二、评审标准 1、完整性：方案须全面，对评审内容中的各项要求描述详细； 2、可实施性：切合本项目实际情况，实施步骤清晰、合理； 3、针对性：方案能够紧扣项目实际情况，内容科学合理。 三、赋分依据（满分6分） ①售后服务内容及响应时间、方式：每完全满足一个评审标准得1分，满分3分； ②售后保障（处理、补救）措施及售后回访维护:每完全满足一个评审标准得1分，满分3分。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2、可实施性：切合本项目实际情况，实施步骤清晰、合理； 3、针对性：方案能够紧扣项目实际情况，内容科学合理。 三、赋分依据（满分6分） ①硬件、软件更新服务：每完全满足一个评审标准得1分，满分3分； ②配件更换服务及其他服务:每完全满足一个评审标准得1分，满分3分。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质保期高于采购文件要求（3年）的，每增加一年得1分，最高得2分。无承诺不得分。 【提供承诺书并加盖公章】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2、有效最低报价为基准价得30分。 3、按（评标基准价/评审价格）×30的公式计算报价得分。 4、投标报价不完整的，不进入评标基准价的计算，本项得0分。备注：①本项目专门面向中小企业采购，不再进行政策性扣减。②本项目不允许进口产品进行投标，全部为国产产品，不再进行价格折扣。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