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B8DDE5">
      <w:pPr>
        <w:pStyle w:val="4"/>
        <w:jc w:val="center"/>
        <w:outlineLvl w:val="1"/>
      </w:pPr>
      <w:r>
        <w:rPr>
          <w:rFonts w:ascii="仿宋_GB2312" w:hAnsi="仿宋_GB2312" w:eastAsia="仿宋_GB2312" w:cs="仿宋_GB2312"/>
          <w:b/>
          <w:sz w:val="36"/>
        </w:rPr>
        <w:t>第三章 磋商项目技术、服务、商务及其他要求</w:t>
      </w:r>
    </w:p>
    <w:p w14:paraId="6C045BE4">
      <w:pPr>
        <w:pStyle w:val="4"/>
        <w:ind w:firstLine="480"/>
        <w:jc w:val="left"/>
      </w:pPr>
      <w:r>
        <w:rPr>
          <w:rFonts w:ascii="仿宋_GB2312" w:hAnsi="仿宋_GB2312" w:eastAsia="仿宋_GB2312" w:cs="仿宋_GB2312"/>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117B530">
      <w:pPr>
        <w:pStyle w:val="4"/>
        <w:jc w:val="left"/>
        <w:outlineLvl w:val="2"/>
      </w:pPr>
      <w:r>
        <w:rPr>
          <w:rFonts w:ascii="仿宋_GB2312" w:hAnsi="仿宋_GB2312" w:eastAsia="仿宋_GB2312" w:cs="仿宋_GB2312"/>
          <w:b/>
          <w:sz w:val="28"/>
        </w:rPr>
        <w:t>3.1采购项目概况</w:t>
      </w:r>
    </w:p>
    <w:p w14:paraId="3A76CD3D">
      <w:pPr>
        <w:pStyle w:val="4"/>
        <w:ind w:firstLine="480"/>
        <w:jc w:val="left"/>
      </w:pPr>
      <w:r>
        <w:rPr>
          <w:rFonts w:ascii="仿宋_GB2312" w:hAnsi="仿宋_GB2312" w:eastAsia="仿宋_GB2312" w:cs="仿宋_GB2312"/>
        </w:rPr>
        <w:t>依据《中共陕西省委陕西省人民政府关于学习运用“千村示范、万村整治”工程经验有力有效推进乡村全面振兴的实施意见》（2024年）、《中共陕西省委陕西省人民政府关于进一步深化农村改革扎实推进乡村全面振兴的实施意见》（2025年）等文件要求，为切实解决农村分户成家、住房改善、等引发的村民新增宅基地诉求，按需有序推进“多规合一”实用性村庄规划编制，计划开展秦渡街道北沙河寨村、南谷子硙村、王渭村、新阳村4个村庄规划编制工作。</w:t>
      </w:r>
    </w:p>
    <w:p w14:paraId="3FD281E6">
      <w:pPr>
        <w:pStyle w:val="4"/>
        <w:jc w:val="left"/>
        <w:outlineLvl w:val="2"/>
      </w:pPr>
      <w:r>
        <w:rPr>
          <w:rFonts w:ascii="仿宋_GB2312" w:hAnsi="仿宋_GB2312" w:eastAsia="仿宋_GB2312" w:cs="仿宋_GB2312"/>
          <w:b/>
          <w:sz w:val="28"/>
        </w:rPr>
        <w:t>3.2服务内容及服务要求</w:t>
      </w:r>
    </w:p>
    <w:p w14:paraId="252B6B28">
      <w:pPr>
        <w:pStyle w:val="4"/>
        <w:jc w:val="left"/>
        <w:outlineLvl w:val="3"/>
      </w:pPr>
      <w:r>
        <w:rPr>
          <w:rFonts w:ascii="仿宋_GB2312" w:hAnsi="仿宋_GB2312" w:eastAsia="仿宋_GB2312" w:cs="仿宋_GB2312"/>
          <w:b/>
          <w:sz w:val="24"/>
        </w:rPr>
        <w:t>3.2.1服务内容</w:t>
      </w:r>
    </w:p>
    <w:p w14:paraId="3A61733C">
      <w:pPr>
        <w:pStyle w:val="4"/>
        <w:ind w:firstLine="480"/>
        <w:jc w:val="left"/>
      </w:pPr>
      <w:r>
        <w:rPr>
          <w:rFonts w:ascii="仿宋_GB2312" w:hAnsi="仿宋_GB2312" w:eastAsia="仿宋_GB2312" w:cs="仿宋_GB2312"/>
        </w:rPr>
        <w:t>采购包1：</w:t>
      </w:r>
    </w:p>
    <w:p w14:paraId="02A82B2A">
      <w:pPr>
        <w:pStyle w:val="4"/>
        <w:jc w:val="left"/>
      </w:pPr>
      <w:r>
        <w:rPr>
          <w:rFonts w:ascii="仿宋_GB2312" w:hAnsi="仿宋_GB2312" w:eastAsia="仿宋_GB2312" w:cs="仿宋_GB2312"/>
        </w:rPr>
        <w:t>采购包预算金额（元）: 400,000.00</w:t>
      </w:r>
    </w:p>
    <w:p w14:paraId="3B5FB91A">
      <w:pPr>
        <w:pStyle w:val="4"/>
        <w:jc w:val="left"/>
      </w:pPr>
      <w:r>
        <w:rPr>
          <w:rFonts w:ascii="仿宋_GB2312" w:hAnsi="仿宋_GB2312" w:eastAsia="仿宋_GB2312" w:cs="仿宋_GB2312"/>
        </w:rPr>
        <w:t>采购包最高限价（元）: 400,000.00</w:t>
      </w:r>
    </w:p>
    <w:p w14:paraId="40A4C6D6">
      <w:pPr>
        <w:pStyle w:val="4"/>
        <w:jc w:val="left"/>
      </w:pPr>
      <w:r>
        <w:rPr>
          <w:rFonts w:ascii="仿宋_GB2312" w:hAnsi="仿宋_GB2312" w:eastAsia="仿宋_GB2312" w:cs="仿宋_GB2312"/>
        </w:rPr>
        <w:t>供应商报价不允许超过标的金额</w:t>
      </w:r>
    </w:p>
    <w:p w14:paraId="028B40DA">
      <w:pPr>
        <w:pStyle w:val="4"/>
        <w:jc w:val="left"/>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41CF30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1732017">
            <w:pPr>
              <w:pStyle w:val="4"/>
              <w:jc w:val="left"/>
            </w:pPr>
            <w:r>
              <w:rPr>
                <w:rFonts w:ascii="仿宋_GB2312" w:hAnsi="仿宋_GB2312" w:eastAsia="仿宋_GB2312" w:cs="仿宋_GB2312"/>
              </w:rPr>
              <w:t>序号</w:t>
            </w:r>
          </w:p>
        </w:tc>
        <w:tc>
          <w:tcPr>
            <w:tcW w:w="755" w:type="dxa"/>
          </w:tcPr>
          <w:p w14:paraId="46C2BBB5">
            <w:pPr>
              <w:pStyle w:val="4"/>
              <w:jc w:val="left"/>
            </w:pPr>
            <w:r>
              <w:rPr>
                <w:rFonts w:ascii="仿宋_GB2312" w:hAnsi="仿宋_GB2312" w:eastAsia="仿宋_GB2312" w:cs="仿宋_GB2312"/>
              </w:rPr>
              <w:t>标的名称</w:t>
            </w:r>
          </w:p>
        </w:tc>
        <w:tc>
          <w:tcPr>
            <w:tcW w:w="755" w:type="dxa"/>
          </w:tcPr>
          <w:p w14:paraId="73C1E326">
            <w:pPr>
              <w:pStyle w:val="4"/>
              <w:jc w:val="left"/>
            </w:pPr>
            <w:r>
              <w:rPr>
                <w:rFonts w:ascii="仿宋_GB2312" w:hAnsi="仿宋_GB2312" w:eastAsia="仿宋_GB2312" w:cs="仿宋_GB2312"/>
              </w:rPr>
              <w:t>数量</w:t>
            </w:r>
          </w:p>
        </w:tc>
        <w:tc>
          <w:tcPr>
            <w:tcW w:w="755" w:type="dxa"/>
          </w:tcPr>
          <w:p w14:paraId="60C5DA29">
            <w:pPr>
              <w:pStyle w:val="4"/>
              <w:jc w:val="left"/>
            </w:pPr>
            <w:r>
              <w:rPr>
                <w:rFonts w:ascii="仿宋_GB2312" w:hAnsi="仿宋_GB2312" w:eastAsia="仿宋_GB2312" w:cs="仿宋_GB2312"/>
              </w:rPr>
              <w:t>标的金额 （元）</w:t>
            </w:r>
          </w:p>
        </w:tc>
        <w:tc>
          <w:tcPr>
            <w:tcW w:w="755" w:type="dxa"/>
          </w:tcPr>
          <w:p w14:paraId="02766329">
            <w:pPr>
              <w:pStyle w:val="4"/>
              <w:jc w:val="left"/>
            </w:pPr>
            <w:r>
              <w:rPr>
                <w:rFonts w:ascii="仿宋_GB2312" w:hAnsi="仿宋_GB2312" w:eastAsia="仿宋_GB2312" w:cs="仿宋_GB2312"/>
              </w:rPr>
              <w:t>计量单位</w:t>
            </w:r>
          </w:p>
        </w:tc>
        <w:tc>
          <w:tcPr>
            <w:tcW w:w="755" w:type="dxa"/>
          </w:tcPr>
          <w:p w14:paraId="1E81DEC2">
            <w:pPr>
              <w:pStyle w:val="4"/>
              <w:jc w:val="left"/>
            </w:pPr>
            <w:r>
              <w:rPr>
                <w:rFonts w:ascii="仿宋_GB2312" w:hAnsi="仿宋_GB2312" w:eastAsia="仿宋_GB2312" w:cs="仿宋_GB2312"/>
              </w:rPr>
              <w:t>所属行业</w:t>
            </w:r>
          </w:p>
        </w:tc>
        <w:tc>
          <w:tcPr>
            <w:tcW w:w="755" w:type="dxa"/>
          </w:tcPr>
          <w:p w14:paraId="48C32815">
            <w:pPr>
              <w:pStyle w:val="4"/>
              <w:jc w:val="left"/>
            </w:pPr>
            <w:r>
              <w:rPr>
                <w:rFonts w:ascii="仿宋_GB2312" w:hAnsi="仿宋_GB2312" w:eastAsia="仿宋_GB2312" w:cs="仿宋_GB2312"/>
              </w:rPr>
              <w:t>是否核心产品</w:t>
            </w:r>
          </w:p>
        </w:tc>
        <w:tc>
          <w:tcPr>
            <w:tcW w:w="755" w:type="dxa"/>
          </w:tcPr>
          <w:p w14:paraId="34746505">
            <w:pPr>
              <w:pStyle w:val="4"/>
              <w:jc w:val="left"/>
            </w:pPr>
            <w:r>
              <w:rPr>
                <w:rFonts w:ascii="仿宋_GB2312" w:hAnsi="仿宋_GB2312" w:eastAsia="仿宋_GB2312" w:cs="仿宋_GB2312"/>
              </w:rPr>
              <w:t>是否允许进口产品</w:t>
            </w:r>
          </w:p>
        </w:tc>
        <w:tc>
          <w:tcPr>
            <w:tcW w:w="755" w:type="dxa"/>
          </w:tcPr>
          <w:p w14:paraId="5EC91017">
            <w:pPr>
              <w:pStyle w:val="4"/>
              <w:jc w:val="left"/>
            </w:pPr>
            <w:r>
              <w:rPr>
                <w:rFonts w:ascii="仿宋_GB2312" w:hAnsi="仿宋_GB2312" w:eastAsia="仿宋_GB2312" w:cs="仿宋_GB2312"/>
              </w:rPr>
              <w:t>是否属于节能产品</w:t>
            </w:r>
          </w:p>
        </w:tc>
        <w:tc>
          <w:tcPr>
            <w:tcW w:w="755" w:type="dxa"/>
          </w:tcPr>
          <w:p w14:paraId="19AFD970">
            <w:pPr>
              <w:pStyle w:val="4"/>
              <w:jc w:val="left"/>
            </w:pPr>
            <w:r>
              <w:rPr>
                <w:rFonts w:ascii="仿宋_GB2312" w:hAnsi="仿宋_GB2312" w:eastAsia="仿宋_GB2312" w:cs="仿宋_GB2312"/>
              </w:rPr>
              <w:t>是否属于环境标志产品</w:t>
            </w:r>
          </w:p>
        </w:tc>
        <w:tc>
          <w:tcPr>
            <w:tcW w:w="755" w:type="dxa"/>
          </w:tcPr>
          <w:p w14:paraId="11BB8C02">
            <w:pPr>
              <w:pStyle w:val="4"/>
              <w:jc w:val="left"/>
            </w:pPr>
            <w:r>
              <w:rPr>
                <w:rFonts w:ascii="仿宋_GB2312" w:hAnsi="仿宋_GB2312" w:eastAsia="仿宋_GB2312" w:cs="仿宋_GB2312"/>
              </w:rPr>
              <w:t>是否实施本国产品政策</w:t>
            </w:r>
          </w:p>
        </w:tc>
      </w:tr>
      <w:tr w14:paraId="39E399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AC07A06">
            <w:pPr>
              <w:pStyle w:val="4"/>
              <w:jc w:val="left"/>
            </w:pPr>
            <w:r>
              <w:rPr>
                <w:rFonts w:ascii="仿宋_GB2312" w:hAnsi="仿宋_GB2312" w:eastAsia="仿宋_GB2312" w:cs="仿宋_GB2312"/>
              </w:rPr>
              <w:t>1</w:t>
            </w:r>
          </w:p>
        </w:tc>
        <w:tc>
          <w:tcPr>
            <w:tcW w:w="755" w:type="dxa"/>
          </w:tcPr>
          <w:p w14:paraId="36263D60">
            <w:pPr>
              <w:pStyle w:val="4"/>
              <w:jc w:val="left"/>
            </w:pPr>
            <w:r>
              <w:rPr>
                <w:rFonts w:ascii="仿宋_GB2312" w:hAnsi="仿宋_GB2312" w:eastAsia="仿宋_GB2312" w:cs="仿宋_GB2312"/>
              </w:rPr>
              <w:t>秦渡街道村庄实用性规划编制项目</w:t>
            </w:r>
          </w:p>
        </w:tc>
        <w:tc>
          <w:tcPr>
            <w:tcW w:w="755" w:type="dxa"/>
          </w:tcPr>
          <w:p w14:paraId="3E6928F3">
            <w:pPr>
              <w:pStyle w:val="4"/>
              <w:jc w:val="right"/>
            </w:pPr>
            <w:r>
              <w:rPr>
                <w:rFonts w:ascii="仿宋_GB2312" w:hAnsi="仿宋_GB2312" w:eastAsia="仿宋_GB2312" w:cs="仿宋_GB2312"/>
              </w:rPr>
              <w:t>1.00</w:t>
            </w:r>
          </w:p>
        </w:tc>
        <w:tc>
          <w:tcPr>
            <w:tcW w:w="755" w:type="dxa"/>
          </w:tcPr>
          <w:p w14:paraId="404A684C">
            <w:pPr>
              <w:pStyle w:val="4"/>
              <w:jc w:val="right"/>
            </w:pPr>
            <w:r>
              <w:rPr>
                <w:rFonts w:ascii="仿宋_GB2312" w:hAnsi="仿宋_GB2312" w:eastAsia="仿宋_GB2312" w:cs="仿宋_GB2312"/>
              </w:rPr>
              <w:t>400,000.00</w:t>
            </w:r>
          </w:p>
        </w:tc>
        <w:tc>
          <w:tcPr>
            <w:tcW w:w="755" w:type="dxa"/>
          </w:tcPr>
          <w:p w14:paraId="2B59D574">
            <w:pPr>
              <w:pStyle w:val="4"/>
              <w:jc w:val="left"/>
            </w:pPr>
            <w:r>
              <w:rPr>
                <w:rFonts w:ascii="仿宋_GB2312" w:hAnsi="仿宋_GB2312" w:eastAsia="仿宋_GB2312" w:cs="仿宋_GB2312"/>
              </w:rPr>
              <w:t>项</w:t>
            </w:r>
          </w:p>
        </w:tc>
        <w:tc>
          <w:tcPr>
            <w:tcW w:w="755" w:type="dxa"/>
          </w:tcPr>
          <w:p w14:paraId="22DDEF6D">
            <w:pPr>
              <w:pStyle w:val="4"/>
              <w:jc w:val="left"/>
            </w:pPr>
            <w:r>
              <w:rPr>
                <w:rFonts w:ascii="仿宋_GB2312" w:hAnsi="仿宋_GB2312" w:eastAsia="仿宋_GB2312" w:cs="仿宋_GB2312"/>
              </w:rPr>
              <w:t>其他未列明行业</w:t>
            </w:r>
          </w:p>
        </w:tc>
        <w:tc>
          <w:tcPr>
            <w:tcW w:w="755" w:type="dxa"/>
          </w:tcPr>
          <w:p w14:paraId="46E0D6FB">
            <w:pPr>
              <w:pStyle w:val="4"/>
              <w:jc w:val="left"/>
            </w:pPr>
            <w:r>
              <w:rPr>
                <w:rFonts w:ascii="仿宋_GB2312" w:hAnsi="仿宋_GB2312" w:eastAsia="仿宋_GB2312" w:cs="仿宋_GB2312"/>
              </w:rPr>
              <w:t>否</w:t>
            </w:r>
          </w:p>
        </w:tc>
        <w:tc>
          <w:tcPr>
            <w:tcW w:w="755" w:type="dxa"/>
          </w:tcPr>
          <w:p w14:paraId="381CF481">
            <w:pPr>
              <w:pStyle w:val="4"/>
              <w:jc w:val="left"/>
            </w:pPr>
            <w:r>
              <w:rPr>
                <w:rFonts w:ascii="仿宋_GB2312" w:hAnsi="仿宋_GB2312" w:eastAsia="仿宋_GB2312" w:cs="仿宋_GB2312"/>
              </w:rPr>
              <w:t>否</w:t>
            </w:r>
          </w:p>
        </w:tc>
        <w:tc>
          <w:tcPr>
            <w:tcW w:w="755" w:type="dxa"/>
          </w:tcPr>
          <w:p w14:paraId="1D10503E">
            <w:pPr>
              <w:pStyle w:val="4"/>
              <w:jc w:val="left"/>
            </w:pPr>
            <w:r>
              <w:rPr>
                <w:rFonts w:ascii="仿宋_GB2312" w:hAnsi="仿宋_GB2312" w:eastAsia="仿宋_GB2312" w:cs="仿宋_GB2312"/>
              </w:rPr>
              <w:t>否</w:t>
            </w:r>
          </w:p>
        </w:tc>
        <w:tc>
          <w:tcPr>
            <w:tcW w:w="755" w:type="dxa"/>
          </w:tcPr>
          <w:p w14:paraId="4CD82D57">
            <w:pPr>
              <w:pStyle w:val="4"/>
              <w:jc w:val="left"/>
            </w:pPr>
            <w:r>
              <w:rPr>
                <w:rFonts w:ascii="仿宋_GB2312" w:hAnsi="仿宋_GB2312" w:eastAsia="仿宋_GB2312" w:cs="仿宋_GB2312"/>
              </w:rPr>
              <w:t>否</w:t>
            </w:r>
          </w:p>
        </w:tc>
        <w:tc>
          <w:tcPr>
            <w:tcW w:w="755" w:type="dxa"/>
          </w:tcPr>
          <w:p w14:paraId="30E4F3E9">
            <w:pPr>
              <w:pStyle w:val="4"/>
              <w:jc w:val="left"/>
            </w:pPr>
            <w:r>
              <w:rPr>
                <w:rFonts w:ascii="仿宋_GB2312" w:hAnsi="仿宋_GB2312" w:eastAsia="仿宋_GB2312" w:cs="仿宋_GB2312"/>
              </w:rPr>
              <w:t>否</w:t>
            </w:r>
          </w:p>
        </w:tc>
      </w:tr>
    </w:tbl>
    <w:p w14:paraId="1EF237F5">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1661"/>
        <w:gridCol w:w="1661"/>
      </w:tblGrid>
      <w:tr w14:paraId="17CF3A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5960F3">
            <w:pPr>
              <w:pStyle w:val="4"/>
              <w:jc w:val="center"/>
            </w:pPr>
            <w:r>
              <w:rPr>
                <w:rFonts w:ascii="仿宋_GB2312" w:hAnsi="仿宋_GB2312" w:eastAsia="仿宋_GB2312" w:cs="仿宋_GB2312"/>
              </w:rPr>
              <w:t>序号</w:t>
            </w:r>
          </w:p>
        </w:tc>
        <w:tc>
          <w:tcPr>
            <w:tcW w:w="1661" w:type="dxa"/>
          </w:tcPr>
          <w:p w14:paraId="7A5C5619">
            <w:pPr>
              <w:pStyle w:val="4"/>
              <w:jc w:val="center"/>
            </w:pPr>
            <w:r>
              <w:rPr>
                <w:rFonts w:ascii="仿宋_GB2312" w:hAnsi="仿宋_GB2312" w:eastAsia="仿宋_GB2312" w:cs="仿宋_GB2312"/>
              </w:rPr>
              <w:t>采购品目名称</w:t>
            </w:r>
          </w:p>
        </w:tc>
        <w:tc>
          <w:tcPr>
            <w:tcW w:w="2492" w:type="dxa"/>
          </w:tcPr>
          <w:p w14:paraId="180C63E1">
            <w:pPr>
              <w:pStyle w:val="4"/>
              <w:jc w:val="center"/>
            </w:pPr>
            <w:r>
              <w:rPr>
                <w:rFonts w:ascii="仿宋_GB2312" w:hAnsi="仿宋_GB2312" w:eastAsia="仿宋_GB2312" w:cs="仿宋_GB2312"/>
              </w:rPr>
              <w:t>标的名称</w:t>
            </w:r>
          </w:p>
        </w:tc>
        <w:tc>
          <w:tcPr>
            <w:tcW w:w="1661" w:type="dxa"/>
          </w:tcPr>
          <w:p w14:paraId="15897892">
            <w:pPr>
              <w:pStyle w:val="4"/>
              <w:jc w:val="center"/>
            </w:pPr>
            <w:r>
              <w:rPr>
                <w:rFonts w:ascii="仿宋_GB2312" w:hAnsi="仿宋_GB2312" w:eastAsia="仿宋_GB2312" w:cs="仿宋_GB2312"/>
              </w:rPr>
              <w:t>产品名称</w:t>
            </w:r>
          </w:p>
        </w:tc>
        <w:tc>
          <w:tcPr>
            <w:tcW w:w="1661" w:type="dxa"/>
          </w:tcPr>
          <w:p w14:paraId="78E642C7">
            <w:pPr>
              <w:pStyle w:val="4"/>
              <w:jc w:val="center"/>
            </w:pPr>
            <w:r>
              <w:rPr>
                <w:rFonts w:ascii="仿宋_GB2312" w:hAnsi="仿宋_GB2312" w:eastAsia="仿宋_GB2312" w:cs="仿宋_GB2312"/>
              </w:rPr>
              <w:t>本国产品建议成本占比（%）</w:t>
            </w:r>
          </w:p>
        </w:tc>
      </w:tr>
      <w:tr w14:paraId="41032B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5"/>
          </w:tcPr>
          <w:p w14:paraId="25BEB61B">
            <w:pPr>
              <w:pStyle w:val="4"/>
              <w:jc w:val="center"/>
            </w:pPr>
            <w:r>
              <w:rPr>
                <w:rFonts w:ascii="仿宋_GB2312" w:hAnsi="仿宋_GB2312" w:eastAsia="仿宋_GB2312" w:cs="仿宋_GB2312"/>
              </w:rPr>
              <w:t>不涉及</w:t>
            </w:r>
          </w:p>
        </w:tc>
      </w:tr>
    </w:tbl>
    <w:p w14:paraId="4EBE1CFF">
      <w:pPr>
        <w:pStyle w:val="4"/>
        <w:ind w:firstLine="480"/>
        <w:jc w:val="left"/>
      </w:pPr>
      <w:r>
        <w:rPr>
          <w:rFonts w:ascii="仿宋_GB2312" w:hAnsi="仿宋_GB2312" w:eastAsia="仿宋_GB2312" w:cs="仿宋_GB2312"/>
        </w:rPr>
        <w:t>采购包1：</w:t>
      </w:r>
    </w:p>
    <w:p w14:paraId="52E6066C">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384"/>
        <w:gridCol w:w="1384"/>
        <w:gridCol w:w="1038"/>
      </w:tblGrid>
      <w:tr w14:paraId="2BF3BA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46" w:type="dxa"/>
          </w:tcPr>
          <w:p w14:paraId="6DFB3D24">
            <w:pPr>
              <w:pStyle w:val="4"/>
              <w:jc w:val="left"/>
            </w:pPr>
            <w:r>
              <w:rPr>
                <w:rFonts w:ascii="仿宋_GB2312" w:hAnsi="仿宋_GB2312" w:eastAsia="仿宋_GB2312" w:cs="仿宋_GB2312"/>
              </w:rPr>
              <w:t>序号</w:t>
            </w:r>
          </w:p>
        </w:tc>
        <w:tc>
          <w:tcPr>
            <w:tcW w:w="3046" w:type="dxa"/>
          </w:tcPr>
          <w:p w14:paraId="576EEF00">
            <w:pPr>
              <w:pStyle w:val="4"/>
              <w:jc w:val="left"/>
            </w:pPr>
            <w:r>
              <w:rPr>
                <w:rFonts w:ascii="仿宋_GB2312" w:hAnsi="仿宋_GB2312" w:eastAsia="仿宋_GB2312" w:cs="仿宋_GB2312"/>
              </w:rPr>
              <w:t>报价内容</w:t>
            </w:r>
          </w:p>
        </w:tc>
        <w:tc>
          <w:tcPr>
            <w:tcW w:w="554" w:type="dxa"/>
          </w:tcPr>
          <w:p w14:paraId="0B83DB91">
            <w:pPr>
              <w:pStyle w:val="4"/>
              <w:jc w:val="left"/>
            </w:pPr>
            <w:r>
              <w:rPr>
                <w:rFonts w:ascii="仿宋_GB2312" w:hAnsi="仿宋_GB2312" w:eastAsia="仿宋_GB2312" w:cs="仿宋_GB2312"/>
              </w:rPr>
              <w:t>计量单位</w:t>
            </w:r>
          </w:p>
        </w:tc>
        <w:tc>
          <w:tcPr>
            <w:tcW w:w="554" w:type="dxa"/>
          </w:tcPr>
          <w:p w14:paraId="2CEF9B30">
            <w:pPr>
              <w:pStyle w:val="4"/>
              <w:jc w:val="left"/>
            </w:pPr>
            <w:r>
              <w:rPr>
                <w:rFonts w:ascii="仿宋_GB2312" w:hAnsi="仿宋_GB2312" w:eastAsia="仿宋_GB2312" w:cs="仿宋_GB2312"/>
              </w:rPr>
              <w:t>报价单位</w:t>
            </w:r>
          </w:p>
        </w:tc>
        <w:tc>
          <w:tcPr>
            <w:tcW w:w="1384" w:type="dxa"/>
          </w:tcPr>
          <w:p w14:paraId="3C171406">
            <w:pPr>
              <w:pStyle w:val="4"/>
              <w:jc w:val="left"/>
            </w:pPr>
            <w:r>
              <w:rPr>
                <w:rFonts w:ascii="仿宋_GB2312" w:hAnsi="仿宋_GB2312" w:eastAsia="仿宋_GB2312" w:cs="仿宋_GB2312"/>
              </w:rPr>
              <w:t>最高限价</w:t>
            </w:r>
          </w:p>
        </w:tc>
        <w:tc>
          <w:tcPr>
            <w:tcW w:w="1384" w:type="dxa"/>
          </w:tcPr>
          <w:p w14:paraId="7A479BB9">
            <w:pPr>
              <w:pStyle w:val="4"/>
              <w:jc w:val="left"/>
            </w:pPr>
            <w:r>
              <w:rPr>
                <w:rFonts w:ascii="仿宋_GB2312" w:hAnsi="仿宋_GB2312" w:eastAsia="仿宋_GB2312" w:cs="仿宋_GB2312"/>
              </w:rPr>
              <w:t>价款形式</w:t>
            </w:r>
          </w:p>
        </w:tc>
        <w:tc>
          <w:tcPr>
            <w:tcW w:w="1038" w:type="dxa"/>
          </w:tcPr>
          <w:p w14:paraId="6A531007">
            <w:pPr>
              <w:pStyle w:val="4"/>
              <w:jc w:val="left"/>
            </w:pPr>
            <w:r>
              <w:rPr>
                <w:rFonts w:ascii="仿宋_GB2312" w:hAnsi="仿宋_GB2312" w:eastAsia="仿宋_GB2312" w:cs="仿宋_GB2312"/>
              </w:rPr>
              <w:t>报价说明</w:t>
            </w:r>
          </w:p>
        </w:tc>
      </w:tr>
      <w:tr w14:paraId="10F13E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23AEADAF">
            <w:pPr>
              <w:pStyle w:val="4"/>
              <w:jc w:val="left"/>
            </w:pPr>
            <w:r>
              <w:rPr>
                <w:rFonts w:ascii="仿宋_GB2312" w:hAnsi="仿宋_GB2312" w:eastAsia="仿宋_GB2312" w:cs="仿宋_GB2312"/>
              </w:rPr>
              <w:t>1</w:t>
            </w:r>
          </w:p>
        </w:tc>
        <w:tc>
          <w:tcPr>
            <w:tcW w:w="3046" w:type="dxa"/>
          </w:tcPr>
          <w:p w14:paraId="53D8AE17">
            <w:pPr>
              <w:pStyle w:val="4"/>
              <w:jc w:val="left"/>
            </w:pPr>
            <w:r>
              <w:rPr>
                <w:rFonts w:ascii="仿宋_GB2312" w:hAnsi="仿宋_GB2312" w:eastAsia="仿宋_GB2312" w:cs="仿宋_GB2312"/>
              </w:rPr>
              <w:t>秦渡街道村庄实用性规划编制项目</w:t>
            </w:r>
          </w:p>
        </w:tc>
        <w:tc>
          <w:tcPr>
            <w:tcW w:w="554" w:type="dxa"/>
          </w:tcPr>
          <w:p w14:paraId="394C48BC">
            <w:pPr>
              <w:pStyle w:val="4"/>
              <w:jc w:val="left"/>
            </w:pPr>
            <w:r>
              <w:rPr>
                <w:rFonts w:ascii="仿宋_GB2312" w:hAnsi="仿宋_GB2312" w:eastAsia="仿宋_GB2312" w:cs="仿宋_GB2312"/>
              </w:rPr>
              <w:t>项</w:t>
            </w:r>
          </w:p>
        </w:tc>
        <w:tc>
          <w:tcPr>
            <w:tcW w:w="554" w:type="dxa"/>
          </w:tcPr>
          <w:p w14:paraId="1FD96820">
            <w:pPr>
              <w:pStyle w:val="4"/>
              <w:jc w:val="left"/>
            </w:pPr>
            <w:r>
              <w:rPr>
                <w:rFonts w:ascii="仿宋_GB2312" w:hAnsi="仿宋_GB2312" w:eastAsia="仿宋_GB2312" w:cs="仿宋_GB2312"/>
              </w:rPr>
              <w:t>元</w:t>
            </w:r>
          </w:p>
        </w:tc>
        <w:tc>
          <w:tcPr>
            <w:tcW w:w="1384" w:type="dxa"/>
          </w:tcPr>
          <w:p w14:paraId="6923FA8D">
            <w:pPr>
              <w:pStyle w:val="4"/>
              <w:jc w:val="right"/>
            </w:pPr>
            <w:r>
              <w:rPr>
                <w:rFonts w:ascii="仿宋_GB2312" w:hAnsi="仿宋_GB2312" w:eastAsia="仿宋_GB2312" w:cs="仿宋_GB2312"/>
              </w:rPr>
              <w:t>400,000.00</w:t>
            </w:r>
          </w:p>
        </w:tc>
        <w:tc>
          <w:tcPr>
            <w:tcW w:w="1384" w:type="dxa"/>
          </w:tcPr>
          <w:p w14:paraId="2D8A6362">
            <w:pPr>
              <w:pStyle w:val="4"/>
              <w:jc w:val="left"/>
            </w:pPr>
            <w:r>
              <w:rPr>
                <w:rFonts w:ascii="仿宋_GB2312" w:hAnsi="仿宋_GB2312" w:eastAsia="仿宋_GB2312" w:cs="仿宋_GB2312"/>
              </w:rPr>
              <w:t>总价</w:t>
            </w:r>
          </w:p>
        </w:tc>
        <w:tc>
          <w:tcPr>
            <w:tcW w:w="1038" w:type="dxa"/>
          </w:tcPr>
          <w:p w14:paraId="584D4CEB">
            <w:pPr>
              <w:pStyle w:val="4"/>
              <w:jc w:val="left"/>
            </w:pPr>
            <w:r>
              <w:rPr>
                <w:rFonts w:ascii="仿宋_GB2312" w:hAnsi="仿宋_GB2312" w:eastAsia="仿宋_GB2312" w:cs="仿宋_GB2312"/>
              </w:rPr>
              <w:t>无</w:t>
            </w:r>
          </w:p>
        </w:tc>
      </w:tr>
    </w:tbl>
    <w:p w14:paraId="40B7E33B">
      <w:pPr>
        <w:pStyle w:val="4"/>
        <w:jc w:val="left"/>
      </w:pPr>
      <w:r>
        <w:rPr>
          <w:rFonts w:ascii="仿宋_GB2312" w:hAnsi="仿宋_GB2312" w:eastAsia="仿宋_GB2312" w:cs="仿宋_GB2312"/>
        </w:rPr>
        <w:t>（2）报价明细要求：</w:t>
      </w:r>
    </w:p>
    <w:p w14:paraId="55C97FD9">
      <w:pPr>
        <w:pStyle w:val="4"/>
        <w:jc w:val="left"/>
      </w:pPr>
      <w:r>
        <w:rPr>
          <w:rFonts w:ascii="仿宋_GB2312" w:hAnsi="仿宋_GB2312" w:eastAsia="仿宋_GB2312" w:cs="仿宋_GB2312"/>
        </w:rPr>
        <w:t>秦渡街道村庄实用性规划编制项目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14"/>
        <w:gridCol w:w="2014"/>
        <w:gridCol w:w="416"/>
        <w:gridCol w:w="416"/>
        <w:gridCol w:w="1216"/>
        <w:gridCol w:w="815"/>
        <w:gridCol w:w="1215"/>
      </w:tblGrid>
      <w:tr w14:paraId="6817FF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640C12">
            <w:pPr>
              <w:pStyle w:val="4"/>
              <w:jc w:val="left"/>
            </w:pPr>
            <w:r>
              <w:rPr>
                <w:rFonts w:ascii="仿宋_GB2312" w:hAnsi="仿宋_GB2312" w:eastAsia="仿宋_GB2312" w:cs="仿宋_GB2312"/>
              </w:rPr>
              <w:t>序号</w:t>
            </w:r>
          </w:p>
        </w:tc>
        <w:tc>
          <w:tcPr>
            <w:tcW w:w="2076" w:type="dxa"/>
          </w:tcPr>
          <w:p w14:paraId="5BA13544">
            <w:pPr>
              <w:pStyle w:val="4"/>
              <w:jc w:val="left"/>
            </w:pPr>
            <w:r>
              <w:rPr>
                <w:rFonts w:ascii="仿宋_GB2312" w:hAnsi="仿宋_GB2312" w:eastAsia="仿宋_GB2312" w:cs="仿宋_GB2312"/>
              </w:rPr>
              <w:t>报价明细内容</w:t>
            </w:r>
          </w:p>
        </w:tc>
        <w:tc>
          <w:tcPr>
            <w:tcW w:w="2076" w:type="dxa"/>
          </w:tcPr>
          <w:p w14:paraId="34FE76DA">
            <w:pPr>
              <w:pStyle w:val="4"/>
              <w:jc w:val="left"/>
            </w:pPr>
            <w:r>
              <w:rPr>
                <w:rFonts w:ascii="仿宋_GB2312" w:hAnsi="仿宋_GB2312" w:eastAsia="仿宋_GB2312" w:cs="仿宋_GB2312"/>
              </w:rPr>
              <w:t>报价要求</w:t>
            </w:r>
          </w:p>
        </w:tc>
        <w:tc>
          <w:tcPr>
            <w:tcW w:w="415" w:type="dxa"/>
          </w:tcPr>
          <w:p w14:paraId="28FECFC2">
            <w:pPr>
              <w:pStyle w:val="4"/>
              <w:jc w:val="left"/>
            </w:pPr>
            <w:r>
              <w:rPr>
                <w:rFonts w:ascii="仿宋_GB2312" w:hAnsi="仿宋_GB2312" w:eastAsia="仿宋_GB2312" w:cs="仿宋_GB2312"/>
              </w:rPr>
              <w:t>计量单位</w:t>
            </w:r>
          </w:p>
        </w:tc>
        <w:tc>
          <w:tcPr>
            <w:tcW w:w="415" w:type="dxa"/>
          </w:tcPr>
          <w:p w14:paraId="32D4CD12">
            <w:pPr>
              <w:pStyle w:val="4"/>
              <w:jc w:val="left"/>
            </w:pPr>
            <w:r>
              <w:rPr>
                <w:rFonts w:ascii="仿宋_GB2312" w:hAnsi="仿宋_GB2312" w:eastAsia="仿宋_GB2312" w:cs="仿宋_GB2312"/>
              </w:rPr>
              <w:t>报价单位</w:t>
            </w:r>
          </w:p>
        </w:tc>
        <w:tc>
          <w:tcPr>
            <w:tcW w:w="831" w:type="dxa"/>
          </w:tcPr>
          <w:p w14:paraId="2F438EEC">
            <w:pPr>
              <w:pStyle w:val="4"/>
              <w:jc w:val="left"/>
            </w:pPr>
            <w:r>
              <w:rPr>
                <w:rFonts w:ascii="仿宋_GB2312" w:hAnsi="仿宋_GB2312" w:eastAsia="仿宋_GB2312" w:cs="仿宋_GB2312"/>
              </w:rPr>
              <w:t>最高限价</w:t>
            </w:r>
          </w:p>
        </w:tc>
        <w:tc>
          <w:tcPr>
            <w:tcW w:w="831" w:type="dxa"/>
          </w:tcPr>
          <w:p w14:paraId="31679FDA">
            <w:pPr>
              <w:pStyle w:val="4"/>
              <w:jc w:val="left"/>
            </w:pPr>
            <w:r>
              <w:rPr>
                <w:rFonts w:ascii="仿宋_GB2312" w:hAnsi="仿宋_GB2312" w:eastAsia="仿宋_GB2312" w:cs="仿宋_GB2312"/>
              </w:rPr>
              <w:t>价款形式</w:t>
            </w:r>
          </w:p>
        </w:tc>
        <w:tc>
          <w:tcPr>
            <w:tcW w:w="1246" w:type="dxa"/>
          </w:tcPr>
          <w:p w14:paraId="1D04992D">
            <w:pPr>
              <w:pStyle w:val="4"/>
              <w:jc w:val="left"/>
            </w:pPr>
            <w:r>
              <w:rPr>
                <w:rFonts w:ascii="仿宋_GB2312" w:hAnsi="仿宋_GB2312" w:eastAsia="仿宋_GB2312" w:cs="仿宋_GB2312"/>
              </w:rPr>
              <w:t>报价说明</w:t>
            </w:r>
          </w:p>
        </w:tc>
      </w:tr>
      <w:tr w14:paraId="0EAA40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0FF376">
            <w:pPr>
              <w:pStyle w:val="4"/>
              <w:jc w:val="left"/>
            </w:pPr>
            <w:r>
              <w:rPr>
                <w:rFonts w:ascii="仿宋_GB2312" w:hAnsi="仿宋_GB2312" w:eastAsia="仿宋_GB2312" w:cs="仿宋_GB2312"/>
              </w:rPr>
              <w:t>1</w:t>
            </w:r>
          </w:p>
        </w:tc>
        <w:tc>
          <w:tcPr>
            <w:tcW w:w="2076" w:type="dxa"/>
          </w:tcPr>
          <w:p w14:paraId="44893602">
            <w:pPr>
              <w:pStyle w:val="4"/>
              <w:jc w:val="left"/>
            </w:pPr>
            <w:r>
              <w:rPr>
                <w:rFonts w:ascii="仿宋_GB2312" w:hAnsi="仿宋_GB2312" w:eastAsia="仿宋_GB2312" w:cs="仿宋_GB2312"/>
              </w:rPr>
              <w:t>秦渡街道村庄实用性规划编制项目</w:t>
            </w:r>
          </w:p>
        </w:tc>
        <w:tc>
          <w:tcPr>
            <w:tcW w:w="2076" w:type="dxa"/>
          </w:tcPr>
          <w:p w14:paraId="66B0DBFD">
            <w:pPr>
              <w:pStyle w:val="4"/>
              <w:jc w:val="left"/>
            </w:pPr>
            <w:r>
              <w:rPr>
                <w:rFonts w:ascii="仿宋_GB2312" w:hAnsi="仿宋_GB2312" w:eastAsia="仿宋_GB2312" w:cs="仿宋_GB2312"/>
              </w:rPr>
              <w:t>秦渡街道村庄实用性规划编制项目</w:t>
            </w:r>
          </w:p>
        </w:tc>
        <w:tc>
          <w:tcPr>
            <w:tcW w:w="415" w:type="dxa"/>
          </w:tcPr>
          <w:p w14:paraId="79F7D4B8">
            <w:pPr>
              <w:pStyle w:val="4"/>
              <w:jc w:val="left"/>
            </w:pPr>
            <w:r>
              <w:rPr>
                <w:rFonts w:ascii="仿宋_GB2312" w:hAnsi="仿宋_GB2312" w:eastAsia="仿宋_GB2312" w:cs="仿宋_GB2312"/>
              </w:rPr>
              <w:t>项</w:t>
            </w:r>
          </w:p>
        </w:tc>
        <w:tc>
          <w:tcPr>
            <w:tcW w:w="415" w:type="dxa"/>
          </w:tcPr>
          <w:p w14:paraId="13EDE42F">
            <w:pPr>
              <w:pStyle w:val="4"/>
              <w:jc w:val="left"/>
            </w:pPr>
            <w:r>
              <w:rPr>
                <w:rFonts w:ascii="仿宋_GB2312" w:hAnsi="仿宋_GB2312" w:eastAsia="仿宋_GB2312" w:cs="仿宋_GB2312"/>
              </w:rPr>
              <w:t>元</w:t>
            </w:r>
          </w:p>
        </w:tc>
        <w:tc>
          <w:tcPr>
            <w:tcW w:w="831" w:type="dxa"/>
          </w:tcPr>
          <w:p w14:paraId="2F16A71A">
            <w:pPr>
              <w:pStyle w:val="4"/>
              <w:jc w:val="right"/>
            </w:pPr>
            <w:r>
              <w:rPr>
                <w:rFonts w:ascii="仿宋_GB2312" w:hAnsi="仿宋_GB2312" w:eastAsia="仿宋_GB2312" w:cs="仿宋_GB2312"/>
              </w:rPr>
              <w:t>400,000.00</w:t>
            </w:r>
          </w:p>
        </w:tc>
        <w:tc>
          <w:tcPr>
            <w:tcW w:w="831" w:type="dxa"/>
          </w:tcPr>
          <w:p w14:paraId="45472E22">
            <w:pPr>
              <w:pStyle w:val="4"/>
              <w:jc w:val="left"/>
            </w:pPr>
            <w:r>
              <w:rPr>
                <w:rFonts w:ascii="仿宋_GB2312" w:hAnsi="仿宋_GB2312" w:eastAsia="仿宋_GB2312" w:cs="仿宋_GB2312"/>
              </w:rPr>
              <w:t>总价</w:t>
            </w:r>
          </w:p>
        </w:tc>
        <w:tc>
          <w:tcPr>
            <w:tcW w:w="1246" w:type="dxa"/>
          </w:tcPr>
          <w:p w14:paraId="50534701">
            <w:pPr>
              <w:pStyle w:val="4"/>
              <w:jc w:val="left"/>
            </w:pPr>
            <w:r>
              <w:rPr>
                <w:rFonts w:ascii="仿宋_GB2312" w:hAnsi="仿宋_GB2312" w:eastAsia="仿宋_GB2312" w:cs="仿宋_GB2312"/>
              </w:rPr>
              <w:t>无</w:t>
            </w:r>
          </w:p>
        </w:tc>
      </w:tr>
    </w:tbl>
    <w:p w14:paraId="506837B7">
      <w:pPr>
        <w:pStyle w:val="4"/>
        <w:jc w:val="left"/>
        <w:outlineLvl w:val="3"/>
      </w:pPr>
      <w:r>
        <w:rPr>
          <w:rFonts w:ascii="仿宋_GB2312" w:hAnsi="仿宋_GB2312" w:eastAsia="仿宋_GB2312" w:cs="仿宋_GB2312"/>
          <w:b/>
          <w:sz w:val="24"/>
        </w:rPr>
        <w:t>3.2.2服务要求</w:t>
      </w:r>
    </w:p>
    <w:p w14:paraId="0005117A">
      <w:pPr>
        <w:pStyle w:val="4"/>
        <w:ind w:firstLine="480"/>
        <w:jc w:val="left"/>
      </w:pPr>
      <w:r>
        <w:rPr>
          <w:rFonts w:ascii="仿宋_GB2312" w:hAnsi="仿宋_GB2312" w:eastAsia="仿宋_GB2312" w:cs="仿宋_GB2312"/>
        </w:rPr>
        <w:t>采购包1：</w:t>
      </w:r>
    </w:p>
    <w:p w14:paraId="5BB553CD">
      <w:pPr>
        <w:pStyle w:val="4"/>
        <w:jc w:val="left"/>
      </w:pPr>
      <w:r>
        <w:rPr>
          <w:rFonts w:ascii="仿宋_GB2312" w:hAnsi="仿宋_GB2312" w:eastAsia="仿宋_GB2312" w:cs="仿宋_GB2312"/>
        </w:rPr>
        <w:t>标的名称：秦渡街道村庄实用性规划编制项目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97"/>
        <w:gridCol w:w="1034"/>
        <w:gridCol w:w="6576"/>
      </w:tblGrid>
      <w:tr w14:paraId="119119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7" w:type="dxa"/>
          </w:tcPr>
          <w:p w14:paraId="18A0958B">
            <w:pPr>
              <w:pStyle w:val="4"/>
              <w:jc w:val="left"/>
            </w:pPr>
            <w:r>
              <w:rPr>
                <w:rFonts w:ascii="仿宋_GB2312" w:hAnsi="仿宋_GB2312" w:eastAsia="仿宋_GB2312" w:cs="仿宋_GB2312"/>
              </w:rPr>
              <w:t>序号</w:t>
            </w:r>
          </w:p>
        </w:tc>
        <w:tc>
          <w:tcPr>
            <w:tcW w:w="1034" w:type="dxa"/>
          </w:tcPr>
          <w:p w14:paraId="10EEEB64">
            <w:pPr>
              <w:pStyle w:val="4"/>
              <w:jc w:val="left"/>
            </w:pPr>
            <w:r>
              <w:rPr>
                <w:rFonts w:ascii="仿宋_GB2312" w:hAnsi="仿宋_GB2312" w:eastAsia="仿宋_GB2312" w:cs="仿宋_GB2312"/>
              </w:rPr>
              <w:t>参数性质</w:t>
            </w:r>
          </w:p>
        </w:tc>
        <w:tc>
          <w:tcPr>
            <w:tcW w:w="6576" w:type="dxa"/>
          </w:tcPr>
          <w:p w14:paraId="48BF8399">
            <w:pPr>
              <w:pStyle w:val="4"/>
              <w:jc w:val="left"/>
            </w:pPr>
            <w:r>
              <w:rPr>
                <w:rFonts w:ascii="仿宋_GB2312" w:hAnsi="仿宋_GB2312" w:eastAsia="仿宋_GB2312" w:cs="仿宋_GB2312"/>
              </w:rPr>
              <w:t xml:space="preserve"> 技术参数与性能指标</w:t>
            </w:r>
          </w:p>
        </w:tc>
      </w:tr>
      <w:tr w14:paraId="652BDC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7" w:type="dxa"/>
          </w:tcPr>
          <w:p w14:paraId="7AE75091">
            <w:pPr>
              <w:pStyle w:val="4"/>
              <w:jc w:val="left"/>
            </w:pPr>
            <w:r>
              <w:rPr>
                <w:rFonts w:ascii="仿宋_GB2312" w:hAnsi="仿宋_GB2312" w:eastAsia="仿宋_GB2312" w:cs="仿宋_GB2312"/>
              </w:rPr>
              <w:t>1</w:t>
            </w:r>
          </w:p>
        </w:tc>
        <w:tc>
          <w:tcPr>
            <w:tcW w:w="1034" w:type="dxa"/>
          </w:tcPr>
          <w:p w14:paraId="45D96A3C"/>
        </w:tc>
        <w:tc>
          <w:tcPr>
            <w:tcW w:w="6576" w:type="dxa"/>
          </w:tcPr>
          <w:p w14:paraId="01EC90EA">
            <w:pPr>
              <w:pStyle w:val="4"/>
              <w:ind w:firstLine="422"/>
              <w:jc w:val="both"/>
            </w:pPr>
            <w:r>
              <w:rPr>
                <w:rFonts w:ascii="仿宋_GB2312" w:hAnsi="仿宋_GB2312" w:eastAsia="仿宋_GB2312" w:cs="仿宋_GB2312"/>
                <w:b/>
                <w:sz w:val="21"/>
              </w:rPr>
              <w:t>一、项目背景</w:t>
            </w:r>
          </w:p>
          <w:p w14:paraId="4D45E485">
            <w:pPr>
              <w:pStyle w:val="4"/>
              <w:ind w:firstLine="420"/>
              <w:jc w:val="both"/>
            </w:pPr>
            <w:r>
              <w:rPr>
                <w:rFonts w:ascii="仿宋_GB2312" w:hAnsi="仿宋_GB2312" w:eastAsia="仿宋_GB2312" w:cs="仿宋_GB2312"/>
                <w:sz w:val="21"/>
              </w:rPr>
              <w:t>依据《中共陕西省委陕西省人民政府关于学习运用“千村示范、万村整治”工程经验有力有效推进乡村全面振兴的实施意见》（2024年）、《中共陕西省委陕西省人民政府关于进一步深化农村改革扎实推进乡村全面振兴的实施意见》（2025年）等文件要求，为切实解决农村分户成家、住房改善、等引发的村民新增宅基地诉求，按需有序推进“多规合一”实用性村庄规划编制，计划开展秦渡街道北沙河寨村、南谷子硙村、王渭村、新阳村4个村庄规划编制工作。</w:t>
            </w:r>
          </w:p>
          <w:p w14:paraId="511495AC">
            <w:pPr>
              <w:pStyle w:val="4"/>
              <w:ind w:firstLine="422"/>
              <w:jc w:val="both"/>
            </w:pPr>
            <w:r>
              <w:rPr>
                <w:rFonts w:ascii="仿宋_GB2312" w:hAnsi="仿宋_GB2312" w:eastAsia="仿宋_GB2312" w:cs="仿宋_GB2312"/>
                <w:b/>
                <w:sz w:val="21"/>
              </w:rPr>
              <w:t>二、项目概况</w:t>
            </w:r>
          </w:p>
          <w:p w14:paraId="009891C6">
            <w:pPr>
              <w:pStyle w:val="4"/>
              <w:ind w:firstLine="420"/>
              <w:jc w:val="both"/>
            </w:pPr>
            <w:r>
              <w:rPr>
                <w:rFonts w:ascii="仿宋_GB2312" w:hAnsi="仿宋_GB2312" w:eastAsia="仿宋_GB2312" w:cs="仿宋_GB2312"/>
                <w:sz w:val="21"/>
              </w:rPr>
              <w:t>1、项目名称：秦渡街道村庄实用性规划编制项目</w:t>
            </w:r>
          </w:p>
          <w:p w14:paraId="4F9452AB">
            <w:pPr>
              <w:pStyle w:val="4"/>
              <w:ind w:firstLine="420"/>
              <w:jc w:val="both"/>
            </w:pPr>
            <w:r>
              <w:rPr>
                <w:rFonts w:ascii="仿宋_GB2312" w:hAnsi="仿宋_GB2312" w:eastAsia="仿宋_GB2312" w:cs="仿宋_GB2312"/>
                <w:sz w:val="21"/>
              </w:rPr>
              <w:t>2、项目地点：包括秦渡街道北沙河寨村、南谷子硙村、王渭村、新阳村4个村庄全域的规划。</w:t>
            </w:r>
          </w:p>
          <w:p w14:paraId="755249EB">
            <w:pPr>
              <w:pStyle w:val="4"/>
              <w:ind w:firstLine="420"/>
              <w:jc w:val="both"/>
            </w:pPr>
            <w:r>
              <w:rPr>
                <w:rFonts w:ascii="仿宋_GB2312" w:hAnsi="仿宋_GB2312" w:eastAsia="仿宋_GB2312" w:cs="仿宋_GB2312"/>
                <w:sz w:val="21"/>
              </w:rPr>
              <w:t>3、项目预算：依据中国城市规划协会的《城市规划设计计费指导意见》（2017版），经过市场调研和咨询，本项目预算每个村庄按10万元设计费进行计算，4个村庄合计40万元。</w:t>
            </w:r>
          </w:p>
          <w:p w14:paraId="2A01253E">
            <w:pPr>
              <w:pStyle w:val="4"/>
              <w:ind w:firstLine="422"/>
              <w:jc w:val="both"/>
            </w:pPr>
            <w:r>
              <w:rPr>
                <w:rFonts w:ascii="仿宋_GB2312" w:hAnsi="仿宋_GB2312" w:eastAsia="仿宋_GB2312" w:cs="仿宋_GB2312"/>
                <w:b/>
                <w:sz w:val="21"/>
              </w:rPr>
              <w:t>三、工作内容</w:t>
            </w:r>
          </w:p>
          <w:p w14:paraId="7BCEB672">
            <w:pPr>
              <w:pStyle w:val="4"/>
              <w:ind w:firstLine="420"/>
              <w:jc w:val="both"/>
            </w:pPr>
            <w:r>
              <w:rPr>
                <w:rFonts w:ascii="仿宋_GB2312" w:hAnsi="仿宋_GB2312" w:eastAsia="仿宋_GB2312" w:cs="仿宋_GB2312"/>
                <w:sz w:val="21"/>
              </w:rPr>
              <w:t>依据《实用性村庄规划编制技术规程》《西安市实用性村庄规划编制指引及成果规范（试行）》，本次实用性规划主要包括十方面内容：</w:t>
            </w:r>
          </w:p>
          <w:p w14:paraId="130C998B">
            <w:pPr>
              <w:pStyle w:val="4"/>
              <w:ind w:firstLine="420"/>
              <w:jc w:val="both"/>
            </w:pPr>
            <w:r>
              <w:rPr>
                <w:rFonts w:ascii="仿宋_GB2312" w:hAnsi="仿宋_GB2312" w:eastAsia="仿宋_GB2312" w:cs="仿宋_GB2312"/>
                <w:sz w:val="21"/>
              </w:rPr>
              <w:t>1、开展村庄详细调研</w:t>
            </w:r>
          </w:p>
          <w:p w14:paraId="1A7E2D66">
            <w:pPr>
              <w:pStyle w:val="4"/>
              <w:ind w:firstLine="420"/>
              <w:jc w:val="both"/>
            </w:pPr>
            <w:r>
              <w:rPr>
                <w:rFonts w:ascii="仿宋_GB2312" w:hAnsi="仿宋_GB2312" w:eastAsia="仿宋_GB2312" w:cs="仿宋_GB2312"/>
                <w:sz w:val="21"/>
              </w:rPr>
              <w:t>深入现场开展村庄规划调研及分析工作，针对村庄发展的底线约束、资源禀赋、历史文化、交通区位、人口、产业、土地利用情况、设施建设情况等方面展开分析评价，总结提炼村庄的特点、优势、发展需求和主要问题。</w:t>
            </w:r>
          </w:p>
          <w:p w14:paraId="010CD529">
            <w:pPr>
              <w:pStyle w:val="4"/>
              <w:ind w:firstLine="420"/>
              <w:jc w:val="both"/>
            </w:pPr>
            <w:r>
              <w:rPr>
                <w:rFonts w:ascii="仿宋_GB2312" w:hAnsi="仿宋_GB2312" w:eastAsia="仿宋_GB2312" w:cs="仿宋_GB2312"/>
                <w:sz w:val="21"/>
              </w:rPr>
              <w:t>2、确定村庄发展目标和规模</w:t>
            </w:r>
          </w:p>
          <w:p w14:paraId="04DC8C64">
            <w:pPr>
              <w:pStyle w:val="4"/>
              <w:ind w:firstLine="420"/>
              <w:jc w:val="both"/>
            </w:pPr>
            <w:r>
              <w:rPr>
                <w:rFonts w:ascii="仿宋_GB2312" w:hAnsi="仿宋_GB2312" w:eastAsia="仿宋_GB2312" w:cs="仿宋_GB2312"/>
                <w:sz w:val="21"/>
              </w:rPr>
              <w:t>确定村庄发展定位，提出村庄国土空间开发保护、文化保护、人居环境整治、设施配置的目标等。合理预测人口规模，明确村庄功能定位，制定村庄发展、国土空间开发保护、公共服务、人居环境、整治修复等方面的目标。</w:t>
            </w:r>
          </w:p>
          <w:p w14:paraId="3FC742E2">
            <w:pPr>
              <w:pStyle w:val="4"/>
              <w:ind w:firstLine="420"/>
              <w:jc w:val="both"/>
            </w:pPr>
            <w:r>
              <w:rPr>
                <w:rFonts w:ascii="仿宋_GB2312" w:hAnsi="仿宋_GB2312" w:eastAsia="仿宋_GB2312" w:cs="仿宋_GB2312"/>
                <w:sz w:val="21"/>
              </w:rPr>
              <w:t>3、村域国土空间布局</w:t>
            </w:r>
          </w:p>
          <w:p w14:paraId="590E6307">
            <w:pPr>
              <w:pStyle w:val="4"/>
              <w:ind w:firstLine="420"/>
              <w:jc w:val="both"/>
            </w:pPr>
            <w:r>
              <w:rPr>
                <w:rFonts w:ascii="仿宋_GB2312" w:hAnsi="仿宋_GB2312" w:eastAsia="仿宋_GB2312" w:cs="仿宋_GB2312"/>
                <w:sz w:val="21"/>
              </w:rPr>
              <w:t>按照“生态环境有改善、耕地保有量不减少、质量不降低、空间布局有优化、集约节约建设用地的”要求，合理划分村庄的生态空间、农业空间和建设空间。在不改变上位规划约束性指标和强制性内容的前提下，根据村庄发展目标，优化调整村域用地结构、用地布局，明确各类用地的调整情况和规划用途。</w:t>
            </w:r>
          </w:p>
          <w:p w14:paraId="1517E047">
            <w:pPr>
              <w:pStyle w:val="4"/>
              <w:ind w:firstLine="420"/>
              <w:jc w:val="both"/>
            </w:pPr>
            <w:r>
              <w:rPr>
                <w:rFonts w:ascii="仿宋_GB2312" w:hAnsi="仿宋_GB2312" w:eastAsia="仿宋_GB2312" w:cs="仿宋_GB2312"/>
                <w:sz w:val="21"/>
              </w:rPr>
              <w:t>4、生态保护与修复工作</w:t>
            </w:r>
          </w:p>
          <w:p w14:paraId="0DD9CA81">
            <w:pPr>
              <w:pStyle w:val="4"/>
              <w:ind w:firstLine="420"/>
              <w:jc w:val="both"/>
            </w:pPr>
            <w:r>
              <w:rPr>
                <w:rFonts w:ascii="仿宋_GB2312" w:hAnsi="仿宋_GB2312" w:eastAsia="仿宋_GB2312" w:cs="仿宋_GB2312"/>
                <w:sz w:val="21"/>
              </w:rPr>
              <w:t>落实深化上位规划确定的各类国土综合整治与生态修复的目标任务、整治区域、主要内容、空间布局等，将其细化到具体地块，形成相关的任务清单。</w:t>
            </w:r>
          </w:p>
          <w:p w14:paraId="0116CBF6">
            <w:pPr>
              <w:pStyle w:val="4"/>
              <w:ind w:firstLine="420"/>
              <w:jc w:val="both"/>
            </w:pPr>
            <w:r>
              <w:rPr>
                <w:rFonts w:ascii="仿宋_GB2312" w:hAnsi="仿宋_GB2312" w:eastAsia="仿宋_GB2312" w:cs="仿宋_GB2312"/>
                <w:sz w:val="21"/>
              </w:rPr>
              <w:t>5、耕地和永久基本农田保护</w:t>
            </w:r>
          </w:p>
          <w:p w14:paraId="772E07DE">
            <w:pPr>
              <w:pStyle w:val="4"/>
              <w:ind w:firstLine="420"/>
              <w:jc w:val="both"/>
            </w:pPr>
            <w:r>
              <w:rPr>
                <w:rFonts w:ascii="仿宋_GB2312" w:hAnsi="仿宋_GB2312" w:eastAsia="仿宋_GB2312" w:cs="仿宋_GB2312"/>
                <w:sz w:val="21"/>
              </w:rPr>
              <w:t>落位上位规划划定永久性基本农田保护红线及永久性基本农田储备区的划定成果，划定农业空间，明确农业空间管制规则。</w:t>
            </w:r>
          </w:p>
          <w:p w14:paraId="30552388">
            <w:pPr>
              <w:pStyle w:val="4"/>
              <w:ind w:firstLine="420"/>
              <w:jc w:val="both"/>
            </w:pPr>
            <w:r>
              <w:rPr>
                <w:rFonts w:ascii="仿宋_GB2312" w:hAnsi="仿宋_GB2312" w:eastAsia="仿宋_GB2312" w:cs="仿宋_GB2312"/>
                <w:sz w:val="21"/>
              </w:rPr>
              <w:t>6、历史文化传承与保护</w:t>
            </w:r>
          </w:p>
          <w:p w14:paraId="352D7738">
            <w:pPr>
              <w:pStyle w:val="4"/>
              <w:ind w:firstLine="420"/>
              <w:jc w:val="both"/>
            </w:pPr>
            <w:r>
              <w:rPr>
                <w:rFonts w:ascii="仿宋_GB2312" w:hAnsi="仿宋_GB2312" w:eastAsia="仿宋_GB2312" w:cs="仿宋_GB2312"/>
                <w:sz w:val="21"/>
              </w:rPr>
              <w:t>梳理村庄历史文化要素，研究村庄地形地貌、历史沿革、建筑特色、风俗人情、非物质文化遗产等历史文化价值，协调村庄与周边重要自然景观资源的关系，塑造富有地域乡土特色、城郊融合发展的村庄。</w:t>
            </w:r>
          </w:p>
          <w:p w14:paraId="2CBA4BB7">
            <w:pPr>
              <w:pStyle w:val="4"/>
              <w:ind w:firstLine="420"/>
              <w:jc w:val="both"/>
            </w:pPr>
            <w:r>
              <w:rPr>
                <w:rFonts w:ascii="仿宋_GB2312" w:hAnsi="仿宋_GB2312" w:eastAsia="仿宋_GB2312" w:cs="仿宋_GB2312"/>
                <w:sz w:val="21"/>
              </w:rPr>
              <w:t>7、产业发展</w:t>
            </w:r>
          </w:p>
          <w:p w14:paraId="57E24298">
            <w:pPr>
              <w:pStyle w:val="4"/>
              <w:ind w:firstLine="420"/>
              <w:jc w:val="both"/>
            </w:pPr>
            <w:r>
              <w:rPr>
                <w:rFonts w:ascii="仿宋_GB2312" w:hAnsi="仿宋_GB2312" w:eastAsia="仿宋_GB2312" w:cs="仿宋_GB2312"/>
                <w:sz w:val="21"/>
              </w:rPr>
              <w:t>结合村庄特色资源，提出村庄产业发展的方向和思路。按照差异化、规模化、特色化的要求，提出产业发展策略，确定村庄产业发展类型、科学安排村庄产业用地，统筹一二三产业发展。</w:t>
            </w:r>
          </w:p>
          <w:p w14:paraId="0A89F3D1">
            <w:pPr>
              <w:pStyle w:val="4"/>
              <w:ind w:firstLine="420"/>
              <w:jc w:val="both"/>
            </w:pPr>
            <w:r>
              <w:rPr>
                <w:rFonts w:ascii="仿宋_GB2312" w:hAnsi="仿宋_GB2312" w:eastAsia="仿宋_GB2312" w:cs="仿宋_GB2312"/>
                <w:sz w:val="21"/>
              </w:rPr>
              <w:t>8、建设空间布局</w:t>
            </w:r>
          </w:p>
          <w:p w14:paraId="23538668">
            <w:pPr>
              <w:pStyle w:val="4"/>
              <w:ind w:firstLine="420"/>
              <w:jc w:val="both"/>
            </w:pPr>
            <w:r>
              <w:rPr>
                <w:rFonts w:ascii="仿宋_GB2312" w:hAnsi="仿宋_GB2312" w:eastAsia="仿宋_GB2312" w:cs="仿宋_GB2312"/>
                <w:sz w:val="21"/>
              </w:rPr>
              <w:t>严格落实“一户一宅”，合理布局公共建筑、街巷道路，提出宅基地内院落布置、公共空间的平面布局，合理划定宅基地建设范围，引导民居集中建设。制定与村庄整体风貌相协调的风貌管控要求。</w:t>
            </w:r>
          </w:p>
          <w:p w14:paraId="118051AB">
            <w:pPr>
              <w:pStyle w:val="4"/>
              <w:ind w:firstLine="420"/>
              <w:jc w:val="both"/>
            </w:pPr>
            <w:r>
              <w:rPr>
                <w:rFonts w:ascii="仿宋_GB2312" w:hAnsi="仿宋_GB2312" w:eastAsia="仿宋_GB2312" w:cs="仿宋_GB2312"/>
                <w:sz w:val="21"/>
              </w:rPr>
              <w:t>在村庄公共服务设施方面，依据村庄类型、人口规模和实际需求，确定村庄公共服务设施选址、规模和布局。针对旅游资源丰富的村庄，应增加旅游相关的服务设施。</w:t>
            </w:r>
          </w:p>
          <w:p w14:paraId="50D24A12">
            <w:pPr>
              <w:pStyle w:val="4"/>
              <w:ind w:firstLine="420"/>
              <w:jc w:val="both"/>
            </w:pPr>
            <w:r>
              <w:rPr>
                <w:rFonts w:ascii="仿宋_GB2312" w:hAnsi="仿宋_GB2312" w:eastAsia="仿宋_GB2312" w:cs="仿宋_GB2312"/>
                <w:sz w:val="21"/>
              </w:rPr>
              <w:t>在道路交通规划方面，村域层面落实上位规划确定区域性道路，公共交通和各项交通设施建设的要求；形成完善连通的村庄道路，结合实际规划田间路和停车设施。</w:t>
            </w:r>
          </w:p>
          <w:p w14:paraId="298D6BE9">
            <w:pPr>
              <w:pStyle w:val="4"/>
              <w:ind w:firstLine="420"/>
              <w:jc w:val="both"/>
            </w:pPr>
            <w:r>
              <w:rPr>
                <w:rFonts w:ascii="仿宋_GB2312" w:hAnsi="仿宋_GB2312" w:eastAsia="仿宋_GB2312" w:cs="仿宋_GB2312"/>
                <w:sz w:val="21"/>
              </w:rPr>
              <w:t>在基础设施规划方面，按照上位规划要求落实区域性的基础设施，结合村庄发展定位、规模以及与园区的关系，以共建共享的原则，明确配置各类设施的要求、标准、规模、类型、时序等。</w:t>
            </w:r>
          </w:p>
          <w:p w14:paraId="1A31393C">
            <w:pPr>
              <w:pStyle w:val="4"/>
              <w:ind w:firstLine="420"/>
              <w:jc w:val="both"/>
            </w:pPr>
            <w:r>
              <w:rPr>
                <w:rFonts w:ascii="仿宋_GB2312" w:hAnsi="仿宋_GB2312" w:eastAsia="仿宋_GB2312" w:cs="仿宋_GB2312"/>
                <w:sz w:val="21"/>
              </w:rPr>
              <w:t>9、村庄安全和防灾减灾</w:t>
            </w:r>
          </w:p>
          <w:p w14:paraId="6DA0B55B">
            <w:pPr>
              <w:pStyle w:val="4"/>
              <w:ind w:firstLine="420"/>
              <w:jc w:val="both"/>
            </w:pPr>
            <w:r>
              <w:rPr>
                <w:rFonts w:ascii="仿宋_GB2312" w:hAnsi="仿宋_GB2312" w:eastAsia="仿宋_GB2312" w:cs="仿宋_GB2312"/>
                <w:sz w:val="21"/>
              </w:rPr>
              <w:t>针对村庄的消防、防洪排涝、地质灾害防治、地震灾害防治、农业灾害防治、公共卫生防疫等方面，提出建设安全韧性村庄的规划设计要求。</w:t>
            </w:r>
          </w:p>
          <w:p w14:paraId="19B861BD">
            <w:pPr>
              <w:pStyle w:val="4"/>
              <w:ind w:firstLine="420"/>
              <w:jc w:val="both"/>
            </w:pPr>
            <w:r>
              <w:rPr>
                <w:rFonts w:ascii="仿宋_GB2312" w:hAnsi="仿宋_GB2312" w:eastAsia="仿宋_GB2312" w:cs="仿宋_GB2312"/>
                <w:sz w:val="21"/>
              </w:rPr>
              <w:t>10、规划近期实施项目</w:t>
            </w:r>
          </w:p>
          <w:p w14:paraId="3BCF50A4">
            <w:pPr>
              <w:pStyle w:val="4"/>
              <w:ind w:firstLine="420"/>
              <w:jc w:val="both"/>
            </w:pPr>
            <w:r>
              <w:rPr>
                <w:rFonts w:ascii="仿宋_GB2312" w:hAnsi="仿宋_GB2312" w:eastAsia="仿宋_GB2312" w:cs="仿宋_GB2312"/>
                <w:sz w:val="21"/>
              </w:rPr>
              <w:t>综合考虑人力、财力和村民的迫切需求，研究提出近期在生态保护与修复、土地整治、农村人居环境提示、村民建房、产业发展、交通设施建设、公共和基础设施配套、历史文化保护等方面急需推进的项目，制定近期建设项目表、建设规模、实施时间、资金规模等内容。</w:t>
            </w:r>
          </w:p>
          <w:p w14:paraId="45E4A0E6">
            <w:pPr>
              <w:pStyle w:val="4"/>
              <w:ind w:firstLine="422"/>
              <w:jc w:val="both"/>
            </w:pPr>
            <w:r>
              <w:rPr>
                <w:rFonts w:ascii="仿宋_GB2312" w:hAnsi="仿宋_GB2312" w:eastAsia="仿宋_GB2312" w:cs="仿宋_GB2312"/>
                <w:b/>
                <w:sz w:val="21"/>
              </w:rPr>
              <w:t>四、服务期限</w:t>
            </w:r>
            <w:r>
              <w:rPr>
                <w:rFonts w:ascii="仿宋_GB2312" w:hAnsi="仿宋_GB2312" w:eastAsia="仿宋_GB2312" w:cs="仿宋_GB2312"/>
                <w:sz w:val="21"/>
              </w:rPr>
              <w:t>：本项目于2026年12月底前完成。</w:t>
            </w:r>
          </w:p>
          <w:p w14:paraId="1F324597">
            <w:pPr>
              <w:pStyle w:val="4"/>
              <w:ind w:firstLine="422"/>
              <w:jc w:val="both"/>
            </w:pPr>
            <w:r>
              <w:rPr>
                <w:rFonts w:ascii="仿宋_GB2312" w:hAnsi="仿宋_GB2312" w:eastAsia="仿宋_GB2312" w:cs="仿宋_GB2312"/>
                <w:b/>
                <w:sz w:val="21"/>
              </w:rPr>
              <w:t>五、成果要求</w:t>
            </w:r>
          </w:p>
          <w:p w14:paraId="47495BE9">
            <w:pPr>
              <w:pStyle w:val="4"/>
              <w:ind w:firstLine="420"/>
              <w:jc w:val="both"/>
            </w:pPr>
            <w:r>
              <w:rPr>
                <w:rFonts w:ascii="仿宋_GB2312" w:hAnsi="仿宋_GB2312" w:eastAsia="仿宋_GB2312" w:cs="仿宋_GB2312"/>
                <w:sz w:val="21"/>
              </w:rPr>
              <w:t>按照相关规范要求，成果包括文本、图集、附件等内容。</w:t>
            </w:r>
          </w:p>
          <w:p w14:paraId="245310C6">
            <w:pPr>
              <w:pStyle w:val="4"/>
              <w:ind w:firstLine="420"/>
              <w:jc w:val="both"/>
            </w:pPr>
            <w:r>
              <w:rPr>
                <w:rFonts w:ascii="仿宋_GB2312" w:hAnsi="仿宋_GB2312" w:eastAsia="仿宋_GB2312" w:cs="仿宋_GB2312"/>
                <w:sz w:val="21"/>
              </w:rPr>
              <w:t>纸质版成果:均为A4或A3，份数为4份。</w:t>
            </w:r>
          </w:p>
          <w:p w14:paraId="73EB8EFA">
            <w:pPr>
              <w:pStyle w:val="4"/>
              <w:ind w:firstLine="420"/>
              <w:jc w:val="both"/>
            </w:pPr>
            <w:r>
              <w:rPr>
                <w:rFonts w:ascii="仿宋_GB2312" w:hAnsi="仿宋_GB2312" w:eastAsia="仿宋_GB2312" w:cs="仿宋_GB2312"/>
                <w:sz w:val="21"/>
              </w:rPr>
              <w:t>电子版成果:文本、附件为 DOC/PDF等格式，图集为JPG格式。</w:t>
            </w:r>
          </w:p>
          <w:p w14:paraId="5D17F8EA">
            <w:pPr>
              <w:pStyle w:val="4"/>
              <w:ind w:firstLine="422"/>
              <w:jc w:val="both"/>
            </w:pPr>
            <w:r>
              <w:rPr>
                <w:rFonts w:ascii="仿宋_GB2312" w:hAnsi="仿宋_GB2312" w:eastAsia="仿宋_GB2312" w:cs="仿宋_GB2312"/>
                <w:b/>
                <w:sz w:val="21"/>
              </w:rPr>
              <w:t>六、验收方式</w:t>
            </w:r>
          </w:p>
          <w:p w14:paraId="67EC04CE">
            <w:pPr>
              <w:pStyle w:val="4"/>
              <w:ind w:firstLine="420"/>
              <w:jc w:val="both"/>
            </w:pPr>
            <w:r>
              <w:rPr>
                <w:rFonts w:ascii="仿宋_GB2312" w:hAnsi="仿宋_GB2312" w:eastAsia="仿宋_GB2312" w:cs="仿宋_GB2312"/>
                <w:sz w:val="21"/>
              </w:rPr>
              <w:t>秦渡街道配合自然资源局及评审专家根据规划成果内容及主要任务进行多轮评审、修改及公示，最后完成验收批复。</w:t>
            </w:r>
          </w:p>
          <w:p w14:paraId="11989838">
            <w:pPr>
              <w:pStyle w:val="4"/>
              <w:ind w:firstLine="422"/>
              <w:jc w:val="both"/>
            </w:pPr>
            <w:r>
              <w:rPr>
                <w:rFonts w:ascii="仿宋_GB2312" w:hAnsi="仿宋_GB2312" w:eastAsia="仿宋_GB2312" w:cs="仿宋_GB2312"/>
                <w:b/>
                <w:sz w:val="21"/>
              </w:rPr>
              <w:t>七、付款方式</w:t>
            </w:r>
          </w:p>
          <w:p w14:paraId="09B5C5DC">
            <w:pPr>
              <w:pStyle w:val="4"/>
              <w:ind w:firstLine="420"/>
              <w:jc w:val="both"/>
            </w:pPr>
            <w:r>
              <w:rPr>
                <w:rFonts w:ascii="仿宋_GB2312" w:hAnsi="仿宋_GB2312" w:eastAsia="仿宋_GB2312" w:cs="仿宋_GB2312"/>
                <w:sz w:val="21"/>
              </w:rPr>
              <w:t>1、签订合同后，按规划编制成果与自然资源和规划局完成验收后，达到付款条件起30个工作日内，支付合同总金额的100.0%。</w:t>
            </w:r>
          </w:p>
          <w:p w14:paraId="5E72D534">
            <w:pPr>
              <w:pStyle w:val="4"/>
              <w:ind w:firstLine="420"/>
              <w:jc w:val="both"/>
            </w:pPr>
            <w:r>
              <w:rPr>
                <w:rFonts w:ascii="仿宋_GB2312" w:hAnsi="仿宋_GB2312" w:eastAsia="仿宋_GB2312" w:cs="仿宋_GB2312"/>
                <w:sz w:val="21"/>
              </w:rPr>
              <w:t>2、结算方式：银行转账。</w:t>
            </w:r>
          </w:p>
          <w:p w14:paraId="79A2237D">
            <w:pPr>
              <w:pStyle w:val="4"/>
              <w:ind w:firstLine="420"/>
              <w:jc w:val="both"/>
            </w:pPr>
            <w:r>
              <w:rPr>
                <w:rFonts w:ascii="仿宋_GB2312" w:hAnsi="仿宋_GB2312" w:eastAsia="仿宋_GB2312" w:cs="仿宋_GB2312"/>
                <w:sz w:val="21"/>
              </w:rPr>
              <w:t>3、结算单位：由甲方负责结算，乙方开具合同总价数的全额发票交甲方。</w:t>
            </w:r>
          </w:p>
          <w:p w14:paraId="7885CCA4">
            <w:pPr>
              <w:pStyle w:val="4"/>
              <w:ind w:firstLine="422"/>
              <w:jc w:val="both"/>
            </w:pPr>
            <w:r>
              <w:rPr>
                <w:rFonts w:ascii="仿宋_GB2312" w:hAnsi="仿宋_GB2312" w:eastAsia="仿宋_GB2312" w:cs="仿宋_GB2312"/>
                <w:b/>
                <w:sz w:val="21"/>
              </w:rPr>
              <w:t>八、执行的法律法规、技术规范</w:t>
            </w:r>
          </w:p>
          <w:p w14:paraId="5FBFC277">
            <w:pPr>
              <w:pStyle w:val="4"/>
              <w:jc w:val="left"/>
            </w:pPr>
            <w:r>
              <w:rPr>
                <w:rFonts w:ascii="仿宋_GB2312" w:hAnsi="仿宋_GB2312" w:eastAsia="仿宋_GB2312" w:cs="仿宋_GB2312"/>
                <w:sz w:val="21"/>
              </w:rPr>
              <w:t>执行的法律法规、技术规范包括但不限于以下规定、规范、标准：《自然资源部办公厅关于加强村庄规划促进乡村振兴的通知》、《陕西省实用性村庄规划编制技术导则（试行）》、《村镇规划编制办法（试行）》。</w:t>
            </w:r>
          </w:p>
        </w:tc>
      </w:tr>
    </w:tbl>
    <w:p w14:paraId="6CFE6300">
      <w:pPr>
        <w:pStyle w:val="4"/>
        <w:jc w:val="left"/>
        <w:outlineLvl w:val="3"/>
      </w:pPr>
      <w:r>
        <w:rPr>
          <w:rFonts w:ascii="仿宋_GB2312" w:hAnsi="仿宋_GB2312" w:eastAsia="仿宋_GB2312" w:cs="仿宋_GB2312"/>
          <w:b/>
          <w:sz w:val="24"/>
        </w:rPr>
        <w:t>3.2.3人员配置要求</w:t>
      </w:r>
    </w:p>
    <w:p w14:paraId="4A0A83D0">
      <w:pPr>
        <w:pStyle w:val="4"/>
        <w:ind w:firstLine="480"/>
        <w:jc w:val="left"/>
      </w:pPr>
      <w:r>
        <w:rPr>
          <w:rFonts w:ascii="仿宋_GB2312" w:hAnsi="仿宋_GB2312" w:eastAsia="仿宋_GB2312" w:cs="仿宋_GB2312"/>
        </w:rPr>
        <w:t>采购包1：</w:t>
      </w:r>
    </w:p>
    <w:p w14:paraId="0C57B95D">
      <w:pPr>
        <w:pStyle w:val="4"/>
        <w:jc w:val="left"/>
      </w:pPr>
      <w:r>
        <w:rPr>
          <w:rFonts w:ascii="仿宋_GB2312" w:hAnsi="仿宋_GB2312" w:eastAsia="仿宋_GB2312" w:cs="仿宋_GB2312"/>
        </w:rPr>
        <w:t>所配备的人员需充分，能够满足项目需求。</w:t>
      </w:r>
    </w:p>
    <w:p w14:paraId="5D5DC058">
      <w:pPr>
        <w:pStyle w:val="4"/>
        <w:jc w:val="left"/>
        <w:outlineLvl w:val="3"/>
      </w:pPr>
      <w:r>
        <w:rPr>
          <w:rFonts w:ascii="仿宋_GB2312" w:hAnsi="仿宋_GB2312" w:eastAsia="仿宋_GB2312" w:cs="仿宋_GB2312"/>
          <w:b/>
          <w:sz w:val="24"/>
        </w:rPr>
        <w:t>3.2.4设施设备要求</w:t>
      </w:r>
    </w:p>
    <w:p w14:paraId="1E66A98D">
      <w:pPr>
        <w:pStyle w:val="4"/>
        <w:ind w:firstLine="480"/>
        <w:jc w:val="left"/>
      </w:pPr>
      <w:r>
        <w:rPr>
          <w:rFonts w:ascii="仿宋_GB2312" w:hAnsi="仿宋_GB2312" w:eastAsia="仿宋_GB2312" w:cs="仿宋_GB2312"/>
        </w:rPr>
        <w:t>采购包1：</w:t>
      </w:r>
    </w:p>
    <w:p w14:paraId="5C409612">
      <w:pPr>
        <w:pStyle w:val="4"/>
        <w:jc w:val="left"/>
      </w:pPr>
      <w:r>
        <w:rPr>
          <w:rFonts w:ascii="仿宋_GB2312" w:hAnsi="仿宋_GB2312" w:eastAsia="仿宋_GB2312" w:cs="仿宋_GB2312"/>
        </w:rPr>
        <w:t>/</w:t>
      </w:r>
    </w:p>
    <w:p w14:paraId="69A189A7">
      <w:pPr>
        <w:pStyle w:val="4"/>
        <w:jc w:val="left"/>
        <w:outlineLvl w:val="3"/>
      </w:pPr>
      <w:r>
        <w:rPr>
          <w:rFonts w:ascii="仿宋_GB2312" w:hAnsi="仿宋_GB2312" w:eastAsia="仿宋_GB2312" w:cs="仿宋_GB2312"/>
          <w:b/>
          <w:sz w:val="24"/>
        </w:rPr>
        <w:t>3.2.5其他要求</w:t>
      </w:r>
    </w:p>
    <w:p w14:paraId="3A356B83">
      <w:pPr>
        <w:pStyle w:val="4"/>
        <w:ind w:firstLine="480"/>
        <w:jc w:val="left"/>
      </w:pPr>
      <w:r>
        <w:rPr>
          <w:rFonts w:ascii="仿宋_GB2312" w:hAnsi="仿宋_GB2312" w:eastAsia="仿宋_GB2312" w:cs="仿宋_GB2312"/>
        </w:rPr>
        <w:t>采购包1：</w:t>
      </w:r>
    </w:p>
    <w:p w14:paraId="3B3C7D7A">
      <w:pPr>
        <w:pStyle w:val="4"/>
        <w:jc w:val="left"/>
      </w:pPr>
      <w:r>
        <w:rPr>
          <w:rFonts w:ascii="仿宋_GB2312" w:hAnsi="仿宋_GB2312" w:eastAsia="仿宋_GB2312" w:cs="仿宋_GB2312"/>
        </w:rPr>
        <w:t>/</w:t>
      </w:r>
    </w:p>
    <w:p w14:paraId="2625A734">
      <w:pPr>
        <w:pStyle w:val="4"/>
        <w:jc w:val="left"/>
        <w:outlineLvl w:val="2"/>
      </w:pPr>
      <w:r>
        <w:rPr>
          <w:rFonts w:ascii="仿宋_GB2312" w:hAnsi="仿宋_GB2312" w:eastAsia="仿宋_GB2312" w:cs="仿宋_GB2312"/>
          <w:b/>
          <w:sz w:val="28"/>
        </w:rPr>
        <w:t>3.3商务要求</w:t>
      </w:r>
    </w:p>
    <w:p w14:paraId="22D6F2C9">
      <w:pPr>
        <w:pStyle w:val="4"/>
        <w:jc w:val="left"/>
        <w:outlineLvl w:val="3"/>
      </w:pPr>
      <w:r>
        <w:rPr>
          <w:rFonts w:ascii="仿宋_GB2312" w:hAnsi="仿宋_GB2312" w:eastAsia="仿宋_GB2312" w:cs="仿宋_GB2312"/>
          <w:b/>
          <w:sz w:val="24"/>
        </w:rPr>
        <w:t>3.3.1服务期限</w:t>
      </w:r>
    </w:p>
    <w:p w14:paraId="37F10BFF">
      <w:pPr>
        <w:pStyle w:val="4"/>
        <w:ind w:firstLine="480"/>
        <w:jc w:val="left"/>
      </w:pPr>
      <w:r>
        <w:rPr>
          <w:rFonts w:ascii="仿宋_GB2312" w:hAnsi="仿宋_GB2312" w:eastAsia="仿宋_GB2312" w:cs="仿宋_GB2312"/>
        </w:rPr>
        <w:t>采购包1：</w:t>
      </w:r>
    </w:p>
    <w:p w14:paraId="5D5F213A">
      <w:pPr>
        <w:pStyle w:val="4"/>
        <w:jc w:val="left"/>
      </w:pPr>
      <w:r>
        <w:rPr>
          <w:rFonts w:ascii="仿宋_GB2312" w:hAnsi="仿宋_GB2312" w:eastAsia="仿宋_GB2312" w:cs="仿宋_GB2312"/>
        </w:rPr>
        <w:t>本项目于2026年12月底前完成。</w:t>
      </w:r>
    </w:p>
    <w:p w14:paraId="1161D2E3">
      <w:pPr>
        <w:pStyle w:val="4"/>
        <w:jc w:val="left"/>
        <w:outlineLvl w:val="3"/>
      </w:pPr>
      <w:r>
        <w:rPr>
          <w:rFonts w:ascii="仿宋_GB2312" w:hAnsi="仿宋_GB2312" w:eastAsia="仿宋_GB2312" w:cs="仿宋_GB2312"/>
          <w:b/>
          <w:sz w:val="24"/>
        </w:rPr>
        <w:t>3.3.2服务地点</w:t>
      </w:r>
    </w:p>
    <w:p w14:paraId="429E350E">
      <w:pPr>
        <w:pStyle w:val="4"/>
        <w:ind w:firstLine="480"/>
        <w:jc w:val="left"/>
      </w:pPr>
      <w:r>
        <w:rPr>
          <w:rFonts w:ascii="仿宋_GB2312" w:hAnsi="仿宋_GB2312" w:eastAsia="仿宋_GB2312" w:cs="仿宋_GB2312"/>
        </w:rPr>
        <w:t>采购包1：</w:t>
      </w:r>
    </w:p>
    <w:p w14:paraId="77046108">
      <w:pPr>
        <w:pStyle w:val="4"/>
        <w:jc w:val="left"/>
      </w:pPr>
      <w:r>
        <w:rPr>
          <w:rFonts w:ascii="仿宋_GB2312" w:hAnsi="仿宋_GB2312" w:eastAsia="仿宋_GB2312" w:cs="仿宋_GB2312"/>
        </w:rPr>
        <w:t>包括秦渡街道北沙河寨村、南谷子硙村、王渭村、新阳村4个村庄全域的规划。</w:t>
      </w:r>
    </w:p>
    <w:p w14:paraId="39EAEF3D">
      <w:pPr>
        <w:pStyle w:val="4"/>
        <w:jc w:val="left"/>
        <w:outlineLvl w:val="3"/>
      </w:pPr>
      <w:r>
        <w:rPr>
          <w:rFonts w:ascii="仿宋_GB2312" w:hAnsi="仿宋_GB2312" w:eastAsia="仿宋_GB2312" w:cs="仿宋_GB2312"/>
          <w:b/>
          <w:sz w:val="24"/>
        </w:rPr>
        <w:t>3.3.3考核（验收）标准和方法</w:t>
      </w:r>
    </w:p>
    <w:p w14:paraId="4BD2CD45">
      <w:pPr>
        <w:pStyle w:val="4"/>
        <w:ind w:firstLine="480"/>
        <w:jc w:val="left"/>
      </w:pPr>
      <w:r>
        <w:rPr>
          <w:rFonts w:ascii="仿宋_GB2312" w:hAnsi="仿宋_GB2312" w:eastAsia="仿宋_GB2312" w:cs="仿宋_GB2312"/>
        </w:rPr>
        <w:t>采购包1：</w:t>
      </w:r>
    </w:p>
    <w:p w14:paraId="379EE74B">
      <w:pPr>
        <w:pStyle w:val="4"/>
        <w:jc w:val="left"/>
      </w:pPr>
      <w:r>
        <w:rPr>
          <w:rFonts w:ascii="仿宋_GB2312" w:hAnsi="仿宋_GB2312" w:eastAsia="仿宋_GB2312" w:cs="仿宋_GB2312"/>
        </w:rPr>
        <w:t>详见采购文件合同文本。</w:t>
      </w:r>
    </w:p>
    <w:p w14:paraId="53E7A4FC">
      <w:pPr>
        <w:pStyle w:val="4"/>
        <w:jc w:val="left"/>
        <w:outlineLvl w:val="3"/>
      </w:pPr>
      <w:r>
        <w:rPr>
          <w:rFonts w:ascii="仿宋_GB2312" w:hAnsi="仿宋_GB2312" w:eastAsia="仿宋_GB2312" w:cs="仿宋_GB2312"/>
          <w:b/>
          <w:sz w:val="24"/>
        </w:rPr>
        <w:t>3.3.4支付方式</w:t>
      </w:r>
    </w:p>
    <w:p w14:paraId="6CD7B3A5">
      <w:pPr>
        <w:pStyle w:val="4"/>
        <w:ind w:firstLine="480"/>
        <w:jc w:val="left"/>
      </w:pPr>
      <w:r>
        <w:rPr>
          <w:rFonts w:ascii="仿宋_GB2312" w:hAnsi="仿宋_GB2312" w:eastAsia="仿宋_GB2312" w:cs="仿宋_GB2312"/>
        </w:rPr>
        <w:t>采购包1：</w:t>
      </w:r>
    </w:p>
    <w:p w14:paraId="19AF7E09">
      <w:pPr>
        <w:pStyle w:val="4"/>
        <w:jc w:val="left"/>
      </w:pPr>
      <w:r>
        <w:rPr>
          <w:rFonts w:ascii="仿宋_GB2312" w:hAnsi="仿宋_GB2312" w:eastAsia="仿宋_GB2312" w:cs="仿宋_GB2312"/>
        </w:rPr>
        <w:t>一次付清</w:t>
      </w:r>
    </w:p>
    <w:p w14:paraId="6C8DA30F">
      <w:pPr>
        <w:pStyle w:val="4"/>
        <w:jc w:val="left"/>
        <w:outlineLvl w:val="3"/>
      </w:pPr>
      <w:r>
        <w:rPr>
          <w:rFonts w:ascii="仿宋_GB2312" w:hAnsi="仿宋_GB2312" w:eastAsia="仿宋_GB2312" w:cs="仿宋_GB2312"/>
          <w:b/>
          <w:sz w:val="24"/>
        </w:rPr>
        <w:t>3.3.5支付约定</w:t>
      </w:r>
    </w:p>
    <w:p w14:paraId="0350277D">
      <w:pPr>
        <w:pStyle w:val="4"/>
        <w:ind w:firstLine="480"/>
        <w:jc w:val="left"/>
      </w:pPr>
      <w:r>
        <w:rPr>
          <w:rFonts w:ascii="仿宋_GB2312" w:hAnsi="仿宋_GB2312" w:eastAsia="仿宋_GB2312" w:cs="仿宋_GB2312"/>
        </w:rPr>
        <w:t>采购包1：</w:t>
      </w:r>
    </w:p>
    <w:p w14:paraId="30EF8CAB">
      <w:pPr>
        <w:pStyle w:val="4"/>
        <w:ind w:firstLine="1200"/>
        <w:jc w:val="left"/>
      </w:pPr>
      <w:r>
        <w:rPr>
          <w:rFonts w:ascii="仿宋_GB2312" w:hAnsi="仿宋_GB2312" w:eastAsia="仿宋_GB2312" w:cs="仿宋_GB2312"/>
        </w:rPr>
        <w:t>1、进度款，签订合同后，按规划编制成果与自然资源和规划局完成验收后，达到付款条件起30个工作日内，支付合同总金额的100.0%</w:t>
      </w:r>
    </w:p>
    <w:p w14:paraId="6CB2B02C">
      <w:pPr>
        <w:pStyle w:val="4"/>
        <w:jc w:val="left"/>
        <w:outlineLvl w:val="3"/>
      </w:pPr>
      <w:r>
        <w:rPr>
          <w:rFonts w:ascii="仿宋_GB2312" w:hAnsi="仿宋_GB2312" w:eastAsia="仿宋_GB2312" w:cs="仿宋_GB2312"/>
          <w:b/>
          <w:sz w:val="24"/>
        </w:rPr>
        <w:t>3.3.6违约责任及解决争议的方法</w:t>
      </w:r>
    </w:p>
    <w:p w14:paraId="527EC87C">
      <w:pPr>
        <w:pStyle w:val="4"/>
        <w:ind w:firstLine="480"/>
        <w:jc w:val="left"/>
      </w:pPr>
      <w:r>
        <w:rPr>
          <w:rFonts w:ascii="仿宋_GB2312" w:hAnsi="仿宋_GB2312" w:eastAsia="仿宋_GB2312" w:cs="仿宋_GB2312"/>
        </w:rPr>
        <w:t>采购包1：</w:t>
      </w:r>
    </w:p>
    <w:p w14:paraId="532E7E84">
      <w:pPr>
        <w:pStyle w:val="4"/>
        <w:jc w:val="left"/>
      </w:pPr>
      <w:r>
        <w:rPr>
          <w:rFonts w:ascii="仿宋_GB2312" w:hAnsi="仿宋_GB2312" w:eastAsia="仿宋_GB2312" w:cs="仿宋_GB2312"/>
        </w:rPr>
        <w:t>（一）违约责任：按照合同约定执行。（二）合同争议的解决方式：在执行本合同中发生的或与本合同有关的争端，双方应通过友好协商解决，经协商在30天内不能达成协议时，向甲方所在地有管辖权的人民法院提起诉讼。</w:t>
      </w:r>
    </w:p>
    <w:p w14:paraId="6FB70477">
      <w:pPr>
        <w:pStyle w:val="4"/>
        <w:jc w:val="left"/>
        <w:outlineLvl w:val="2"/>
      </w:pPr>
      <w:r>
        <w:rPr>
          <w:rFonts w:ascii="仿宋_GB2312" w:hAnsi="仿宋_GB2312" w:eastAsia="仿宋_GB2312" w:cs="仿宋_GB2312"/>
          <w:b/>
          <w:sz w:val="28"/>
        </w:rPr>
        <w:t>3.5其他要求</w:t>
      </w:r>
    </w:p>
    <w:p w14:paraId="749495A2">
      <w:pPr>
        <w:pStyle w:val="4"/>
        <w:ind w:firstLine="480"/>
        <w:jc w:val="left"/>
      </w:pPr>
      <w:r>
        <w:rPr>
          <w:rFonts w:ascii="仿宋_GB2312" w:hAnsi="仿宋_GB2312" w:eastAsia="仿宋_GB2312" w:cs="仿宋_GB2312"/>
        </w:rPr>
        <w:t>参与本项目采购的供应商应通过陕西省政府采购综合管理平台的项目电子化交易系统在线实施响应、磋商、报价等操作，磋商响应时无需供应商现场提供纸质响应文件，但在中标（成交）后中标（成交）供应商需在2个工作日内提供纸质响应文件正本一套、副本一套、电子版（U盘）一套（电子版文件一份含完整的电子文件PDF版本），纸质响应文件应通过专用制作软件直接打印，确保与项目电子化交易系统中的电子响应文件保持一致，不允许修改和补充。递交文件地点：陕西省西安市曲江新区旺座曲江 F座 1708。</w:t>
      </w:r>
    </w:p>
    <w:p w14:paraId="3196D545">
      <w:r>
        <w:rPr>
          <w:rFonts w:ascii="仿宋_GB2312" w:hAnsi="仿宋_GB2312" w:eastAsia="仿宋_GB2312" w:cs="仿宋_GB2312"/>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2279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2026-10-19T08:45:44Z</dcterms:created>
  <dc:creator>13983</dc:creator>
  <cp:lastModifiedBy>R·</cp:lastModifiedBy>
  <dcterms:modified xsi:type="dcterms:W3CDTF">2026-10-19T08:45:54Z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eyJoZGlkIjoiMTI0YTBlODIzYWEyYzQyOThiN2M3N2Y2MTgzZDdhOTYiLCJ1c2VySWQiOiI0ODk2NzQ5NDEifQ==</vt:lpwstr>
  </property>
  <property fmtid="{D5CDD505-2E9C-101B-9397-08002B2CF9AE}" pid="4" name="ICV">
    <vt:lpwstr>4F57BBA973054A43B8F5559687EC3144_12</vt:lpwstr>
  </property>
</Properties>
</file>