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版本号：SXZH-2026-07320260506001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新城大院消防维保及值班服务采购项目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SXZH-2026-073</w:t>
      </w:r>
      <w:r>
        <w:br/>
      </w:r>
      <w:r>
        <w:br/>
      </w:r>
      <w:r>
        <w:br/>
      </w:r>
    </w:p>
    <w:p>
      <w:pPr>
        <w:pStyle w:val="null3"/>
        <w:jc w:val="center"/>
        <w:outlineLvl w:val="2"/>
      </w:pPr>
      <w:r>
        <w:rPr>
          <w:rFonts w:ascii="仿宋_GB2312" w:hAnsi="仿宋_GB2312" w:cs="仿宋_GB2312" w:eastAsia="仿宋_GB2312"/>
          <w:sz w:val="28"/>
          <w:b/>
        </w:rPr>
        <w:t>陕西省人民政府办公区保障中心</w:t>
      </w:r>
    </w:p>
    <w:p>
      <w:pPr>
        <w:pStyle w:val="null3"/>
        <w:jc w:val="center"/>
        <w:outlineLvl w:val="2"/>
      </w:pPr>
      <w:r>
        <w:rPr>
          <w:rFonts w:ascii="仿宋_GB2312" w:hAnsi="仿宋_GB2312" w:cs="仿宋_GB2312" w:eastAsia="仿宋_GB2312"/>
          <w:sz w:val="28"/>
          <w:b/>
        </w:rPr>
        <w:t>陕西中寰项目管理有限公司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陕西中寰项目管理有限公司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陕西省人民政府办公区保障中心</w:t>
      </w:r>
      <w:r>
        <w:rPr>
          <w:rFonts w:ascii="仿宋_GB2312" w:hAnsi="仿宋_GB2312" w:cs="仿宋_GB2312" w:eastAsia="仿宋_GB2312"/>
        </w:rPr>
        <w:t>委托，拟对</w:t>
      </w:r>
      <w:r>
        <w:rPr>
          <w:rFonts w:ascii="仿宋_GB2312" w:hAnsi="仿宋_GB2312" w:cs="仿宋_GB2312" w:eastAsia="仿宋_GB2312"/>
        </w:rPr>
        <w:t>新城大院消防维保及值班服务采购项目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新城大院消防维保及值班服务采购项目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本项目拟采购新城大院消防维保及值班服务采购项目服务一项，具体详见采购文件。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采购包1（新城大院消防维保及值班服务采购项目）：属于专门面向中小企业采购。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7、供应商资质要求：供应商须在社会消防技术服务信息系统(https://shhxf.119.gov.cn/templet/index_7.jsp) 可查询，且服务类型须包含“消防设施维护保养检测”，提供查询截图，供应商需在项目电子化交易系统中按要求上传相应证明文件并进行电子签章</w:t>
      </w:r>
    </w:p>
    <w:p>
      <w:pPr>
        <w:pStyle w:val="null3"/>
      </w:pPr>
      <w:r>
        <w:rPr>
          <w:rFonts w:ascii="仿宋_GB2312" w:hAnsi="仿宋_GB2312" w:cs="仿宋_GB2312" w:eastAsia="仿宋_GB2312"/>
        </w:rPr>
        <w:t>8、拟派项目负责人：须具备国家一级注册消防工程师资格证书，且证书在有效期内并提供近六个月内任意月份的社保证明材料。</w:t>
      </w:r>
    </w:p>
    <w:p>
      <w:pPr>
        <w:pStyle w:val="null3"/>
      </w:pPr>
      <w:r>
        <w:rPr>
          <w:rFonts w:ascii="仿宋_GB2312" w:hAnsi="仿宋_GB2312" w:cs="仿宋_GB2312" w:eastAsia="仿宋_GB2312"/>
        </w:rPr>
        <w:t>9、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陕西省人民政府办公区保障中心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陕西省人民政府新城大院内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63912990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陕西省西安市雁塔区西安市高新区科技二路65号启迪清扬时代E座22层2203室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19992888096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服务类的收费标准计取。2、成交单位在领取成交通知书之前，须向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陕西省人民政府办公区保障中心</w:t>
      </w:r>
      <w:r>
        <w:rPr>
          <w:rFonts w:ascii="仿宋_GB2312" w:hAnsi="仿宋_GB2312" w:cs="仿宋_GB2312" w:eastAsia="仿宋_GB2312"/>
        </w:rPr>
        <w:t>和</w:t>
      </w:r>
      <w:r>
        <w:rPr>
          <w:rFonts w:ascii="仿宋_GB2312" w:hAnsi="仿宋_GB2312" w:cs="仿宋_GB2312" w:eastAsia="仿宋_GB2312"/>
        </w:rPr>
        <w:t>陕西中寰项目管理有限公司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陕西省人民政府办公区保障中心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陕西省人民政府办公区保障中心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联系人：王硕</w:t>
      </w:r>
    </w:p>
    <w:p>
      <w:pPr>
        <w:pStyle w:val="null3"/>
      </w:pPr>
      <w:r>
        <w:rPr>
          <w:rFonts w:ascii="仿宋_GB2312" w:hAnsi="仿宋_GB2312" w:cs="仿宋_GB2312" w:eastAsia="仿宋_GB2312"/>
        </w:rPr>
        <w:t>联系电话：19992888096</w:t>
      </w:r>
    </w:p>
    <w:p>
      <w:pPr>
        <w:pStyle w:val="null3"/>
      </w:pPr>
      <w:r>
        <w:rPr>
          <w:rFonts w:ascii="仿宋_GB2312" w:hAnsi="仿宋_GB2312" w:cs="仿宋_GB2312" w:eastAsia="仿宋_GB2312"/>
        </w:rPr>
        <w:t>地址：西安市高新区科技二路启迪科技园E座2203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本项目拟采购新城大院消防维保及值班服务采购项目服务一项，具体详见采购文件。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新城大院全年消防维保及值班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标的名称：新城大院全年消防维保及值班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rPr>
              <w:t>一、服务要求</w:t>
            </w:r>
          </w:p>
          <w:p>
            <w:pPr>
              <w:pStyle w:val="null3"/>
            </w:pPr>
            <w:r>
              <w:rPr>
                <w:rFonts w:ascii="仿宋_GB2312" w:hAnsi="仿宋_GB2312" w:cs="仿宋_GB2312" w:eastAsia="仿宋_GB2312"/>
              </w:rPr>
              <w:t xml:space="preserve">   </w:t>
            </w:r>
            <w:r>
              <w:rPr>
                <w:rFonts w:ascii="仿宋_GB2312" w:hAnsi="仿宋_GB2312" w:cs="仿宋_GB2312" w:eastAsia="仿宋_GB2312"/>
              </w:rPr>
              <w:t>本项目服务须严格遵守《中华人民共和国消防法》《建筑消防设施的维护管理》《消防控制室通用技术要求》等国家、行业及陕西省、西安市现行消防法律法规与规范标准，中标方作为服务责任主体，承担合同范围内消防维保、值班值守责任，对人员管理、维保质量、应急处置负责，须建立标准化全流程闭环管理与可追溯的服务台账体系并定期向采购人提交存档，保障服务范围内消防系统全年稳定可靠运行，消防值班值守零脱岗、零违规操作、零责任消防安全事故，确保项目顺利通过消防救援机构及相关主管部门的各项监督检查与专项检测。</w:t>
            </w:r>
          </w:p>
          <w:p>
            <w:pPr>
              <w:pStyle w:val="null3"/>
            </w:pPr>
            <w:r>
              <w:rPr>
                <w:rFonts w:ascii="仿宋_GB2312" w:hAnsi="仿宋_GB2312" w:cs="仿宋_GB2312" w:eastAsia="仿宋_GB2312"/>
              </w:rPr>
              <w:t xml:space="preserve"> </w:t>
            </w:r>
            <w:r>
              <w:rPr>
                <w:rFonts w:ascii="仿宋_GB2312" w:hAnsi="仿宋_GB2312" w:cs="仿宋_GB2312" w:eastAsia="仿宋_GB2312"/>
              </w:rPr>
              <w:t>二、服务范围</w:t>
            </w:r>
          </w:p>
          <w:p>
            <w:pPr>
              <w:pStyle w:val="null3"/>
            </w:pPr>
            <w:r>
              <w:rPr>
                <w:rFonts w:ascii="仿宋_GB2312" w:hAnsi="仿宋_GB2312" w:cs="仿宋_GB2312" w:eastAsia="仿宋_GB2312"/>
              </w:rPr>
              <w:t xml:space="preserve">    </w:t>
            </w:r>
            <w:r>
              <w:rPr>
                <w:rFonts w:ascii="仿宋_GB2312" w:hAnsi="仿宋_GB2312" w:cs="仿宋_GB2312" w:eastAsia="仿宋_GB2312"/>
              </w:rPr>
              <w:t>1.</w:t>
            </w:r>
            <w:r>
              <w:rPr>
                <w:rFonts w:ascii="仿宋_GB2312" w:hAnsi="仿宋_GB2312" w:cs="仿宋_GB2312" w:eastAsia="仿宋_GB2312"/>
              </w:rPr>
              <w:t>消防设施设备维保服务范围：前办公大楼、高层车库、</w:t>
            </w:r>
            <w:r>
              <w:rPr>
                <w:rFonts w:ascii="仿宋_GB2312" w:hAnsi="仿宋_GB2312" w:cs="仿宋_GB2312" w:eastAsia="仿宋_GB2312"/>
              </w:rPr>
              <w:t>8</w:t>
            </w: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w:t>
            </w:r>
            <w:r>
              <w:rPr>
                <w:rFonts w:ascii="仿宋_GB2312" w:hAnsi="仿宋_GB2312" w:cs="仿宋_GB2312" w:eastAsia="仿宋_GB2312"/>
              </w:rPr>
              <w:t xml:space="preserve">11 </w:t>
            </w:r>
            <w:r>
              <w:rPr>
                <w:rFonts w:ascii="仿宋_GB2312" w:hAnsi="仿宋_GB2312" w:cs="仿宋_GB2312" w:eastAsia="仿宋_GB2312"/>
              </w:rPr>
              <w:t>号楼、黄楼、</w:t>
            </w:r>
            <w:r>
              <w:rPr>
                <w:rFonts w:ascii="仿宋_GB2312" w:hAnsi="仿宋_GB2312" w:cs="仿宋_GB2312" w:eastAsia="仿宋_GB2312"/>
              </w:rPr>
              <w:t>28</w:t>
            </w:r>
            <w:r>
              <w:rPr>
                <w:rFonts w:ascii="仿宋_GB2312" w:hAnsi="仿宋_GB2312" w:cs="仿宋_GB2312" w:eastAsia="仿宋_GB2312"/>
              </w:rPr>
              <w:t>、</w:t>
            </w:r>
            <w:r>
              <w:rPr>
                <w:rFonts w:ascii="仿宋_GB2312" w:hAnsi="仿宋_GB2312" w:cs="仿宋_GB2312" w:eastAsia="仿宋_GB2312"/>
              </w:rPr>
              <w:t>29</w:t>
            </w:r>
            <w:r>
              <w:rPr>
                <w:rFonts w:ascii="仿宋_GB2312" w:hAnsi="仿宋_GB2312" w:cs="仿宋_GB2312" w:eastAsia="仿宋_GB2312"/>
              </w:rPr>
              <w:t>、</w:t>
            </w:r>
            <w:r>
              <w:rPr>
                <w:rFonts w:ascii="仿宋_GB2312" w:hAnsi="仿宋_GB2312" w:cs="仿宋_GB2312" w:eastAsia="仿宋_GB2312"/>
              </w:rPr>
              <w:t>30</w:t>
            </w:r>
            <w:r>
              <w:rPr>
                <w:rFonts w:ascii="仿宋_GB2312" w:hAnsi="仿宋_GB2312" w:cs="仿宋_GB2312" w:eastAsia="仿宋_GB2312"/>
              </w:rPr>
              <w:t>、</w:t>
            </w:r>
            <w:r>
              <w:rPr>
                <w:rFonts w:ascii="仿宋_GB2312" w:hAnsi="仿宋_GB2312" w:cs="仿宋_GB2312" w:eastAsia="仿宋_GB2312"/>
              </w:rPr>
              <w:t>37</w:t>
            </w:r>
            <w:r>
              <w:rPr>
                <w:rFonts w:ascii="仿宋_GB2312" w:hAnsi="仿宋_GB2312" w:cs="仿宋_GB2312" w:eastAsia="仿宋_GB2312"/>
              </w:rPr>
              <w:t>、</w:t>
            </w:r>
            <w:r>
              <w:rPr>
                <w:rFonts w:ascii="仿宋_GB2312" w:hAnsi="仿宋_GB2312" w:cs="仿宋_GB2312" w:eastAsia="仿宋_GB2312"/>
              </w:rPr>
              <w:t xml:space="preserve">45 </w:t>
            </w:r>
            <w:r>
              <w:rPr>
                <w:rFonts w:ascii="仿宋_GB2312" w:hAnsi="仿宋_GB2312" w:cs="仿宋_GB2312" w:eastAsia="仿宋_GB2312"/>
              </w:rPr>
              <w:t xml:space="preserve">号楼、机关幼儿园共计 </w:t>
            </w:r>
            <w:r>
              <w:rPr>
                <w:rFonts w:ascii="仿宋_GB2312" w:hAnsi="仿宋_GB2312" w:cs="仿宋_GB2312" w:eastAsia="仿宋_GB2312"/>
              </w:rPr>
              <w:t>13</w:t>
            </w:r>
            <w:r>
              <w:rPr>
                <w:rFonts w:ascii="仿宋_GB2312" w:hAnsi="仿宋_GB2312" w:cs="仿宋_GB2312" w:eastAsia="仿宋_GB2312"/>
              </w:rPr>
              <w:t>个单体建筑；</w:t>
            </w:r>
          </w:p>
          <w:p>
            <w:pPr>
              <w:pStyle w:val="null3"/>
            </w:pPr>
            <w:r>
              <w:rPr>
                <w:rFonts w:ascii="仿宋_GB2312" w:hAnsi="仿宋_GB2312" w:cs="仿宋_GB2312" w:eastAsia="仿宋_GB2312"/>
              </w:rPr>
              <w:t xml:space="preserve">    </w:t>
            </w:r>
            <w:r>
              <w:rPr>
                <w:rFonts w:ascii="仿宋_GB2312" w:hAnsi="仿宋_GB2312" w:cs="仿宋_GB2312" w:eastAsia="仿宋_GB2312"/>
              </w:rPr>
              <w:t>2.</w:t>
            </w:r>
            <w:r>
              <w:rPr>
                <w:rFonts w:ascii="仿宋_GB2312" w:hAnsi="仿宋_GB2312" w:cs="仿宋_GB2312" w:eastAsia="仿宋_GB2312"/>
              </w:rPr>
              <w:t>值班值守范围：</w:t>
            </w:r>
            <w:r>
              <w:rPr>
                <w:rFonts w:ascii="仿宋_GB2312" w:hAnsi="仿宋_GB2312" w:cs="仿宋_GB2312" w:eastAsia="仿宋_GB2312"/>
              </w:rPr>
              <w:t>10</w:t>
            </w:r>
            <w:r>
              <w:rPr>
                <w:rFonts w:ascii="仿宋_GB2312" w:hAnsi="仿宋_GB2312" w:cs="仿宋_GB2312" w:eastAsia="仿宋_GB2312"/>
              </w:rPr>
              <w:t>号楼、</w:t>
            </w:r>
            <w:r>
              <w:rPr>
                <w:rFonts w:ascii="仿宋_GB2312" w:hAnsi="仿宋_GB2312" w:cs="仿宋_GB2312" w:eastAsia="仿宋_GB2312"/>
              </w:rPr>
              <w:t>28</w:t>
            </w:r>
            <w:r>
              <w:rPr>
                <w:rFonts w:ascii="仿宋_GB2312" w:hAnsi="仿宋_GB2312" w:cs="仿宋_GB2312" w:eastAsia="仿宋_GB2312"/>
              </w:rPr>
              <w:t>号楼、</w:t>
            </w:r>
            <w:r>
              <w:rPr>
                <w:rFonts w:ascii="仿宋_GB2312" w:hAnsi="仿宋_GB2312" w:cs="仿宋_GB2312" w:eastAsia="仿宋_GB2312"/>
              </w:rPr>
              <w:t>37</w:t>
            </w:r>
            <w:r>
              <w:rPr>
                <w:rFonts w:ascii="仿宋_GB2312" w:hAnsi="仿宋_GB2312" w:cs="仿宋_GB2312" w:eastAsia="仿宋_GB2312"/>
              </w:rPr>
              <w:t>号楼消防监控室</w:t>
            </w:r>
            <w:r>
              <w:rPr>
                <w:rFonts w:ascii="仿宋_GB2312" w:hAnsi="仿宋_GB2312" w:cs="仿宋_GB2312" w:eastAsia="仿宋_GB2312"/>
              </w:rPr>
              <w:t>24</w:t>
            </w:r>
            <w:r>
              <w:rPr>
                <w:rFonts w:ascii="仿宋_GB2312" w:hAnsi="仿宋_GB2312" w:cs="仿宋_GB2312" w:eastAsia="仿宋_GB2312"/>
              </w:rPr>
              <w:t>小时值班；</w:t>
            </w:r>
          </w:p>
          <w:p>
            <w:pPr>
              <w:pStyle w:val="null3"/>
            </w:pPr>
            <w:r>
              <w:rPr>
                <w:rFonts w:ascii="仿宋_GB2312" w:hAnsi="仿宋_GB2312" w:cs="仿宋_GB2312" w:eastAsia="仿宋_GB2312"/>
              </w:rPr>
              <w:t xml:space="preserve">    </w:t>
            </w:r>
            <w:r>
              <w:rPr>
                <w:rFonts w:ascii="仿宋_GB2312" w:hAnsi="仿宋_GB2312" w:cs="仿宋_GB2312" w:eastAsia="仿宋_GB2312"/>
              </w:rPr>
              <w:t>3.</w:t>
            </w:r>
            <w:r>
              <w:rPr>
                <w:rFonts w:ascii="仿宋_GB2312" w:hAnsi="仿宋_GB2312" w:cs="仿宋_GB2312" w:eastAsia="仿宋_GB2312"/>
              </w:rPr>
              <w:t>人员配备：项目经理（</w:t>
            </w:r>
            <w:r>
              <w:rPr>
                <w:rFonts w:ascii="仿宋_GB2312" w:hAnsi="仿宋_GB2312" w:cs="仿宋_GB2312" w:eastAsia="仿宋_GB2312"/>
              </w:rPr>
              <w:t>1</w:t>
            </w:r>
            <w:r>
              <w:rPr>
                <w:rFonts w:ascii="仿宋_GB2312" w:hAnsi="仿宋_GB2312" w:cs="仿宋_GB2312" w:eastAsia="仿宋_GB2312"/>
              </w:rPr>
              <w:t>人）：具备一级注册消防工程师资质；带班经理（</w:t>
            </w:r>
            <w:r>
              <w:rPr>
                <w:rFonts w:ascii="仿宋_GB2312" w:hAnsi="仿宋_GB2312" w:cs="仿宋_GB2312" w:eastAsia="仿宋_GB2312"/>
              </w:rPr>
              <w:t>1</w:t>
            </w:r>
            <w:r>
              <w:rPr>
                <w:rFonts w:ascii="仿宋_GB2312" w:hAnsi="仿宋_GB2312" w:cs="仿宋_GB2312" w:eastAsia="仿宋_GB2312"/>
              </w:rPr>
              <w:t>人）具备消防设施操作员中级及以上证书；消防值守人员（</w:t>
            </w:r>
            <w:r>
              <w:rPr>
                <w:rFonts w:ascii="仿宋_GB2312" w:hAnsi="仿宋_GB2312" w:cs="仿宋_GB2312" w:eastAsia="仿宋_GB2312"/>
              </w:rPr>
              <w:t>8</w:t>
            </w:r>
            <w:r>
              <w:rPr>
                <w:rFonts w:ascii="仿宋_GB2312" w:hAnsi="仿宋_GB2312" w:cs="仿宋_GB2312" w:eastAsia="仿宋_GB2312"/>
              </w:rPr>
              <w:t>人）具备消防设施操作员中级证书（消防设施监控操作）；消防维保人员（</w:t>
            </w:r>
            <w:r>
              <w:rPr>
                <w:rFonts w:ascii="仿宋_GB2312" w:hAnsi="仿宋_GB2312" w:cs="仿宋_GB2312" w:eastAsia="仿宋_GB2312"/>
              </w:rPr>
              <w:t>4</w:t>
            </w:r>
            <w:r>
              <w:rPr>
                <w:rFonts w:ascii="仿宋_GB2312" w:hAnsi="仿宋_GB2312" w:cs="仿宋_GB2312" w:eastAsia="仿宋_GB2312"/>
              </w:rPr>
              <w:t>人）具备具备消防设施操作员中级证书（消防设施维保操作）。</w:t>
            </w:r>
          </w:p>
          <w:p>
            <w:pPr>
              <w:pStyle w:val="null3"/>
            </w:pPr>
            <w:r>
              <w:rPr>
                <w:rFonts w:ascii="仿宋_GB2312" w:hAnsi="仿宋_GB2312" w:cs="仿宋_GB2312" w:eastAsia="仿宋_GB2312"/>
              </w:rPr>
              <w:t>三、服务内容</w:t>
            </w:r>
          </w:p>
          <w:tbl>
            <w:tblPr>
              <w:tblBorders>
                <w:top w:val="none" w:color="000000" w:sz="4"/>
                <w:left w:val="none" w:color="000000" w:sz="4"/>
                <w:bottom w:val="none" w:color="000000" w:sz="4"/>
                <w:right w:val="none" w:color="000000" w:sz="4"/>
                <w:insideH w:val="none"/>
                <w:insideV w:val="none"/>
              </w:tblBorders>
            </w:tblPr>
            <w:tblGrid>
              <w:gridCol w:w="639"/>
              <w:gridCol w:w="1424"/>
              <w:gridCol w:w="3038"/>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3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工作内容</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火灾自动报警系统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消防主机、回路、多线、总线盘、广播、电话、</w:t>
                  </w:r>
                </w:p>
                <w:p>
                  <w:pPr>
                    <w:pStyle w:val="null3"/>
                  </w:pPr>
                  <w:r>
                    <w:rPr>
                      <w:rFonts w:ascii="仿宋_GB2312" w:hAnsi="仿宋_GB2312" w:cs="仿宋_GB2312" w:eastAsia="仿宋_GB2312"/>
                      <w:sz w:val="19"/>
                    </w:rPr>
                    <w:t>烟感、温感、声光、手报、火灾显示盘、模块等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自动喷淋系统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管道、阀组、喷头、压力表等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消防栓系统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管道、阀组、消防栓、龙带、卷盘软管、压力表等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水泵房系统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消防泵、喷淋泵、稳压泵及相关控制监视设备</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应急照明系统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应急照明设备的切换、亮度反馈信号等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消防联动系统</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空调通风系统、排风系统的防火阀功能及联动</w:t>
                  </w:r>
                </w:p>
                <w:p>
                  <w:pPr>
                    <w:pStyle w:val="null3"/>
                  </w:pPr>
                  <w:r>
                    <w:rPr>
                      <w:rFonts w:ascii="仿宋_GB2312" w:hAnsi="仿宋_GB2312" w:cs="仿宋_GB2312" w:eastAsia="仿宋_GB2312"/>
                      <w:sz w:val="19"/>
                    </w:rPr>
                    <w:t>讯号等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防火卷帘门及防火门</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控制器、卷帘导轨和转动机构、帘叶等</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消防值班</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r>
                    <w:rPr>
                      <w:rFonts w:ascii="仿宋_GB2312" w:hAnsi="仿宋_GB2312" w:cs="仿宋_GB2312" w:eastAsia="仿宋_GB2312"/>
                      <w:sz w:val="19"/>
                    </w:rPr>
                    <w:t>小时</w:t>
                  </w:r>
                  <w:r>
                    <w:rPr>
                      <w:rFonts w:ascii="仿宋_GB2312" w:hAnsi="仿宋_GB2312" w:cs="仿宋_GB2312" w:eastAsia="仿宋_GB2312"/>
                      <w:sz w:val="19"/>
                    </w:rPr>
                    <w:t>值班</w:t>
                  </w:r>
                </w:p>
              </w:tc>
            </w:tr>
            <w:tr>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易损件更换</w:t>
                  </w:r>
                </w:p>
              </w:tc>
              <w:tc>
                <w:tcPr>
                  <w:tcW w:type="dxa" w:w="3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承担单价</w:t>
                  </w:r>
                  <w:r>
                    <w:rPr>
                      <w:rFonts w:ascii="仿宋_GB2312" w:hAnsi="仿宋_GB2312" w:cs="仿宋_GB2312" w:eastAsia="仿宋_GB2312"/>
                      <w:sz w:val="19"/>
                    </w:rPr>
                    <w:t>500</w:t>
                  </w:r>
                  <w:r>
                    <w:rPr>
                      <w:rFonts w:ascii="仿宋_GB2312" w:hAnsi="仿宋_GB2312" w:cs="仿宋_GB2312" w:eastAsia="仿宋_GB2312"/>
                      <w:sz w:val="19"/>
                    </w:rPr>
                    <w:t>以内配件的购买、更换、维修</w:t>
                  </w:r>
                </w:p>
              </w:tc>
            </w:tr>
          </w:tbl>
          <w:p>
            <w:pPr>
              <w:pStyle w:val="null3"/>
            </w:pPr>
            <w:r>
              <w:rPr>
                <w:rFonts w:ascii="仿宋_GB2312" w:hAnsi="仿宋_GB2312" w:cs="仿宋_GB2312" w:eastAsia="仿宋_GB2312"/>
              </w:rPr>
              <w:t>四、商务要求</w:t>
            </w:r>
          </w:p>
          <w:p>
            <w:pPr>
              <w:pStyle w:val="null3"/>
            </w:pPr>
            <w:r>
              <w:rPr>
                <w:rFonts w:ascii="仿宋_GB2312" w:hAnsi="仿宋_GB2312" w:cs="仿宋_GB2312" w:eastAsia="仿宋_GB2312"/>
              </w:rPr>
              <w:t>1.</w:t>
            </w:r>
            <w:r>
              <w:rPr>
                <w:rFonts w:ascii="仿宋_GB2312" w:hAnsi="仿宋_GB2312" w:cs="仿宋_GB2312" w:eastAsia="仿宋_GB2312"/>
              </w:rPr>
              <w:t>服务期限：</w:t>
            </w:r>
            <w:r>
              <w:rPr>
                <w:rFonts w:ascii="仿宋_GB2312" w:hAnsi="仿宋_GB2312" w:cs="仿宋_GB2312" w:eastAsia="仿宋_GB2312"/>
              </w:rPr>
              <w:t>1</w:t>
            </w:r>
            <w:r>
              <w:rPr>
                <w:rFonts w:ascii="仿宋_GB2312" w:hAnsi="仿宋_GB2312" w:cs="仿宋_GB2312" w:eastAsia="仿宋_GB2312"/>
              </w:rPr>
              <w:t>年（年度）；</w:t>
            </w:r>
          </w:p>
          <w:p>
            <w:pPr>
              <w:pStyle w:val="null3"/>
            </w:pPr>
            <w:r>
              <w:rPr>
                <w:rFonts w:ascii="仿宋_GB2312" w:hAnsi="仿宋_GB2312" w:cs="仿宋_GB2312" w:eastAsia="仿宋_GB2312"/>
              </w:rPr>
              <w:t>2.</w:t>
            </w:r>
            <w:r>
              <w:rPr>
                <w:rFonts w:ascii="仿宋_GB2312" w:hAnsi="仿宋_GB2312" w:cs="仿宋_GB2312" w:eastAsia="仿宋_GB2312"/>
              </w:rPr>
              <w:t>服务地点：采购人指定地点；</w:t>
            </w:r>
          </w:p>
          <w:p>
            <w:pPr>
              <w:pStyle w:val="null3"/>
            </w:pPr>
            <w:r>
              <w:rPr>
                <w:rFonts w:ascii="仿宋_GB2312" w:hAnsi="仿宋_GB2312" w:cs="仿宋_GB2312" w:eastAsia="仿宋_GB2312"/>
                <w:sz w:val="21"/>
              </w:rPr>
              <w:t>3.</w:t>
            </w:r>
            <w:r>
              <w:rPr>
                <w:rFonts w:ascii="仿宋_GB2312" w:hAnsi="仿宋_GB2312" w:cs="仿宋_GB2312" w:eastAsia="仿宋_GB2312"/>
                <w:sz w:val="21"/>
              </w:rPr>
              <w:t>服务质量：质量达到现行合格标准，符合国家、行业、地方规定的质量和安全标准要求。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服务合同签订后，由乙方提出付款申请并开具增值税发票，甲方收到后支付总合同款的60%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剩余40%合同款，于合同期满后，经考核合格，乙方开具增值税发票后支付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（三）合同争议解决的方式：本合同在履行过程中发生的争议，由甲、乙双方当事人协商解决，协商不成的按下列第（一）种方式解决：（一）提交西安仲裁委员会仲裁；（二）依法向甲方所在地法院起诉。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2、本项目成交供应商须在领取成交通知书时，提供纸质版响应文件壹份，纸质版响应文件需与系统签章版响应文件保持一致。3、根据《财政部关于推进和完善服务项目政府采购有关问题的通知》有关规定，合同期满后可依据服务满意度调查结果决定是否续签，原则上续签不超过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供应商须在社会消防技术服务信息系统(https://shhxf.119.gov.cn/templet/index_7.jsp) 可查询，且服务类型须包含“消防设施维护保养检测”，提供查询截图，供应商需在项目电子化交易系统中按要求上传相应证明文件并进行电子签章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须具备国家一级注册消防工程师资格证书，且证书在有效期内并提供近六个月内任意月份的社保证明材料。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商务响应偏离表.docx 供应商应提交的相关资格证明材料.docx 服务内容及服务邀请应答表 中小企业声明函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服务内容及服务邀请应答表 商务响应偏离表.docx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维保方案中包含①总体维保方案②消防维保控制要点③维保人员工作安排④维保时间及计划⑤消防维保重点难点分析⑥消防维保质量保障措施⑦故障处理措施⑧消防维保检验⑨安全维护保障⑩消防维保排除故障。根据内容的完整性、针对性、合理性，每项最高计4分，满分40分，未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消防故障应急预案</w:t>
            </w:r>
          </w:p>
        </w:tc>
        <w:tc>
          <w:tcPr>
            <w:tcW w:type="dxa" w:w="2492"/>
          </w:tcPr>
          <w:p>
            <w:pPr>
              <w:pStyle w:val="null3"/>
            </w:pPr>
            <w:r>
              <w:rPr>
                <w:rFonts w:ascii="仿宋_GB2312" w:hAnsi="仿宋_GB2312" w:cs="仿宋_GB2312" w:eastAsia="仿宋_GB2312"/>
              </w:rPr>
              <w:t>供应商响应文件中针对本项目制定的应急处理方案包括①应急响应速度②应急措施及保障预案；根据内容的完整性、针对性、合理性，每项最高计6分，满分12分，未提供不得分。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结合本项目要求，配备满足采购需求的相关维修维护人员，团队成员类似项目经验丰富，人员安排数量充足，岗位安排科学合理，完全满足项目实施需求，提供完善的人员概况、人员分工及其他证明材料，能有效保证项目的实施。 人员配备方案完善合理，职责明确，满足采购人实际需求得10分； 人员配备方案比较完善合理，职责比较明确，满足采购人实际需求得8 分； 人员配备方案相对完善，职责相对明确，相对能满足采购人实际需求得6分； 人员配备方案基本完善，职责基本明确，基本能够满足采购人实际需求得 4分； 人员配备方案一般、职责划分不明确，响应性差的得2分；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针对本项目制定管理制度，内容应包含①项目人员管理②工作职能组织③项目人员配各结构及职责分工④项目人员考核办法⑤档案管理；根据内容的完整性、针对性、合理性，每项最高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维保更换配件及工具</w:t>
            </w:r>
          </w:p>
        </w:tc>
        <w:tc>
          <w:tcPr>
            <w:tcW w:type="dxa" w:w="2492"/>
          </w:tcPr>
          <w:p>
            <w:pPr>
              <w:pStyle w:val="null3"/>
            </w:pPr>
            <w:r>
              <w:rPr>
                <w:rFonts w:ascii="仿宋_GB2312" w:hAnsi="仿宋_GB2312" w:cs="仿宋_GB2312" w:eastAsia="仿宋_GB2312"/>
              </w:rPr>
              <w:t>根据供应商提供的完整的维保更换配件清单、专业维保工具、检测设备进行评审，方案应包含①提供完整的维保更换配件清单及相关质量证明材料②专业维保工具、检测设备；根据内容的完整性、针对性、合理性，每项最高计5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供应商提供有利于本项目实施的合理化建议。 合理化建议针对性强、科学、合理得4分； 合理化建议针对性较强、合理可行得2分；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供应商提供自2023年1月1日至今同类项目业绩，每份计2分，最高计4分。（提供合同复印件，时间以合同签订时间为准）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评标基准价：即满足竞争性磋商文件要求且投标价格最低的投标报价为评标基准价。 其他供应商的价格分按照下列公式计算。投标报价得分=(评标基准价／投标报价)×10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