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101BB">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21DA139D">
      <w:pPr>
        <w:keepNext w:val="0"/>
        <w:keepLines w:val="0"/>
        <w:pageBreakBefore w:val="0"/>
        <w:widowControl/>
        <w:tabs>
          <w:tab w:val="left" w:pos="7770"/>
        </w:tabs>
        <w:kinsoku w:val="0"/>
        <w:wordWrap/>
        <w:overflowPunct/>
        <w:topLinePunct w:val="0"/>
        <w:autoSpaceDE w:val="0"/>
        <w:autoSpaceDN w:val="0"/>
        <w:bidi w:val="0"/>
        <w:adjustRightInd w:val="0"/>
        <w:snapToGrid w:val="0"/>
        <w:spacing w:before="136" w:line="360" w:lineRule="auto"/>
        <w:ind w:right="525" w:rightChars="250"/>
        <w:jc w:val="center"/>
        <w:textAlignment w:val="baseline"/>
        <w:rPr>
          <w:rFonts w:hint="eastAsia" w:ascii="宋体" w:hAnsi="宋体" w:eastAsia="宋体" w:cs="宋体"/>
          <w:sz w:val="42"/>
          <w:szCs w:val="42"/>
          <w:lang w:eastAsia="zh-CN"/>
        </w:rPr>
      </w:pPr>
      <w:r>
        <w:rPr>
          <w:rFonts w:hint="eastAsia" w:ascii="宋体" w:hAnsi="宋体" w:eastAsia="宋体" w:cs="宋体"/>
          <w:spacing w:val="5"/>
          <w:sz w:val="42"/>
          <w:szCs w:val="42"/>
          <w:lang w:eastAsia="zh-CN"/>
        </w:rPr>
        <w:t>新城大院消防维保及值班服务采购项目</w:t>
      </w:r>
    </w:p>
    <w:p w14:paraId="0F1AD82E">
      <w:pPr>
        <w:keepNext w:val="0"/>
        <w:keepLines w:val="0"/>
        <w:pageBreakBefore w:val="0"/>
        <w:widowControl/>
        <w:kinsoku w:val="0"/>
        <w:wordWrap/>
        <w:overflowPunct/>
        <w:topLinePunct w:val="0"/>
        <w:autoSpaceDE w:val="0"/>
        <w:autoSpaceDN w:val="0"/>
        <w:bidi w:val="0"/>
        <w:adjustRightInd w:val="0"/>
        <w:snapToGrid w:val="0"/>
        <w:spacing w:before="78" w:line="360" w:lineRule="auto"/>
        <w:ind w:right="525" w:rightChars="250"/>
        <w:textAlignment w:val="baseline"/>
        <w:rPr>
          <w:rFonts w:hint="eastAsia" w:ascii="宋体" w:hAnsi="宋体" w:eastAsia="宋体" w:cs="宋体"/>
          <w:spacing w:val="-1"/>
          <w:sz w:val="24"/>
          <w:szCs w:val="24"/>
        </w:rPr>
      </w:pPr>
    </w:p>
    <w:p w14:paraId="56DF2AF7">
      <w:pPr>
        <w:keepNext w:val="0"/>
        <w:keepLines w:val="0"/>
        <w:pageBreakBefore w:val="0"/>
        <w:widowControl/>
        <w:kinsoku w:val="0"/>
        <w:wordWrap/>
        <w:overflowPunct/>
        <w:topLinePunct w:val="0"/>
        <w:autoSpaceDE w:val="0"/>
        <w:autoSpaceDN w:val="0"/>
        <w:bidi w:val="0"/>
        <w:adjustRightInd w:val="0"/>
        <w:snapToGrid w:val="0"/>
        <w:spacing w:before="78" w:line="360" w:lineRule="auto"/>
        <w:ind w:right="525" w:rightChars="250"/>
        <w:jc w:val="center"/>
        <w:textAlignment w:val="baseline"/>
        <w:rPr>
          <w:rFonts w:hint="eastAsia" w:ascii="宋体" w:hAnsi="宋体" w:eastAsia="宋体" w:cs="宋体"/>
          <w:sz w:val="24"/>
          <w:szCs w:val="24"/>
        </w:rPr>
      </w:pPr>
      <w:r>
        <w:rPr>
          <w:rFonts w:hint="eastAsia" w:ascii="宋体" w:hAnsi="宋体" w:eastAsia="宋体" w:cs="宋体"/>
          <w:spacing w:val="-1"/>
          <w:sz w:val="24"/>
          <w:szCs w:val="24"/>
        </w:rPr>
        <w:t>（本合同仅供参考，最终签订合同以实际签署合同为准）</w:t>
      </w:r>
    </w:p>
    <w:p w14:paraId="79F3785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0FE2865B">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textAlignment w:val="baseline"/>
        <w:rPr>
          <w:rFonts w:hint="eastAsia" w:ascii="宋体" w:hAnsi="宋体" w:eastAsia="宋体" w:cs="宋体"/>
        </w:rPr>
      </w:pPr>
    </w:p>
    <w:p w14:paraId="2D5352B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04CD6C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2D0D5EB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1A75DA4D">
      <w:pPr>
        <w:keepNext w:val="0"/>
        <w:keepLines w:val="0"/>
        <w:pageBreakBefore w:val="0"/>
        <w:widowControl/>
        <w:kinsoku w:val="0"/>
        <w:wordWrap/>
        <w:overflowPunct/>
        <w:topLinePunct w:val="0"/>
        <w:autoSpaceDE w:val="0"/>
        <w:autoSpaceDN w:val="0"/>
        <w:bidi w:val="0"/>
        <w:adjustRightInd w:val="0"/>
        <w:snapToGrid w:val="0"/>
        <w:spacing w:before="267" w:line="360" w:lineRule="auto"/>
        <w:ind w:right="525" w:rightChars="250"/>
        <w:jc w:val="center"/>
        <w:textAlignment w:val="baseline"/>
        <w:outlineLvl w:val="0"/>
        <w:rPr>
          <w:rFonts w:hint="eastAsia" w:ascii="宋体" w:hAnsi="宋体" w:eastAsia="宋体" w:cs="宋体"/>
          <w:sz w:val="82"/>
          <w:szCs w:val="82"/>
        </w:rPr>
      </w:pPr>
      <w:r>
        <w:rPr>
          <w:rFonts w:hint="eastAsia" w:ascii="宋体" w:hAnsi="宋体" w:eastAsia="宋体" w:cs="宋体"/>
          <w:spacing w:val="7"/>
          <w:sz w:val="82"/>
          <w:szCs w:val="82"/>
        </w:rPr>
        <w:t>服务合同</w:t>
      </w:r>
    </w:p>
    <w:p w14:paraId="01A296E2">
      <w:pPr>
        <w:keepNext w:val="0"/>
        <w:keepLines w:val="0"/>
        <w:pageBreakBefore w:val="0"/>
        <w:widowControl/>
        <w:kinsoku w:val="0"/>
        <w:wordWrap/>
        <w:overflowPunct/>
        <w:topLinePunct w:val="0"/>
        <w:autoSpaceDE w:val="0"/>
        <w:autoSpaceDN w:val="0"/>
        <w:bidi w:val="0"/>
        <w:adjustRightInd w:val="0"/>
        <w:snapToGrid w:val="0"/>
        <w:spacing w:before="183" w:line="360" w:lineRule="auto"/>
        <w:ind w:right="525" w:rightChars="250"/>
        <w:jc w:val="center"/>
        <w:textAlignment w:val="baseline"/>
        <w:rPr>
          <w:rFonts w:hint="eastAsia" w:ascii="宋体" w:hAnsi="宋体" w:eastAsia="宋体" w:cs="宋体"/>
          <w:sz w:val="30"/>
          <w:szCs w:val="30"/>
        </w:rPr>
      </w:pPr>
      <w:r>
        <w:rPr>
          <w:rFonts w:hint="eastAsia" w:ascii="宋体" w:hAnsi="宋体" w:eastAsia="宋体" w:cs="宋体"/>
          <w:spacing w:val="10"/>
          <w:sz w:val="30"/>
          <w:szCs w:val="30"/>
        </w:rPr>
        <w:t>项目编号：</w:t>
      </w:r>
    </w:p>
    <w:p w14:paraId="3DB0A8B4">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1098432F">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2FE53E87">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132C30EC">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4CBBE3B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50CAE3A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0FE1541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70999C8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20F646A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20" w:firstLineChars="200"/>
        <w:textAlignment w:val="baseline"/>
        <w:rPr>
          <w:rFonts w:hint="eastAsia" w:ascii="宋体" w:hAnsi="宋体" w:eastAsia="宋体" w:cs="宋体"/>
        </w:rPr>
      </w:pPr>
    </w:p>
    <w:p w14:paraId="63EF07BB">
      <w:pPr>
        <w:keepNext w:val="0"/>
        <w:keepLines w:val="0"/>
        <w:pageBreakBefore w:val="0"/>
        <w:widowControl/>
        <w:kinsoku w:val="0"/>
        <w:wordWrap/>
        <w:overflowPunct/>
        <w:topLinePunct w:val="0"/>
        <w:autoSpaceDE w:val="0"/>
        <w:autoSpaceDN w:val="0"/>
        <w:bidi w:val="0"/>
        <w:adjustRightInd w:val="0"/>
        <w:snapToGrid w:val="0"/>
        <w:spacing w:before="193" w:line="360" w:lineRule="auto"/>
        <w:ind w:left="99" w:right="525" w:rightChars="250" w:firstLine="448" w:firstLineChars="200"/>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甲方</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lang w:eastAsia="zh-CN"/>
        </w:rPr>
        <w:t>陕西省人民政府办公区保障中心</w:t>
      </w:r>
    </w:p>
    <w:p w14:paraId="34FE1463">
      <w:pPr>
        <w:keepNext w:val="0"/>
        <w:keepLines w:val="0"/>
        <w:pageBreakBefore w:val="0"/>
        <w:widowControl/>
        <w:kinsoku w:val="0"/>
        <w:wordWrap/>
        <w:overflowPunct/>
        <w:topLinePunct w:val="0"/>
        <w:autoSpaceDE w:val="0"/>
        <w:autoSpaceDN w:val="0"/>
        <w:bidi w:val="0"/>
        <w:adjustRightInd w:val="0"/>
        <w:snapToGrid w:val="0"/>
        <w:spacing w:before="193" w:line="360" w:lineRule="auto"/>
        <w:ind w:left="99" w:right="525" w:rightChars="250" w:firstLine="46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乙方</w:t>
      </w:r>
      <w:r>
        <w:rPr>
          <w:rFonts w:hint="eastAsia" w:ascii="宋体" w:hAnsi="宋体" w:eastAsia="宋体" w:cs="宋体"/>
          <w:spacing w:val="-5"/>
          <w:sz w:val="24"/>
          <w:szCs w:val="24"/>
        </w:rPr>
        <w:t>:</w:t>
      </w:r>
    </w:p>
    <w:p w14:paraId="2D56041D">
      <w:pPr>
        <w:keepNext w:val="0"/>
        <w:keepLines w:val="0"/>
        <w:pageBreakBefore w:val="0"/>
        <w:widowControl/>
        <w:kinsoku w:val="0"/>
        <w:wordWrap/>
        <w:overflowPunct/>
        <w:topLinePunct w:val="0"/>
        <w:autoSpaceDE w:val="0"/>
        <w:autoSpaceDN w:val="0"/>
        <w:bidi w:val="0"/>
        <w:adjustRightInd w:val="0"/>
        <w:snapToGrid w:val="0"/>
        <w:spacing w:before="289" w:line="360" w:lineRule="auto"/>
        <w:ind w:left="47" w:right="525" w:rightChars="250"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签订日期</w:t>
      </w:r>
      <w:r>
        <w:rPr>
          <w:rFonts w:hint="eastAsia" w:ascii="宋体" w:hAnsi="宋体" w:eastAsia="宋体" w:cs="宋体"/>
          <w:spacing w:val="16"/>
          <w:sz w:val="24"/>
          <w:szCs w:val="24"/>
        </w:rPr>
        <w:t>:</w:t>
      </w:r>
    </w:p>
    <w:p w14:paraId="41CA4ECB">
      <w:pPr>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80" w:firstLineChars="200"/>
        <w:textAlignment w:val="baseline"/>
        <w:rPr>
          <w:rFonts w:hint="eastAsia" w:ascii="宋体" w:hAnsi="宋体" w:eastAsia="宋体" w:cs="宋体"/>
          <w:sz w:val="24"/>
          <w:szCs w:val="24"/>
        </w:rPr>
        <w:sectPr>
          <w:pgSz w:w="11906" w:h="16840"/>
          <w:pgMar w:top="1440" w:right="1080" w:bottom="1440" w:left="1080" w:header="1204" w:footer="1221" w:gutter="0"/>
          <w:cols w:space="720" w:num="1"/>
        </w:sectPr>
      </w:pPr>
    </w:p>
    <w:p w14:paraId="66B3C072">
      <w:pPr>
        <w:keepNext w:val="0"/>
        <w:keepLines w:val="0"/>
        <w:pageBreakBefore w:val="0"/>
        <w:widowControl/>
        <w:kinsoku w:val="0"/>
        <w:wordWrap/>
        <w:overflowPunct/>
        <w:topLinePunct w:val="0"/>
        <w:autoSpaceDE w:val="0"/>
        <w:autoSpaceDN w:val="0"/>
        <w:bidi w:val="0"/>
        <w:adjustRightInd w:val="0"/>
        <w:snapToGrid w:val="0"/>
        <w:spacing w:before="228" w:line="360" w:lineRule="auto"/>
        <w:ind w:right="525" w:rightChars="250"/>
        <w:jc w:val="center"/>
        <w:textAlignment w:val="baseline"/>
        <w:rPr>
          <w:rFonts w:hint="eastAsia" w:ascii="宋体" w:hAnsi="宋体" w:eastAsia="宋体" w:cs="宋体"/>
          <w:sz w:val="42"/>
          <w:szCs w:val="42"/>
        </w:rPr>
      </w:pPr>
      <w:r>
        <w:rPr>
          <w:rFonts w:hint="eastAsia" w:ascii="宋体" w:hAnsi="宋体" w:eastAsia="宋体" w:cs="宋体"/>
          <w:spacing w:val="16"/>
          <w:sz w:val="42"/>
          <w:szCs w:val="42"/>
        </w:rPr>
        <w:t>采购合同</w:t>
      </w:r>
    </w:p>
    <w:p w14:paraId="64387615">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甲方（采购人）：</w:t>
      </w:r>
      <w:r>
        <w:rPr>
          <w:rFonts w:hint="eastAsia" w:ascii="宋体" w:hAnsi="宋体" w:eastAsia="宋体" w:cs="宋体"/>
          <w:sz w:val="24"/>
          <w:szCs w:val="24"/>
          <w:u w:val="single"/>
          <w:lang w:eastAsia="zh-CN"/>
        </w:rPr>
        <w:t>陕西省人民政府办公区保障中心</w:t>
      </w:r>
    </w:p>
    <w:p w14:paraId="6FD20518">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乙方（供应商）：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247F9E4">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根据《中华人民共和国民法典》、《中华人民共和国政府采购法》和《中华人民共和国政府采购法实施条例》及国家有关法律和行政法规，遵循平等、自愿和诚实信用的原则，双方就</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val="en-US" w:eastAsia="zh-CN"/>
        </w:rPr>
        <w:t>）</w:t>
      </w:r>
      <w:r>
        <w:rPr>
          <w:rFonts w:hint="eastAsia" w:ascii="宋体" w:hAnsi="宋体" w:eastAsia="宋体" w:cs="宋体"/>
          <w:sz w:val="24"/>
          <w:szCs w:val="24"/>
        </w:rPr>
        <w:t>，订立服务合同。</w:t>
      </w:r>
    </w:p>
    <w:p w14:paraId="55E28F08">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一、合同内容及金额：即成交供应商的磋商内容及其成交总金额。</w:t>
      </w:r>
    </w:p>
    <w:p w14:paraId="174585E2">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63" w:rightChars="-30" w:firstLine="0" w:firstLineChars="0"/>
        <w:textAlignment w:val="baseline"/>
        <w:rPr>
          <w:rFonts w:hint="eastAsia" w:ascii="宋体" w:hAnsi="宋体" w:eastAsia="宋体" w:cs="宋体"/>
          <w:sz w:val="24"/>
          <w:szCs w:val="24"/>
        </w:rPr>
      </w:pPr>
      <w:r>
        <w:rPr>
          <w:rFonts w:hint="eastAsia" w:ascii="宋体" w:hAnsi="宋体" w:eastAsia="宋体" w:cs="宋体"/>
          <w:sz w:val="24"/>
          <w:szCs w:val="24"/>
        </w:rPr>
        <w:t>具体分项如下：</w:t>
      </w:r>
    </w:p>
    <w:p w14:paraId="124D2763">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1.消防系统及设备维保费用人民币：</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74501DF">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2.消防人员 24 小时值班人民币：</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65CF493">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二、知识产权：即成交供应商应保证采购人在使用成交服务时，不承担任何涉及知识产权法律诉讼的责任。</w:t>
      </w:r>
    </w:p>
    <w:p w14:paraId="6271C726">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u w:val="single"/>
        </w:rPr>
      </w:pPr>
      <w:r>
        <w:rPr>
          <w:rFonts w:hint="eastAsia" w:ascii="宋体" w:hAnsi="宋体" w:eastAsia="宋体" w:cs="宋体"/>
          <w:sz w:val="24"/>
          <w:szCs w:val="24"/>
        </w:rPr>
        <w:t>三、服务期：</w:t>
      </w:r>
      <w:r>
        <w:rPr>
          <w:rFonts w:hint="eastAsia" w:ascii="宋体" w:hAnsi="宋体" w:eastAsia="宋体" w:cs="宋体"/>
          <w:sz w:val="24"/>
          <w:szCs w:val="24"/>
          <w:u w:val="single"/>
        </w:rPr>
        <w:t xml:space="preserve">  壹   </w:t>
      </w:r>
      <w:r>
        <w:rPr>
          <w:rFonts w:hint="eastAsia" w:ascii="宋体" w:hAnsi="宋体" w:eastAsia="宋体" w:cs="宋体"/>
          <w:sz w:val="24"/>
          <w:szCs w:val="24"/>
        </w:rPr>
        <w:t>年。时间：</w:t>
      </w:r>
      <w:r>
        <w:rPr>
          <w:rFonts w:hint="eastAsia" w:ascii="宋体" w:hAnsi="宋体" w:eastAsia="宋体" w:cs="宋体"/>
          <w:sz w:val="24"/>
          <w:szCs w:val="24"/>
          <w:u w:val="single"/>
        </w:rPr>
        <w:t>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年    月  日起至 202</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 xml:space="preserve"> 年  月   日</w:t>
      </w:r>
    </w:p>
    <w:p w14:paraId="3384FF41">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一次采购、三年使用，合同签一年，根据《财政部关于推进和完善服务项目政府采购有关问题的通知》（财库〔2014〕37 号）有关规定，本项目在合同期满前，甲方将对乙方进行考核，根据服务满意程度，甲方有权决定是否续签合同，累计合同履行期限不超过 3 年。</w:t>
      </w:r>
    </w:p>
    <w:p w14:paraId="2423F71F">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服务内容：</w:t>
      </w:r>
    </w:p>
    <w:tbl>
      <w:tblPr>
        <w:tblStyle w:val="5"/>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2446"/>
        <w:gridCol w:w="5505"/>
      </w:tblGrid>
      <w:tr w14:paraId="3ED0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219" w:type="dxa"/>
            <w:noWrap w:val="0"/>
            <w:vAlign w:val="center"/>
          </w:tcPr>
          <w:p w14:paraId="7D5F60FE">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240" w:firstLineChars="1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序号</w:t>
            </w:r>
          </w:p>
        </w:tc>
        <w:tc>
          <w:tcPr>
            <w:tcW w:w="2446" w:type="dxa"/>
            <w:noWrap w:val="0"/>
            <w:vAlign w:val="center"/>
          </w:tcPr>
          <w:p w14:paraId="355E4A53">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类别</w:t>
            </w:r>
          </w:p>
        </w:tc>
        <w:tc>
          <w:tcPr>
            <w:tcW w:w="5505" w:type="dxa"/>
            <w:noWrap w:val="0"/>
            <w:vAlign w:val="center"/>
          </w:tcPr>
          <w:p w14:paraId="03E46B48">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48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工作内容</w:t>
            </w:r>
          </w:p>
        </w:tc>
      </w:tr>
      <w:tr w14:paraId="4624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1219" w:type="dxa"/>
            <w:noWrap w:val="0"/>
            <w:vAlign w:val="center"/>
          </w:tcPr>
          <w:p w14:paraId="4ADD3793">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w:t>
            </w:r>
          </w:p>
        </w:tc>
        <w:tc>
          <w:tcPr>
            <w:tcW w:w="2446" w:type="dxa"/>
            <w:noWrap w:val="0"/>
            <w:vAlign w:val="center"/>
          </w:tcPr>
          <w:p w14:paraId="76B814B9">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火灾自动报警系统</w:t>
            </w:r>
          </w:p>
        </w:tc>
        <w:tc>
          <w:tcPr>
            <w:tcW w:w="5505" w:type="dxa"/>
            <w:noWrap w:val="0"/>
            <w:vAlign w:val="center"/>
          </w:tcPr>
          <w:p w14:paraId="6F9F3C02">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消防主机、回路、多线、总线盘、广播、电话、</w:t>
            </w:r>
          </w:p>
          <w:p w14:paraId="7755A187">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Cs/>
                <w:sz w:val="24"/>
                <w:szCs w:val="24"/>
              </w:rPr>
            </w:pPr>
            <w:r>
              <w:rPr>
                <w:rFonts w:hint="eastAsia" w:ascii="宋体" w:hAnsi="宋体" w:eastAsia="宋体" w:cs="宋体"/>
                <w:bCs/>
                <w:sz w:val="24"/>
                <w:szCs w:val="24"/>
              </w:rPr>
              <w:t>烟感、温感、声光、手报、火灾显示盘、模块等</w:t>
            </w:r>
          </w:p>
        </w:tc>
      </w:tr>
      <w:tr w14:paraId="5AE6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219" w:type="dxa"/>
            <w:noWrap w:val="0"/>
            <w:vAlign w:val="center"/>
          </w:tcPr>
          <w:p w14:paraId="668267C1">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w:t>
            </w:r>
          </w:p>
        </w:tc>
        <w:tc>
          <w:tcPr>
            <w:tcW w:w="2446" w:type="dxa"/>
            <w:noWrap w:val="0"/>
            <w:vAlign w:val="center"/>
          </w:tcPr>
          <w:p w14:paraId="12FBBB97">
            <w:pPr>
              <w:pStyle w:val="9"/>
              <w:keepNext w:val="0"/>
              <w:keepLines w:val="0"/>
              <w:pageBreakBefore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Cs/>
                <w:sz w:val="24"/>
                <w:szCs w:val="24"/>
              </w:rPr>
            </w:pPr>
            <w:r>
              <w:rPr>
                <w:rFonts w:hint="eastAsia" w:ascii="宋体" w:hAnsi="宋体" w:eastAsia="宋体" w:cs="宋体"/>
                <w:bCs/>
                <w:sz w:val="24"/>
                <w:szCs w:val="24"/>
              </w:rPr>
              <w:t>自动喷淋系统</w:t>
            </w:r>
          </w:p>
        </w:tc>
        <w:tc>
          <w:tcPr>
            <w:tcW w:w="5505" w:type="dxa"/>
            <w:noWrap w:val="0"/>
            <w:vAlign w:val="center"/>
          </w:tcPr>
          <w:p w14:paraId="13525419">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48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管道、阀组、喷头、压力表等</w:t>
            </w:r>
          </w:p>
        </w:tc>
      </w:tr>
      <w:tr w14:paraId="79E6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219" w:type="dxa"/>
            <w:noWrap w:val="0"/>
            <w:vAlign w:val="center"/>
          </w:tcPr>
          <w:p w14:paraId="2EC53578">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w:t>
            </w:r>
          </w:p>
        </w:tc>
        <w:tc>
          <w:tcPr>
            <w:tcW w:w="2446" w:type="dxa"/>
            <w:noWrap w:val="0"/>
            <w:vAlign w:val="center"/>
          </w:tcPr>
          <w:p w14:paraId="17253841">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消防栓系统</w:t>
            </w:r>
          </w:p>
        </w:tc>
        <w:tc>
          <w:tcPr>
            <w:tcW w:w="5505" w:type="dxa"/>
            <w:noWrap w:val="0"/>
            <w:vAlign w:val="center"/>
          </w:tcPr>
          <w:p w14:paraId="07E24BC3">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管道、阀组、消防栓、龙带、卷盘软管、压力表等</w:t>
            </w:r>
          </w:p>
        </w:tc>
      </w:tr>
      <w:tr w14:paraId="03C2B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219" w:type="dxa"/>
            <w:noWrap w:val="0"/>
            <w:vAlign w:val="center"/>
          </w:tcPr>
          <w:p w14:paraId="6BED80B9">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4</w:t>
            </w:r>
          </w:p>
        </w:tc>
        <w:tc>
          <w:tcPr>
            <w:tcW w:w="2446" w:type="dxa"/>
            <w:noWrap w:val="0"/>
            <w:vAlign w:val="center"/>
          </w:tcPr>
          <w:p w14:paraId="2E654E08">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Cs/>
                <w:sz w:val="24"/>
                <w:szCs w:val="24"/>
              </w:rPr>
            </w:pPr>
            <w:r>
              <w:rPr>
                <w:rFonts w:hint="eastAsia" w:ascii="宋体" w:hAnsi="宋体" w:eastAsia="宋体" w:cs="宋体"/>
                <w:color w:val="000000"/>
                <w:kern w:val="0"/>
                <w:sz w:val="24"/>
                <w:szCs w:val="24"/>
              </w:rPr>
              <w:t>水泵房系统</w:t>
            </w:r>
          </w:p>
        </w:tc>
        <w:tc>
          <w:tcPr>
            <w:tcW w:w="5505" w:type="dxa"/>
            <w:noWrap w:val="0"/>
            <w:vAlign w:val="center"/>
          </w:tcPr>
          <w:p w14:paraId="6720F10B">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Cs/>
                <w:sz w:val="24"/>
                <w:szCs w:val="24"/>
              </w:rPr>
            </w:pPr>
            <w:r>
              <w:rPr>
                <w:rFonts w:hint="eastAsia" w:ascii="宋体" w:hAnsi="宋体" w:eastAsia="宋体" w:cs="宋体"/>
                <w:color w:val="000000"/>
                <w:kern w:val="0"/>
                <w:sz w:val="24"/>
                <w:szCs w:val="24"/>
              </w:rPr>
              <w:t>消防泵、喷淋泵、稳压泵及相关控制监视设备</w:t>
            </w:r>
          </w:p>
        </w:tc>
      </w:tr>
      <w:tr w14:paraId="3B61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219" w:type="dxa"/>
            <w:noWrap w:val="0"/>
            <w:vAlign w:val="center"/>
          </w:tcPr>
          <w:p w14:paraId="28F26295">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5</w:t>
            </w:r>
          </w:p>
        </w:tc>
        <w:tc>
          <w:tcPr>
            <w:tcW w:w="2446" w:type="dxa"/>
            <w:noWrap w:val="0"/>
            <w:vAlign w:val="center"/>
          </w:tcPr>
          <w:p w14:paraId="065A01B8">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Cs/>
                <w:sz w:val="24"/>
                <w:szCs w:val="24"/>
              </w:rPr>
            </w:pPr>
            <w:r>
              <w:rPr>
                <w:rFonts w:hint="eastAsia" w:ascii="宋体" w:hAnsi="宋体" w:eastAsia="宋体" w:cs="宋体"/>
                <w:color w:val="000000"/>
                <w:kern w:val="0"/>
                <w:sz w:val="24"/>
                <w:szCs w:val="24"/>
              </w:rPr>
              <w:t>应急照明系统</w:t>
            </w:r>
          </w:p>
        </w:tc>
        <w:tc>
          <w:tcPr>
            <w:tcW w:w="5505" w:type="dxa"/>
            <w:noWrap w:val="0"/>
            <w:vAlign w:val="center"/>
          </w:tcPr>
          <w:p w14:paraId="5D72A31D">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Cs/>
                <w:sz w:val="24"/>
                <w:szCs w:val="24"/>
              </w:rPr>
            </w:pPr>
            <w:r>
              <w:rPr>
                <w:rFonts w:hint="eastAsia" w:ascii="宋体" w:hAnsi="宋体" w:eastAsia="宋体" w:cs="宋体"/>
                <w:color w:val="000000"/>
                <w:kern w:val="0"/>
                <w:sz w:val="24"/>
                <w:szCs w:val="24"/>
              </w:rPr>
              <w:t>应急照明设备的切换、亮度反馈信号等</w:t>
            </w:r>
          </w:p>
        </w:tc>
      </w:tr>
      <w:tr w14:paraId="5CD9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219" w:type="dxa"/>
            <w:noWrap w:val="0"/>
            <w:vAlign w:val="center"/>
          </w:tcPr>
          <w:p w14:paraId="121B619F">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6</w:t>
            </w:r>
          </w:p>
        </w:tc>
        <w:tc>
          <w:tcPr>
            <w:tcW w:w="2446" w:type="dxa"/>
            <w:noWrap w:val="0"/>
            <w:vAlign w:val="center"/>
          </w:tcPr>
          <w:p w14:paraId="5CDF808E">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Cs/>
                <w:sz w:val="24"/>
                <w:szCs w:val="24"/>
              </w:rPr>
            </w:pPr>
            <w:r>
              <w:rPr>
                <w:rFonts w:hint="eastAsia" w:ascii="宋体" w:hAnsi="宋体" w:eastAsia="宋体" w:cs="宋体"/>
                <w:color w:val="000000"/>
                <w:kern w:val="0"/>
                <w:sz w:val="24"/>
                <w:szCs w:val="24"/>
              </w:rPr>
              <w:t>消防联动系统</w:t>
            </w:r>
          </w:p>
        </w:tc>
        <w:tc>
          <w:tcPr>
            <w:tcW w:w="5505" w:type="dxa"/>
            <w:noWrap w:val="0"/>
            <w:vAlign w:val="center"/>
          </w:tcPr>
          <w:p w14:paraId="262EEB82">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rPr>
            </w:pPr>
            <w:r>
              <w:rPr>
                <w:rFonts w:hint="eastAsia" w:ascii="宋体" w:hAnsi="宋体" w:eastAsia="宋体" w:cs="宋体"/>
                <w:color w:val="000000"/>
                <w:kern w:val="0"/>
                <w:sz w:val="24"/>
                <w:szCs w:val="24"/>
              </w:rPr>
              <w:t>空调通风系统、排风系统的防火阀功能及联动</w:t>
            </w:r>
          </w:p>
          <w:p w14:paraId="70AB5CF3">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Cs/>
                <w:sz w:val="24"/>
                <w:szCs w:val="24"/>
              </w:rPr>
            </w:pPr>
            <w:r>
              <w:rPr>
                <w:rFonts w:hint="eastAsia" w:ascii="宋体" w:hAnsi="宋体" w:eastAsia="宋体" w:cs="宋体"/>
                <w:color w:val="000000"/>
                <w:kern w:val="0"/>
                <w:sz w:val="24"/>
                <w:szCs w:val="24"/>
              </w:rPr>
              <w:t>讯号等</w:t>
            </w:r>
          </w:p>
        </w:tc>
      </w:tr>
      <w:tr w14:paraId="39B8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219" w:type="dxa"/>
            <w:noWrap w:val="0"/>
            <w:vAlign w:val="center"/>
          </w:tcPr>
          <w:p w14:paraId="7278CC5F">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7</w:t>
            </w:r>
          </w:p>
        </w:tc>
        <w:tc>
          <w:tcPr>
            <w:tcW w:w="2446" w:type="dxa"/>
            <w:noWrap w:val="0"/>
            <w:vAlign w:val="center"/>
          </w:tcPr>
          <w:p w14:paraId="7D18B97F">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Cs/>
                <w:sz w:val="24"/>
                <w:szCs w:val="24"/>
              </w:rPr>
            </w:pPr>
            <w:r>
              <w:rPr>
                <w:rFonts w:hint="eastAsia" w:ascii="宋体" w:hAnsi="宋体" w:eastAsia="宋体" w:cs="宋体"/>
                <w:color w:val="000000"/>
                <w:kern w:val="0"/>
                <w:sz w:val="24"/>
                <w:szCs w:val="24"/>
              </w:rPr>
              <w:t>防火卷帘门及防火门</w:t>
            </w:r>
          </w:p>
        </w:tc>
        <w:tc>
          <w:tcPr>
            <w:tcW w:w="5505" w:type="dxa"/>
            <w:noWrap w:val="0"/>
            <w:vAlign w:val="center"/>
          </w:tcPr>
          <w:p w14:paraId="6AD236EC">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bCs/>
                <w:sz w:val="24"/>
                <w:szCs w:val="24"/>
              </w:rPr>
            </w:pPr>
            <w:r>
              <w:rPr>
                <w:rFonts w:hint="eastAsia" w:ascii="宋体" w:hAnsi="宋体" w:eastAsia="宋体" w:cs="宋体"/>
                <w:color w:val="000000"/>
                <w:kern w:val="0"/>
                <w:sz w:val="24"/>
                <w:szCs w:val="24"/>
              </w:rPr>
              <w:t>控制器、卷帘导轨和转动机构、帘叶等</w:t>
            </w:r>
          </w:p>
        </w:tc>
      </w:tr>
      <w:tr w14:paraId="579C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19" w:type="dxa"/>
            <w:noWrap w:val="0"/>
            <w:vAlign w:val="center"/>
          </w:tcPr>
          <w:p w14:paraId="356276A6">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rPr>
            </w:pPr>
            <w:r>
              <w:rPr>
                <w:rFonts w:hint="eastAsia" w:ascii="宋体" w:hAnsi="宋体" w:eastAsia="宋体" w:cs="宋体"/>
                <w:bCs/>
                <w:sz w:val="24"/>
                <w:szCs w:val="24"/>
              </w:rPr>
              <w:t>8</w:t>
            </w:r>
          </w:p>
        </w:tc>
        <w:tc>
          <w:tcPr>
            <w:tcW w:w="2446" w:type="dxa"/>
            <w:noWrap w:val="0"/>
            <w:vAlign w:val="center"/>
          </w:tcPr>
          <w:p w14:paraId="0A13C21C">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消防值班</w:t>
            </w:r>
          </w:p>
        </w:tc>
        <w:tc>
          <w:tcPr>
            <w:tcW w:w="5505" w:type="dxa"/>
            <w:noWrap w:val="0"/>
            <w:vAlign w:val="center"/>
          </w:tcPr>
          <w:p w14:paraId="1A114639">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24小时</w:t>
            </w:r>
            <w:r>
              <w:rPr>
                <w:rFonts w:hint="eastAsia" w:ascii="宋体" w:hAnsi="宋体" w:eastAsia="宋体" w:cs="宋体"/>
                <w:color w:val="000000"/>
                <w:kern w:val="0"/>
                <w:sz w:val="24"/>
                <w:szCs w:val="24"/>
                <w:lang w:val="en-US" w:eastAsia="zh-CN"/>
              </w:rPr>
              <w:t>值班</w:t>
            </w:r>
          </w:p>
        </w:tc>
      </w:tr>
      <w:tr w14:paraId="02D1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219" w:type="dxa"/>
            <w:noWrap w:val="0"/>
            <w:vAlign w:val="center"/>
          </w:tcPr>
          <w:p w14:paraId="0D23484A">
            <w:pPr>
              <w:pStyle w:val="9"/>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9</w:t>
            </w:r>
          </w:p>
        </w:tc>
        <w:tc>
          <w:tcPr>
            <w:tcW w:w="2446" w:type="dxa"/>
            <w:noWrap w:val="0"/>
            <w:vAlign w:val="center"/>
          </w:tcPr>
          <w:p w14:paraId="2F17A5C0">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易损件更换</w:t>
            </w:r>
          </w:p>
        </w:tc>
        <w:tc>
          <w:tcPr>
            <w:tcW w:w="5505" w:type="dxa"/>
            <w:noWrap w:val="0"/>
            <w:vAlign w:val="center"/>
          </w:tcPr>
          <w:p w14:paraId="0274D5E5">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承担单价500以内配件的购买、更换、维修</w:t>
            </w:r>
          </w:p>
        </w:tc>
      </w:tr>
    </w:tbl>
    <w:p w14:paraId="26351FD9">
      <w:pPr>
        <w:keepNext w:val="0"/>
        <w:keepLines w:val="0"/>
        <w:pageBreakBefore w:val="0"/>
        <w:widowControl/>
        <w:kinsoku w:val="0"/>
        <w:wordWrap/>
        <w:overflowPunct/>
        <w:topLinePunct w:val="0"/>
        <w:autoSpaceDE w:val="0"/>
        <w:autoSpaceDN w:val="0"/>
        <w:bidi w:val="0"/>
        <w:adjustRightInd w:val="0"/>
        <w:snapToGrid w:val="0"/>
        <w:spacing w:line="360" w:lineRule="auto"/>
        <w:ind w:right="525" w:rightChars="250" w:firstLine="480" w:firstLineChars="200"/>
        <w:textAlignment w:val="baseline"/>
        <w:rPr>
          <w:rFonts w:hint="eastAsia" w:ascii="宋体" w:hAnsi="宋体" w:eastAsia="宋体" w:cs="宋体"/>
          <w:sz w:val="24"/>
          <w:szCs w:val="24"/>
        </w:rPr>
      </w:pPr>
    </w:p>
    <w:p w14:paraId="2B3393E9">
      <w:pPr>
        <w:keepNext w:val="0"/>
        <w:keepLines w:val="0"/>
        <w:pageBreakBefore w:val="0"/>
        <w:widowControl/>
        <w:tabs>
          <w:tab w:val="left" w:pos="7770"/>
        </w:tabs>
        <w:kinsoku w:val="0"/>
        <w:wordWrap/>
        <w:overflowPunct/>
        <w:topLinePunct w:val="0"/>
        <w:autoSpaceDE w:val="0"/>
        <w:autoSpaceDN w:val="0"/>
        <w:bidi w:val="0"/>
        <w:adjustRightInd w:val="0"/>
        <w:snapToGrid w:val="0"/>
        <w:spacing w:line="480" w:lineRule="auto"/>
        <w:ind w:right="525" w:rightChars="250" w:firstLine="240" w:firstLineChars="100"/>
        <w:textAlignment w:val="baseline"/>
        <w:rPr>
          <w:rFonts w:hint="eastAsia" w:ascii="宋体" w:hAnsi="宋体" w:eastAsia="宋体" w:cs="宋体"/>
          <w:sz w:val="24"/>
          <w:szCs w:val="24"/>
        </w:rPr>
      </w:pPr>
      <w:r>
        <w:rPr>
          <w:rFonts w:hint="eastAsia" w:ascii="宋体" w:hAnsi="宋体" w:eastAsia="宋体" w:cs="宋体"/>
          <w:sz w:val="24"/>
          <w:szCs w:val="24"/>
        </w:rPr>
        <w:t>成交供应商未征得采购人同意和谅解而单方面延迟服务，将按违约终止合同。</w:t>
      </w:r>
    </w:p>
    <w:p w14:paraId="3060C563">
      <w:pPr>
        <w:keepNext w:val="0"/>
        <w:keepLines w:val="0"/>
        <w:pageBreakBefore w:val="0"/>
        <w:widowControl/>
        <w:tabs>
          <w:tab w:val="left" w:pos="7980"/>
        </w:tabs>
        <w:kinsoku w:val="0"/>
        <w:wordWrap/>
        <w:overflowPunct/>
        <w:topLinePunct w:val="0"/>
        <w:autoSpaceDE w:val="0"/>
        <w:autoSpaceDN w:val="0"/>
        <w:bidi w:val="0"/>
        <w:adjustRightInd w:val="0"/>
        <w:snapToGrid w:val="0"/>
        <w:spacing w:line="480" w:lineRule="auto"/>
        <w:ind w:left="0" w:leftChars="0" w:right="84" w:rightChars="40" w:firstLine="218" w:firstLineChars="91"/>
        <w:textAlignment w:val="baseline"/>
        <w:rPr>
          <w:rFonts w:hint="eastAsia" w:ascii="宋体" w:hAnsi="宋体" w:eastAsia="宋体" w:cs="宋体"/>
          <w:sz w:val="24"/>
          <w:szCs w:val="24"/>
        </w:rPr>
      </w:pPr>
      <w:r>
        <w:rPr>
          <w:rFonts w:hint="eastAsia" w:ascii="宋体" w:hAnsi="宋体" w:eastAsia="宋体" w:cs="宋体"/>
          <w:sz w:val="24"/>
          <w:szCs w:val="24"/>
        </w:rPr>
        <w:t>成交供应商遇到可能妨碍按时服务和提供服务的情况，应当及时以书面形式通知采购人，说明原由、拖延的期限等；采购人、采购代理机构在收到通知后，尽快进行情况评估并确定是否通过修改合同，酌情延长服务时间或者通过协商加收误期赔偿金。</w:t>
      </w:r>
    </w:p>
    <w:p w14:paraId="7916C9A4">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四、服务地点：采购人指定地点</w:t>
      </w:r>
    </w:p>
    <w:p w14:paraId="5333BD37">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五、结算方式：</w:t>
      </w:r>
    </w:p>
    <w:p w14:paraId="54CBD981">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1.结算单位：采购人在结算付款前，供应商必须开具全额发票给采购人。</w:t>
      </w:r>
    </w:p>
    <w:p w14:paraId="32151B0D">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2.付款方式：服务合同签订后，由乙方提出付款申请并开具增值税发票，甲方收到后支付总合同款的60%，剩余40%合同款，于合同期满后，经考核合格，乙方开具增值税发票后支付。</w:t>
      </w:r>
    </w:p>
    <w:p w14:paraId="2ED16242">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3.履约保证金：乙方收到首笔 60%合同款后，在 3 个工作日内向甲方指定账户转入合同总额的5%作为履约保证金，服务结束后由乙方提出申请，经甲方考评检测合格并扣除乙方应付违约金（如有）后一个月无息退还相应的履约保证金。如果合同期内乙方未发生不安全责任事故，甲方在合同履行结束后一个月全额无息退还给乙方。如因消防工作人员工作严重失职或处理不当导致甲方发生设备故障、火情等事故，给甲方造成重大损失，甲方可根据损失程度扣乙方履约保证金，不足弥补甲方损失的，甲方可向乙方继续追偿。</w:t>
      </w:r>
    </w:p>
    <w:p w14:paraId="229BF119">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六、质量保证</w:t>
      </w:r>
    </w:p>
    <w:p w14:paraId="7DF40507">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1.成交供应商提供服务完全符合合同规定的质量等要求，并在服务期内、外应对由于服务缺陷而产生的质量问题负责。</w:t>
      </w:r>
    </w:p>
    <w:p w14:paraId="7D511CEA">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2.在服务期内，如果发现服务的质量等存在与合同中任何一项不符，采购人应在最短时间内，以书面形式向成交供应商提出索赔。同时通告采购代理机构。</w:t>
      </w:r>
    </w:p>
    <w:p w14:paraId="6FBDE529">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3.成交供应商应当明确服务公约，承诺免费服务条件。未尽事宜由双方协商解决。</w:t>
      </w:r>
    </w:p>
    <w:p w14:paraId="60279BF2">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4.甲方应安排专人监督管理乙方工作。甲方必须按本合同约定及时支付乙方维护服务款项。甲方应积极配合乙方工作，提供乙方工作范围内的资料及有关设备的材料，以利于乙方能顺利地进行维护工作。</w:t>
      </w:r>
    </w:p>
    <w:p w14:paraId="1FEB76AD">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乙方须与员工签订劳动合同、缴纳社保，购买进场人员人身意外伤害保险，乙方人员发生伤亡事故或与乙方发生任何劳资（包含但不限于劳动争议、劳务争议、欠薪索赔、人事社保等）纠纷，由乙方负责，甲方不承担任何责任，如给甲方造成损失的，乙方应承担赔偿责任。</w:t>
      </w:r>
    </w:p>
    <w:p w14:paraId="529B745B">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未经甲方书面许可，乙方不得从事与本项目合同约定以外的任何经营活动，不得引进任何单位和个人从事经营性活动，不得出租、出借、出让甲方任何资产，乙方有义务爱护甲方管辖范围内的各种设施设备，不得阻碍经甲方批准的服务项目和活动的实施，否则视为违约，甲方有权单方解除合同，乙方还应向甲方支付合同金额 20%的违约金并赔偿甲方及第三方因此遭受的全部损失。</w:t>
      </w:r>
    </w:p>
    <w:p w14:paraId="4EBE1791">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七、违约责任</w:t>
      </w:r>
    </w:p>
    <w:p w14:paraId="59775E02">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1.合同一经签订，不得擅自变更、中止或者终止合同。对确需变更、调整或者中止、终止合同的，需提前 30 个工作日告知对方，并按规定履行相应的手续。如遇国家政策性调整或省委省政府统一部署的机制、体制变动，乙方需无条件服从，按照相应规定解除合同。</w:t>
      </w:r>
    </w:p>
    <w:p w14:paraId="2A69B20E">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2.乙方不认真履行合同条款或因其他理由突然终止合同，视为乙方单方违约，甲方即废除同乙方合同，并没收乙方履约质量保证金。</w:t>
      </w:r>
    </w:p>
    <w:p w14:paraId="0EC98AB7">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3.乙方消防工作人员在工作中因故意或疏忽而出现的责任事故，因乙方原因造成他人人身伤害、财产损失及严重损害甲方声誉的，由乙方承担所有赔偿责任且甲方有权单方面解除本合同。</w:t>
      </w:r>
    </w:p>
    <w:p w14:paraId="1AB10223">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4.乙方或消防工作人员违反合同所约定之义务，影响合同约定区域的安全或导致甲方其他方面损害，经甲方三次警告或仍无整改，甲方有权单方面终止合同，而无须承担任何责任。</w:t>
      </w:r>
    </w:p>
    <w:p w14:paraId="08650981">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5.乙方负责本合同范围内消防系统维护工作，以确保整个系统处于正常运行状态，如遇火灾设备不能正常启动，导致的一切后果，均由乙方承担。坚持 24 小时值班制度，以确保非正常情况下的及时现场处理。在接到甲方电话 15 分钟内必须派员到现场进行处理，接警 15分钟不能按时达到现场处理故障，甲方有权要求乙方支付违约金人民币2000 元/次，由此造成的甲方损失由乙方承担。</w:t>
      </w:r>
    </w:p>
    <w:p w14:paraId="1ECC8C7B">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6.乙方根据维护细则定期进行月检季检年检工作,同时对消防维护范围内的设备进行维护保养，每次维护保养工作完成后填写相关的维护记在合同文表，分别由甲乙双方负责人签字后存档。</w:t>
      </w:r>
    </w:p>
    <w:p w14:paraId="2E52766E">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7.服务承诺、值班及维保人员投入情况以“投标文件、服务合同内容 ”为准。</w:t>
      </w:r>
    </w:p>
    <w:p w14:paraId="569F7CCE">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八、验收</w:t>
      </w:r>
    </w:p>
    <w:p w14:paraId="7C384139">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1.由采购人实施验收。</w:t>
      </w:r>
    </w:p>
    <w:p w14:paraId="234D0CA8">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2.验收依据：验收须以合同、磋商文件、响应文件、澄清及国家相应的标准、规范等为依据。</w:t>
      </w:r>
    </w:p>
    <w:p w14:paraId="5B15DE36">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3.验收条款：建立完善可行的季度、年度巡检制度，每年配合组织一次消防演练。</w:t>
      </w:r>
    </w:p>
    <w:p w14:paraId="457A3539">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九、合同争议的解决</w:t>
      </w:r>
    </w:p>
    <w:p w14:paraId="783907FC">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1.合同执行中发生争议的，当事人双方应协商解决，协商达不成一致时，向甲方所在地有管辖权的人民法院提请诉讼。</w:t>
      </w:r>
    </w:p>
    <w:p w14:paraId="3ADD7937">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2.如发生下列任意一项，甲方有权责令整改并向上级部门，报备解除合同并要求乙方赔偿相关损失及承担相关法律责任。</w:t>
      </w:r>
    </w:p>
    <w:p w14:paraId="2F5D9A9D">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⑴考核不合格，拒不改正、影响服务质量和损害国家利益的</w:t>
      </w:r>
      <w:r>
        <w:rPr>
          <w:rFonts w:hint="eastAsia" w:ascii="宋体" w:hAnsi="宋体" w:eastAsia="宋体" w:cs="宋体"/>
          <w:sz w:val="24"/>
          <w:szCs w:val="24"/>
          <w:lang w:eastAsia="zh-CN"/>
        </w:rPr>
        <w:t>；</w:t>
      </w:r>
    </w:p>
    <w:p w14:paraId="7F14DC2D">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⑵因成交供应商原因导致重大火灾、伤亡、档案丢失等；</w:t>
      </w:r>
    </w:p>
    <w:p w14:paraId="16028C0E">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⑶发生重大安全事件隐瞒不报；</w:t>
      </w:r>
    </w:p>
    <w:p w14:paraId="1613D156">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⑷在受到机关事务服务中心及以上单位否决，当年立即终止合同。</w:t>
      </w:r>
    </w:p>
    <w:p w14:paraId="18918C51">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⑸其他违反法律、法规和规章制度行为，造成恶劣影响的。</w:t>
      </w:r>
    </w:p>
    <w:p w14:paraId="2C4A9853">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十、合同生效及其他</w:t>
      </w:r>
    </w:p>
    <w:p w14:paraId="79EC9396">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1.合同未尽事宜、由甲、乙双方协商，作为合同补充，与原合同具有同等法律效力</w:t>
      </w:r>
      <w:r>
        <w:rPr>
          <w:rFonts w:hint="eastAsia" w:ascii="宋体" w:hAnsi="宋体" w:eastAsia="宋体" w:cs="宋体"/>
          <w:sz w:val="24"/>
          <w:szCs w:val="24"/>
          <w:lang w:eastAsia="zh-CN"/>
        </w:rPr>
        <w:t>。</w:t>
      </w:r>
    </w:p>
    <w:p w14:paraId="1F193BDC">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2.本合同正本一式 </w:t>
      </w:r>
      <w:r>
        <w:rPr>
          <w:rFonts w:hint="eastAsia" w:ascii="宋体" w:hAnsi="宋体" w:eastAsia="宋体" w:cs="宋体"/>
          <w:sz w:val="24"/>
          <w:szCs w:val="24"/>
          <w:u w:val="single"/>
        </w:rPr>
        <w:t xml:space="preserve">   </w:t>
      </w:r>
      <w:r>
        <w:rPr>
          <w:rFonts w:hint="eastAsia" w:ascii="宋体" w:hAnsi="宋体" w:eastAsia="宋体" w:cs="宋体"/>
          <w:sz w:val="24"/>
          <w:szCs w:val="24"/>
        </w:rPr>
        <w:t>份，甲方、乙方双方分别执</w:t>
      </w:r>
      <w:r>
        <w:rPr>
          <w:rFonts w:hint="eastAsia" w:ascii="宋体" w:hAnsi="宋体" w:eastAsia="宋体" w:cs="宋体"/>
          <w:sz w:val="24"/>
          <w:szCs w:val="24"/>
          <w:u w:val="single"/>
        </w:rPr>
        <w:t xml:space="preserve">    </w:t>
      </w:r>
      <w:r>
        <w:rPr>
          <w:rFonts w:hint="eastAsia" w:ascii="宋体" w:hAnsi="宋体" w:eastAsia="宋体" w:cs="宋体"/>
          <w:sz w:val="24"/>
          <w:szCs w:val="24"/>
        </w:rPr>
        <w:t>份，备案</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p w14:paraId="61A61E87">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3.合同经甲乙双方盖章、签字后生效，合同签订地点为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0AD5157">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 xml:space="preserve">4.生效时间：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r>
        <w:rPr>
          <w:rFonts w:hint="eastAsia" w:ascii="宋体" w:hAnsi="宋体" w:eastAsia="宋体" w:cs="宋体"/>
          <w:sz w:val="24"/>
          <w:szCs w:val="24"/>
          <w:lang w:eastAsia="zh-CN"/>
        </w:rPr>
        <w:t>。</w:t>
      </w:r>
    </w:p>
    <w:p w14:paraId="09E2EF78">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lang w:eastAsia="zh-CN"/>
        </w:rPr>
      </w:pPr>
    </w:p>
    <w:p w14:paraId="203E59A1">
      <w:pPr>
        <w:spacing w:line="480" w:lineRule="auto"/>
        <w:rPr>
          <w:rFonts w:ascii="宋体" w:hAnsi="宋体" w:cs="宋体"/>
          <w:sz w:val="24"/>
          <w:szCs w:val="18"/>
        </w:rPr>
      </w:pPr>
      <w:r>
        <w:rPr>
          <w:rFonts w:hint="eastAsia" w:ascii="宋体" w:hAnsi="宋体" w:cs="宋体"/>
          <w:sz w:val="24"/>
          <w:szCs w:val="18"/>
        </w:rPr>
        <w:t>甲方（盖章）：                             乙方（盖章）：</w:t>
      </w:r>
    </w:p>
    <w:p w14:paraId="120272BC">
      <w:pPr>
        <w:spacing w:line="480" w:lineRule="auto"/>
        <w:rPr>
          <w:rFonts w:ascii="宋体" w:hAnsi="宋体" w:cs="宋体"/>
          <w:sz w:val="24"/>
          <w:szCs w:val="18"/>
        </w:rPr>
      </w:pPr>
      <w:r>
        <w:rPr>
          <w:rFonts w:hint="eastAsia" w:ascii="宋体" w:hAnsi="宋体" w:cs="宋体"/>
          <w:sz w:val="24"/>
          <w:szCs w:val="18"/>
        </w:rPr>
        <w:t>法定代表人（签字或盖章）：                 法定代表人（签字或盖章）：</w:t>
      </w:r>
    </w:p>
    <w:p w14:paraId="420121F0">
      <w:pPr>
        <w:spacing w:line="480" w:lineRule="auto"/>
        <w:rPr>
          <w:rFonts w:ascii="宋体" w:hAnsi="宋体" w:cs="宋体"/>
          <w:b/>
          <w:bCs/>
          <w:color w:val="333333"/>
          <w:sz w:val="39"/>
          <w:szCs w:val="39"/>
        </w:rPr>
      </w:pPr>
      <w:r>
        <w:rPr>
          <w:rFonts w:hint="eastAsia" w:ascii="宋体" w:hAnsi="宋体" w:cs="宋体"/>
          <w:sz w:val="24"/>
          <w:szCs w:val="18"/>
        </w:rPr>
        <w:t>年  月   日                                年   月   日</w:t>
      </w:r>
    </w:p>
    <w:p w14:paraId="43A119C5">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pPr>
    </w:p>
    <w:p w14:paraId="3FF05637">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sectPr>
          <w:headerReference r:id="rId5" w:type="default"/>
          <w:footerReference r:id="rId6" w:type="default"/>
          <w:pgSz w:w="11906" w:h="16840"/>
          <w:pgMar w:top="1440" w:right="1080" w:bottom="1440" w:left="1080" w:header="1204" w:footer="1221" w:gutter="0"/>
          <w:cols w:space="720" w:num="1"/>
        </w:sectPr>
      </w:pPr>
      <w:bookmarkStart w:id="0" w:name="_GoBack"/>
      <w:bookmarkEnd w:id="0"/>
    </w:p>
    <w:p w14:paraId="4C9B455E">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textAlignment w:val="baseline"/>
        <w:rPr>
          <w:rFonts w:hint="eastAsia" w:ascii="宋体" w:hAnsi="宋体" w:eastAsia="宋体" w:cs="宋体"/>
          <w:sz w:val="24"/>
          <w:szCs w:val="24"/>
        </w:rPr>
      </w:pPr>
      <w:r>
        <w:rPr>
          <w:rFonts w:hint="eastAsia" w:ascii="宋体" w:hAnsi="宋体" w:eastAsia="宋体" w:cs="宋体"/>
          <w:sz w:val="24"/>
          <w:szCs w:val="24"/>
        </w:rPr>
        <w:t>附件：</w:t>
      </w:r>
    </w:p>
    <w:p w14:paraId="19F1362C">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jc w:val="center"/>
        <w:textAlignment w:val="baseline"/>
        <w:rPr>
          <w:rFonts w:hint="eastAsia" w:ascii="宋体" w:hAnsi="宋体" w:eastAsia="宋体" w:cs="宋体"/>
          <w:sz w:val="24"/>
          <w:szCs w:val="24"/>
        </w:rPr>
      </w:pPr>
      <w:r>
        <w:rPr>
          <w:rFonts w:hint="eastAsia" w:ascii="宋体" w:hAnsi="宋体" w:eastAsia="宋体" w:cs="宋体"/>
          <w:sz w:val="24"/>
          <w:szCs w:val="24"/>
        </w:rPr>
        <w:t>考核办法</w:t>
      </w:r>
    </w:p>
    <w:p w14:paraId="34422C28">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为规范</w:t>
      </w:r>
      <w:r>
        <w:rPr>
          <w:rFonts w:hint="eastAsia" w:ascii="宋体" w:hAnsi="宋体" w:eastAsia="宋体" w:cs="宋体"/>
          <w:sz w:val="24"/>
          <w:szCs w:val="24"/>
          <w:lang w:eastAsia="zh-CN"/>
        </w:rPr>
        <w:t>新城大院消防维保及值班服务采购项目</w:t>
      </w:r>
      <w:r>
        <w:rPr>
          <w:rFonts w:hint="eastAsia" w:ascii="宋体" w:hAnsi="宋体" w:eastAsia="宋体" w:cs="宋体"/>
          <w:sz w:val="24"/>
          <w:szCs w:val="24"/>
        </w:rPr>
        <w:t>管理，提升服务保障质量，维护双方的合法权益，根据《机关事务管理条例》、采购招标有关规定，结合</w:t>
      </w:r>
      <w:r>
        <w:rPr>
          <w:rFonts w:hint="eastAsia" w:ascii="宋体" w:hAnsi="宋体" w:eastAsia="宋体" w:cs="宋体"/>
          <w:sz w:val="24"/>
          <w:szCs w:val="24"/>
          <w:lang w:eastAsia="zh-CN"/>
        </w:rPr>
        <w:t>新城大院消防维保及值班服务采购项目</w:t>
      </w:r>
      <w:r>
        <w:rPr>
          <w:rFonts w:hint="eastAsia" w:ascii="宋体" w:hAnsi="宋体" w:eastAsia="宋体" w:cs="宋体"/>
          <w:sz w:val="24"/>
          <w:szCs w:val="24"/>
        </w:rPr>
        <w:t>实际，特制定如下考核评价实施办法。</w:t>
      </w:r>
    </w:p>
    <w:p w14:paraId="5157E54F">
      <w:pPr>
        <w:spacing w:line="480" w:lineRule="auto"/>
        <w:rPr>
          <w:rFonts w:hint="eastAsia" w:ascii="宋体" w:hAnsi="宋体" w:eastAsia="宋体" w:cs="宋体"/>
          <w:sz w:val="24"/>
          <w:szCs w:val="24"/>
        </w:rPr>
      </w:pPr>
      <w:r>
        <w:rPr>
          <w:rFonts w:hint="eastAsia" w:ascii="宋体" w:hAnsi="宋体" w:eastAsia="宋体" w:cs="宋体"/>
          <w:sz w:val="24"/>
          <w:szCs w:val="24"/>
        </w:rPr>
        <w:t>一、考评依据</w:t>
      </w:r>
    </w:p>
    <w:p w14:paraId="3CAF4E54">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考评主要依据《中华人民共和国政府采购法》、事务中心《政府采购管理规定》、新城大院消防维保及值班服务对象（单位）满意度反馈情况和</w:t>
      </w:r>
      <w:r>
        <w:rPr>
          <w:rFonts w:hint="eastAsia" w:ascii="宋体" w:hAnsi="宋体" w:eastAsia="宋体" w:cs="宋体"/>
          <w:sz w:val="24"/>
          <w:szCs w:val="24"/>
          <w:lang w:eastAsia="zh-CN"/>
        </w:rPr>
        <w:t>新城大院消防维保及值班服务采购项目</w:t>
      </w:r>
      <w:r>
        <w:rPr>
          <w:rFonts w:hint="eastAsia" w:ascii="宋体" w:hAnsi="宋体" w:eastAsia="宋体" w:cs="宋体"/>
          <w:sz w:val="24"/>
          <w:szCs w:val="24"/>
        </w:rPr>
        <w:t>的招标文件（技术文件）有关内容。</w:t>
      </w:r>
    </w:p>
    <w:p w14:paraId="20E5A110">
      <w:pPr>
        <w:spacing w:line="480" w:lineRule="auto"/>
        <w:rPr>
          <w:rFonts w:hint="eastAsia" w:ascii="宋体" w:hAnsi="宋体" w:eastAsia="宋体" w:cs="宋体"/>
          <w:sz w:val="24"/>
          <w:szCs w:val="24"/>
        </w:rPr>
      </w:pPr>
      <w:r>
        <w:rPr>
          <w:rFonts w:hint="eastAsia" w:ascii="宋体" w:hAnsi="宋体" w:eastAsia="宋体" w:cs="宋体"/>
          <w:sz w:val="24"/>
          <w:szCs w:val="24"/>
        </w:rPr>
        <w:t>二、考评方式</w:t>
      </w:r>
    </w:p>
    <w:p w14:paraId="503F5F92">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消防维保科负责</w:t>
      </w:r>
      <w:r>
        <w:rPr>
          <w:rFonts w:hint="eastAsia" w:ascii="宋体" w:hAnsi="宋体" w:eastAsia="宋体" w:cs="宋体"/>
          <w:sz w:val="24"/>
          <w:szCs w:val="24"/>
          <w:lang w:eastAsia="zh-CN"/>
        </w:rPr>
        <w:t>新城大院消防维保及值班服务采购项目</w:t>
      </w:r>
      <w:r>
        <w:rPr>
          <w:rFonts w:hint="eastAsia" w:ascii="宋体" w:hAnsi="宋体" w:eastAsia="宋体" w:cs="宋体"/>
          <w:sz w:val="24"/>
          <w:szCs w:val="24"/>
        </w:rPr>
        <w:t>质量的日常考核工作，将每月考核情况报分管领导。年终考核，报请中心领导同意后，组织相关科室进行年终考核评价工作。</w:t>
      </w:r>
    </w:p>
    <w:p w14:paraId="654F4B3C">
      <w:pPr>
        <w:spacing w:line="480" w:lineRule="auto"/>
        <w:rPr>
          <w:rFonts w:hint="eastAsia" w:ascii="宋体" w:hAnsi="宋体" w:eastAsia="宋体" w:cs="宋体"/>
          <w:sz w:val="24"/>
          <w:szCs w:val="24"/>
        </w:rPr>
      </w:pPr>
      <w:r>
        <w:rPr>
          <w:rFonts w:hint="eastAsia" w:ascii="宋体" w:hAnsi="宋体" w:eastAsia="宋体" w:cs="宋体"/>
          <w:sz w:val="24"/>
          <w:szCs w:val="24"/>
        </w:rPr>
        <w:t>三、考评内容及标准</w:t>
      </w:r>
    </w:p>
    <w:p w14:paraId="1D297164">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新城大院消防维保及值班服务考核评价应区分服务区域、服务内容、工作频次、质量标准、大院服务对象（单位）满意度等项目，分别进行考核评价。分为定期检查、随机抽查、台账核查、满意度测评等步骤开展。</w:t>
      </w:r>
    </w:p>
    <w:p w14:paraId="74A4DE05">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定期检查。考核评价小组根据项目投标文件（技术文件）规定的服务质量标准等内容，分日常巡查、月、季、年对该服务进行检查考核。日常巡查由消防维保科负责，主要检查消防值班人员是否按时到岗、消防维护保养过程中问题落实、是否维修到位；月考与驻楼单位共同参与检查与考核，填写考核评分表，记录汇总得分并存档、资料积累等情况；年终考核，报请中心领导同意后，组织相关科室进行年终考核评价工作，并做出考核评价。</w:t>
      </w:r>
    </w:p>
    <w:p w14:paraId="003D6A0A">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（二）随机抽查。根据工作实际需要进行随机抽查。随机抽查采取不提前打招呼，直接去现场查看，依据相关质量标准进行检查，并做出考核评价。</w:t>
      </w:r>
    </w:p>
    <w:p w14:paraId="666DB705">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台账核查。主要对该项目相关服务台账资料进行检查。包括企业资质证书、服务流程手册、相关技术规范、人员培训资料、执业资质证书等。其中企业、执业等相关资质证书除在公开招标前按照招标程序核查确认以外，每年度至少结合定期检查工作核查一遍。</w:t>
      </w:r>
    </w:p>
    <w:p w14:paraId="616026B5">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满意度测评。建立满意度测评机制，每季度组织一次满意度测评。报请分管领导同意后与相关科室负责人对大院服务对象（单位）进行走访，填写满意度测评表，经考核评价小组汇总统计后作为考核评价的参考依据。</w:t>
      </w:r>
    </w:p>
    <w:p w14:paraId="7C3A82D2">
      <w:pPr>
        <w:spacing w:line="480" w:lineRule="auto"/>
        <w:rPr>
          <w:rFonts w:hint="eastAsia" w:ascii="宋体" w:hAnsi="宋体" w:eastAsia="宋体" w:cs="宋体"/>
          <w:sz w:val="24"/>
          <w:szCs w:val="24"/>
        </w:rPr>
      </w:pPr>
      <w:r>
        <w:rPr>
          <w:rFonts w:hint="eastAsia" w:ascii="宋体" w:hAnsi="宋体" w:eastAsia="宋体" w:cs="宋体"/>
          <w:sz w:val="24"/>
          <w:szCs w:val="24"/>
        </w:rPr>
        <w:t>四、考核结果运用</w:t>
      </w:r>
    </w:p>
    <w:p w14:paraId="4C110E48">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1.月度考核结果运用。考核每月进行一次，设置标准分 100 分。月度考核得分大于等于95 分的，视为本月合格；得分低于95 分的，视为本月不合格，94 分（含 94 分）以下按每分统计扣除质保金（一分扣除 200 元）。</w:t>
      </w:r>
    </w:p>
    <w:p w14:paraId="522459D4">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2.年度考核结果运用。本次招标服务期：总服务期为叁年，合同一年一签。年度考核结果应结合定期、随机抽查和台账核查情况综合确定，以月度考核分数的加权平均数（合同期内 12 个月考核分数累加除以 12）为重要参考依据。如果年度管理服务考核结果高于95 分（含95 分），新城管理中心可与新城大院消防维保及值班服务单位签订下年度服务合同，否则不续签下一年度服务合同。</w:t>
      </w:r>
    </w:p>
    <w:p w14:paraId="6FB487F3">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年终奖惩。在本年度突发事件应急处置过程中，因新城大院消防维保及值班服务单位妥善处置，为服务对象减少损失、降低影响；在管理服务过程中，因服务企业创新或加班加点工作，帮助服务对象取得重大荣誉；因</w:t>
      </w:r>
      <w:r>
        <w:rPr>
          <w:rFonts w:hint="eastAsia" w:ascii="宋体" w:hAnsi="宋体" w:eastAsia="宋体" w:cs="宋体"/>
          <w:sz w:val="24"/>
          <w:szCs w:val="24"/>
          <w:lang w:eastAsia="zh-CN"/>
        </w:rPr>
        <w:t>新城大院消防维保及值班服务采购项目</w:t>
      </w:r>
      <w:r>
        <w:rPr>
          <w:rFonts w:hint="eastAsia" w:ascii="宋体" w:hAnsi="宋体" w:eastAsia="宋体" w:cs="宋体"/>
          <w:sz w:val="24"/>
          <w:szCs w:val="24"/>
        </w:rPr>
        <w:t>高品质服务，受到省级以上部门表彰；满足以上三个条件之一，经考核小组核实无误，可给予新城大院消防维保及值班服务单位奖励。</w:t>
      </w:r>
    </w:p>
    <w:p w14:paraId="6488CEDC">
      <w:pPr>
        <w:spacing w:line="480" w:lineRule="auto"/>
        <w:rPr>
          <w:rFonts w:hint="eastAsia" w:ascii="宋体" w:hAnsi="宋体" w:eastAsia="宋体" w:cs="宋体"/>
          <w:sz w:val="24"/>
          <w:szCs w:val="24"/>
        </w:rPr>
      </w:pPr>
      <w:r>
        <w:rPr>
          <w:rFonts w:hint="eastAsia" w:ascii="宋体" w:hAnsi="宋体" w:eastAsia="宋体" w:cs="宋体"/>
          <w:sz w:val="24"/>
          <w:szCs w:val="24"/>
        </w:rPr>
        <w:t>受到新城管理中心领导表扬加 3 分，事务中心分管领导表扬加 5 分，奖励分值记入年终考核总成绩；在机关事务服务中心及大院（单位）满意度测评或检查、月考核时发生问题的，月度考核扣除相应分数；受到新城管理中心领导否决扣 3分，事务中心分管领导否决扣 5 分，在受到机关事务服务中心及以上单位负责人否决或本服务年度发生重大责任事故时，当年立即终止合同，来年不再续签合同。</w:t>
      </w:r>
    </w:p>
    <w:p w14:paraId="7924A97A">
      <w:pPr>
        <w:spacing w:line="480" w:lineRule="auto"/>
        <w:rPr>
          <w:rFonts w:hint="eastAsia" w:ascii="宋体" w:hAnsi="宋体" w:eastAsia="宋体" w:cs="宋体"/>
          <w:sz w:val="24"/>
          <w:szCs w:val="24"/>
        </w:rPr>
      </w:pPr>
      <w:r>
        <w:rPr>
          <w:rFonts w:hint="eastAsia" w:ascii="宋体" w:hAnsi="宋体" w:eastAsia="宋体" w:cs="宋体"/>
          <w:sz w:val="24"/>
          <w:szCs w:val="24"/>
        </w:rPr>
        <w:t>此《考核评价实施办法》 自 2023 年9 月起生效，最终解释权归陕西省人民政府机关新城管理中心所有。</w:t>
      </w:r>
    </w:p>
    <w:p w14:paraId="086432E5">
      <w:pPr>
        <w:spacing w:line="480" w:lineRule="auto"/>
        <w:rPr>
          <w:rFonts w:hint="eastAsia" w:ascii="宋体" w:hAnsi="宋体" w:eastAsia="宋体" w:cs="宋体"/>
          <w:sz w:val="24"/>
          <w:szCs w:val="24"/>
        </w:rPr>
      </w:pPr>
      <w:r>
        <w:rPr>
          <w:rFonts w:hint="eastAsia" w:ascii="宋体" w:hAnsi="宋体" w:eastAsia="宋体" w:cs="宋体"/>
          <w:sz w:val="24"/>
          <w:szCs w:val="24"/>
        </w:rPr>
        <w:t>附表：1.《消防维保及值班服务考核表》</w:t>
      </w:r>
    </w:p>
    <w:p w14:paraId="6EE456F5">
      <w:pPr>
        <w:spacing w:line="480" w:lineRule="auto"/>
        <w:rPr>
          <w:rFonts w:hint="eastAsia" w:ascii="宋体" w:hAnsi="宋体" w:eastAsia="宋体" w:cs="宋体"/>
          <w:sz w:val="24"/>
          <w:szCs w:val="24"/>
        </w:rPr>
      </w:pPr>
      <w:r>
        <w:rPr>
          <w:rFonts w:hint="eastAsia" w:ascii="宋体" w:hAnsi="宋体" w:eastAsia="宋体" w:cs="宋体"/>
          <w:sz w:val="24"/>
          <w:szCs w:val="24"/>
        </w:rPr>
        <w:t>2.《消防系统维保情况年度评价表》</w:t>
      </w:r>
    </w:p>
    <w:p w14:paraId="19B128E2">
      <w:pPr>
        <w:keepNext w:val="0"/>
        <w:keepLines w:val="0"/>
        <w:pageBreakBefore w:val="0"/>
        <w:widowControl/>
        <w:kinsoku w:val="0"/>
        <w:wordWrap/>
        <w:overflowPunct/>
        <w:topLinePunct w:val="0"/>
        <w:autoSpaceDE w:val="0"/>
        <w:autoSpaceDN w:val="0"/>
        <w:bidi w:val="0"/>
        <w:adjustRightInd w:val="0"/>
        <w:snapToGrid w:val="0"/>
        <w:spacing w:line="480" w:lineRule="auto"/>
        <w:ind w:right="525" w:rightChars="250" w:firstLine="480" w:firstLineChars="200"/>
        <w:textAlignment w:val="baseline"/>
        <w:rPr>
          <w:rFonts w:hint="eastAsia" w:ascii="宋体" w:hAnsi="宋体" w:eastAsia="宋体" w:cs="宋体"/>
          <w:sz w:val="24"/>
          <w:szCs w:val="24"/>
        </w:rPr>
        <w:sectPr>
          <w:headerReference r:id="rId7" w:type="default"/>
          <w:footerReference r:id="rId8" w:type="default"/>
          <w:pgSz w:w="11906" w:h="16839"/>
          <w:pgMar w:top="1483" w:right="1301" w:bottom="1437" w:left="1585" w:header="1204" w:footer="1223" w:gutter="0"/>
          <w:cols w:space="720" w:num="1"/>
        </w:sectPr>
      </w:pPr>
    </w:p>
    <w:p w14:paraId="3B213E97">
      <w:pPr>
        <w:spacing w:before="145" w:line="360" w:lineRule="auto"/>
        <w:ind w:left="3203"/>
      </w:pPr>
      <w:r>
        <w:rPr>
          <w:rFonts w:hint="eastAsia" w:ascii="宋体" w:hAnsi="宋体" w:eastAsia="宋体" w:cs="宋体"/>
          <w:b/>
          <w:bCs/>
          <w:spacing w:val="-4"/>
          <w:sz w:val="28"/>
          <w:szCs w:val="28"/>
          <w:lang w:val="en-US" w:eastAsia="zh-CN"/>
        </w:rPr>
        <w:t>1.</w:t>
      </w:r>
      <w:r>
        <w:rPr>
          <w:rFonts w:ascii="宋体" w:hAnsi="宋体" w:eastAsia="宋体" w:cs="宋体"/>
          <w:b/>
          <w:bCs/>
          <w:spacing w:val="-4"/>
          <w:sz w:val="28"/>
          <w:szCs w:val="28"/>
        </w:rPr>
        <w:t>消防维保及值班服务考核表</w:t>
      </w:r>
    </w:p>
    <w:tbl>
      <w:tblPr>
        <w:tblStyle w:val="8"/>
        <w:tblW w:w="96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1"/>
        <w:gridCol w:w="4011"/>
        <w:gridCol w:w="778"/>
        <w:gridCol w:w="2796"/>
        <w:gridCol w:w="916"/>
      </w:tblGrid>
      <w:tr w14:paraId="6D3840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5132" w:type="dxa"/>
            <w:gridSpan w:val="2"/>
            <w:vAlign w:val="top"/>
          </w:tcPr>
          <w:p w14:paraId="665769D5">
            <w:pPr>
              <w:pStyle w:val="7"/>
              <w:spacing w:before="266" w:line="360" w:lineRule="auto"/>
              <w:ind w:left="1941"/>
              <w:rPr>
                <w:sz w:val="18"/>
                <w:szCs w:val="18"/>
              </w:rPr>
            </w:pPr>
            <w:r>
              <w:rPr>
                <w:spacing w:val="-2"/>
                <w:sz w:val="18"/>
                <w:szCs w:val="18"/>
              </w:rPr>
              <w:t>检查项目及内容</w:t>
            </w:r>
          </w:p>
        </w:tc>
        <w:tc>
          <w:tcPr>
            <w:tcW w:w="778" w:type="dxa"/>
            <w:textDirection w:val="tbRlV"/>
            <w:vAlign w:val="top"/>
          </w:tcPr>
          <w:p w14:paraId="6CF3B461">
            <w:pPr>
              <w:pStyle w:val="7"/>
              <w:spacing w:before="150" w:line="360" w:lineRule="auto"/>
              <w:ind w:left="107"/>
              <w:rPr>
                <w:sz w:val="18"/>
                <w:szCs w:val="18"/>
              </w:rPr>
            </w:pPr>
            <w:r>
              <w:rPr>
                <w:spacing w:val="-1"/>
                <w:sz w:val="18"/>
                <w:szCs w:val="18"/>
              </w:rPr>
              <w:t>分</w:t>
            </w:r>
            <w:r>
              <w:rPr>
                <w:spacing w:val="50"/>
                <w:sz w:val="18"/>
                <w:szCs w:val="18"/>
              </w:rPr>
              <w:t xml:space="preserve"> </w:t>
            </w:r>
            <w:r>
              <w:rPr>
                <w:spacing w:val="-1"/>
                <w:sz w:val="18"/>
                <w:szCs w:val="18"/>
              </w:rPr>
              <w:t>值</w:t>
            </w:r>
          </w:p>
        </w:tc>
        <w:tc>
          <w:tcPr>
            <w:tcW w:w="2796" w:type="dxa"/>
            <w:vAlign w:val="top"/>
          </w:tcPr>
          <w:p w14:paraId="0D8CC122">
            <w:pPr>
              <w:pStyle w:val="7"/>
              <w:spacing w:before="266" w:line="360" w:lineRule="auto"/>
              <w:ind w:left="1238"/>
              <w:rPr>
                <w:sz w:val="18"/>
                <w:szCs w:val="18"/>
              </w:rPr>
            </w:pPr>
            <w:r>
              <w:rPr>
                <w:spacing w:val="-2"/>
                <w:sz w:val="18"/>
                <w:szCs w:val="18"/>
              </w:rPr>
              <w:t>检查情况</w:t>
            </w:r>
          </w:p>
        </w:tc>
        <w:tc>
          <w:tcPr>
            <w:tcW w:w="916" w:type="dxa"/>
            <w:vAlign w:val="top"/>
          </w:tcPr>
          <w:p w14:paraId="3FEA22DF">
            <w:pPr>
              <w:pStyle w:val="7"/>
              <w:spacing w:before="108" w:line="360" w:lineRule="auto"/>
              <w:ind w:left="325" w:right="137" w:hanging="177"/>
              <w:rPr>
                <w:sz w:val="18"/>
                <w:szCs w:val="18"/>
              </w:rPr>
            </w:pPr>
            <w:r>
              <w:rPr>
                <w:spacing w:val="-4"/>
                <w:sz w:val="18"/>
                <w:szCs w:val="18"/>
              </w:rPr>
              <w:t>实际得</w:t>
            </w:r>
            <w:r>
              <w:rPr>
                <w:sz w:val="18"/>
                <w:szCs w:val="18"/>
              </w:rPr>
              <w:t>分</w:t>
            </w:r>
          </w:p>
        </w:tc>
      </w:tr>
      <w:tr w14:paraId="520E6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21" w:type="dxa"/>
            <w:vMerge w:val="restart"/>
            <w:tcBorders>
              <w:bottom w:val="nil"/>
            </w:tcBorders>
            <w:vAlign w:val="top"/>
          </w:tcPr>
          <w:p w14:paraId="5751B97A">
            <w:pPr>
              <w:spacing w:line="360" w:lineRule="auto"/>
              <w:rPr>
                <w:rFonts w:ascii="Arial"/>
                <w:sz w:val="21"/>
              </w:rPr>
            </w:pPr>
          </w:p>
          <w:p w14:paraId="326DDB86">
            <w:pPr>
              <w:spacing w:line="360" w:lineRule="auto"/>
              <w:rPr>
                <w:rFonts w:ascii="Arial"/>
                <w:sz w:val="21"/>
              </w:rPr>
            </w:pPr>
          </w:p>
          <w:p w14:paraId="4EB6151D">
            <w:pPr>
              <w:spacing w:line="360" w:lineRule="auto"/>
              <w:rPr>
                <w:rFonts w:ascii="Arial"/>
                <w:sz w:val="21"/>
              </w:rPr>
            </w:pPr>
          </w:p>
          <w:p w14:paraId="69807D6C">
            <w:pPr>
              <w:spacing w:line="360" w:lineRule="auto"/>
              <w:rPr>
                <w:rFonts w:ascii="Arial"/>
                <w:sz w:val="21"/>
              </w:rPr>
            </w:pPr>
          </w:p>
          <w:p w14:paraId="1E717D65">
            <w:pPr>
              <w:spacing w:line="360" w:lineRule="auto"/>
              <w:rPr>
                <w:rFonts w:ascii="Arial"/>
                <w:sz w:val="21"/>
              </w:rPr>
            </w:pPr>
          </w:p>
          <w:p w14:paraId="5A443797">
            <w:pPr>
              <w:spacing w:line="360" w:lineRule="auto"/>
              <w:rPr>
                <w:rFonts w:ascii="Arial"/>
                <w:sz w:val="21"/>
              </w:rPr>
            </w:pPr>
          </w:p>
          <w:p w14:paraId="54861BF3">
            <w:pPr>
              <w:spacing w:line="360" w:lineRule="auto"/>
              <w:rPr>
                <w:rFonts w:ascii="Arial"/>
                <w:sz w:val="21"/>
              </w:rPr>
            </w:pPr>
          </w:p>
          <w:p w14:paraId="386D2320">
            <w:pPr>
              <w:pStyle w:val="7"/>
              <w:spacing w:before="59" w:line="360" w:lineRule="auto"/>
              <w:ind w:left="297" w:right="108" w:hanging="181"/>
              <w:rPr>
                <w:sz w:val="18"/>
                <w:szCs w:val="18"/>
              </w:rPr>
            </w:pPr>
            <w:r>
              <w:rPr>
                <w:spacing w:val="-2"/>
                <w:sz w:val="18"/>
                <w:szCs w:val="18"/>
              </w:rPr>
              <w:t>火灾自动报</w:t>
            </w:r>
            <w:r>
              <w:rPr>
                <w:spacing w:val="-4"/>
                <w:sz w:val="18"/>
                <w:szCs w:val="18"/>
              </w:rPr>
              <w:t>警系统</w:t>
            </w:r>
          </w:p>
        </w:tc>
        <w:tc>
          <w:tcPr>
            <w:tcW w:w="4011" w:type="dxa"/>
            <w:vAlign w:val="top"/>
          </w:tcPr>
          <w:p w14:paraId="6EB34481">
            <w:pPr>
              <w:pStyle w:val="7"/>
              <w:spacing w:before="87" w:line="360" w:lineRule="auto"/>
              <w:ind w:left="110" w:right="106" w:firstLine="12"/>
              <w:rPr>
                <w:sz w:val="18"/>
                <w:szCs w:val="18"/>
              </w:rPr>
            </w:pPr>
            <w:r>
              <w:rPr>
                <w:spacing w:val="-5"/>
                <w:sz w:val="18"/>
                <w:szCs w:val="18"/>
              </w:rPr>
              <w:t>1、消防控制室值班人员在岗在位及设备运行记录</w:t>
            </w:r>
            <w:r>
              <w:rPr>
                <w:spacing w:val="-3"/>
                <w:sz w:val="18"/>
                <w:szCs w:val="18"/>
              </w:rPr>
              <w:t>情况。</w:t>
            </w:r>
          </w:p>
        </w:tc>
        <w:tc>
          <w:tcPr>
            <w:tcW w:w="778" w:type="dxa"/>
            <w:vAlign w:val="top"/>
          </w:tcPr>
          <w:p w14:paraId="7FD8660F">
            <w:pPr>
              <w:pStyle w:val="7"/>
              <w:spacing w:before="211" w:line="360" w:lineRule="auto"/>
              <w:ind w:left="206"/>
              <w:rPr>
                <w:sz w:val="18"/>
                <w:szCs w:val="18"/>
              </w:rPr>
            </w:pPr>
            <w:r>
              <w:rPr>
                <w:sz w:val="18"/>
                <w:szCs w:val="18"/>
              </w:rPr>
              <w:t>5</w:t>
            </w:r>
          </w:p>
        </w:tc>
        <w:tc>
          <w:tcPr>
            <w:tcW w:w="2796" w:type="dxa"/>
            <w:vAlign w:val="top"/>
          </w:tcPr>
          <w:p w14:paraId="4984DF6C">
            <w:pPr>
              <w:spacing w:line="360" w:lineRule="auto"/>
              <w:rPr>
                <w:rFonts w:ascii="Arial"/>
                <w:sz w:val="21"/>
              </w:rPr>
            </w:pPr>
          </w:p>
        </w:tc>
        <w:tc>
          <w:tcPr>
            <w:tcW w:w="916" w:type="dxa"/>
            <w:vAlign w:val="top"/>
          </w:tcPr>
          <w:p w14:paraId="6B8715E8">
            <w:pPr>
              <w:spacing w:line="360" w:lineRule="auto"/>
              <w:rPr>
                <w:rFonts w:ascii="Arial"/>
                <w:sz w:val="21"/>
              </w:rPr>
            </w:pPr>
          </w:p>
        </w:tc>
      </w:tr>
      <w:tr w14:paraId="52F919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1121" w:type="dxa"/>
            <w:vMerge w:val="continue"/>
            <w:tcBorders>
              <w:top w:val="nil"/>
              <w:bottom w:val="nil"/>
            </w:tcBorders>
            <w:vAlign w:val="top"/>
          </w:tcPr>
          <w:p w14:paraId="3EF777CE">
            <w:pPr>
              <w:spacing w:line="360" w:lineRule="auto"/>
              <w:rPr>
                <w:rFonts w:ascii="Arial"/>
                <w:sz w:val="21"/>
              </w:rPr>
            </w:pPr>
          </w:p>
        </w:tc>
        <w:tc>
          <w:tcPr>
            <w:tcW w:w="4011" w:type="dxa"/>
            <w:vAlign w:val="top"/>
          </w:tcPr>
          <w:p w14:paraId="02577597">
            <w:pPr>
              <w:pStyle w:val="7"/>
              <w:spacing w:before="133" w:line="360" w:lineRule="auto"/>
              <w:ind w:left="109" w:right="63" w:firstLine="2"/>
              <w:rPr>
                <w:sz w:val="18"/>
                <w:szCs w:val="18"/>
              </w:rPr>
            </w:pPr>
            <w:r>
              <w:rPr>
                <w:spacing w:val="-2"/>
                <w:sz w:val="18"/>
                <w:szCs w:val="18"/>
              </w:rPr>
              <w:t>2、火灾报警控制器、联动控制器、楼层显示器、</w:t>
            </w:r>
            <w:r>
              <w:rPr>
                <w:spacing w:val="-1"/>
                <w:sz w:val="18"/>
                <w:szCs w:val="18"/>
              </w:rPr>
              <w:t>探测器、手报等运行是否正常完好。</w:t>
            </w:r>
          </w:p>
        </w:tc>
        <w:tc>
          <w:tcPr>
            <w:tcW w:w="778" w:type="dxa"/>
            <w:vAlign w:val="top"/>
          </w:tcPr>
          <w:p w14:paraId="61101B41">
            <w:pPr>
              <w:pStyle w:val="7"/>
              <w:spacing w:before="256" w:line="360" w:lineRule="auto"/>
              <w:ind w:left="206"/>
              <w:rPr>
                <w:sz w:val="18"/>
                <w:szCs w:val="18"/>
              </w:rPr>
            </w:pPr>
            <w:r>
              <w:rPr>
                <w:sz w:val="18"/>
                <w:szCs w:val="18"/>
              </w:rPr>
              <w:t>5</w:t>
            </w:r>
          </w:p>
        </w:tc>
        <w:tc>
          <w:tcPr>
            <w:tcW w:w="2796" w:type="dxa"/>
            <w:vAlign w:val="top"/>
          </w:tcPr>
          <w:p w14:paraId="440D9F64">
            <w:pPr>
              <w:spacing w:line="360" w:lineRule="auto"/>
              <w:rPr>
                <w:rFonts w:ascii="Arial"/>
                <w:sz w:val="21"/>
              </w:rPr>
            </w:pPr>
          </w:p>
        </w:tc>
        <w:tc>
          <w:tcPr>
            <w:tcW w:w="916" w:type="dxa"/>
            <w:vAlign w:val="top"/>
          </w:tcPr>
          <w:p w14:paraId="11F934F0">
            <w:pPr>
              <w:spacing w:line="360" w:lineRule="auto"/>
              <w:rPr>
                <w:rFonts w:ascii="Arial"/>
                <w:sz w:val="21"/>
              </w:rPr>
            </w:pPr>
          </w:p>
        </w:tc>
      </w:tr>
      <w:tr w14:paraId="0D5291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1121" w:type="dxa"/>
            <w:vMerge w:val="continue"/>
            <w:tcBorders>
              <w:top w:val="nil"/>
              <w:bottom w:val="nil"/>
            </w:tcBorders>
            <w:vAlign w:val="top"/>
          </w:tcPr>
          <w:p w14:paraId="1C39B107">
            <w:pPr>
              <w:spacing w:line="360" w:lineRule="auto"/>
              <w:rPr>
                <w:rFonts w:ascii="Arial"/>
                <w:sz w:val="21"/>
              </w:rPr>
            </w:pPr>
          </w:p>
        </w:tc>
        <w:tc>
          <w:tcPr>
            <w:tcW w:w="4011" w:type="dxa"/>
            <w:vAlign w:val="top"/>
          </w:tcPr>
          <w:p w14:paraId="085D5D9B">
            <w:pPr>
              <w:pStyle w:val="7"/>
              <w:spacing w:before="89" w:line="360" w:lineRule="auto"/>
              <w:ind w:left="111" w:right="60" w:firstLine="2"/>
              <w:jc w:val="both"/>
              <w:rPr>
                <w:sz w:val="18"/>
                <w:szCs w:val="18"/>
              </w:rPr>
            </w:pPr>
            <w:r>
              <w:rPr>
                <w:spacing w:val="-10"/>
                <w:sz w:val="18"/>
                <w:szCs w:val="18"/>
              </w:rPr>
              <w:t>3、火灾报警控制器的自检功能，消音、复位功能，</w:t>
            </w:r>
            <w:r>
              <w:rPr>
                <w:sz w:val="18"/>
                <w:szCs w:val="18"/>
              </w:rPr>
              <w:t>故障报警功能，火警优先功能，报警记忆功能和</w:t>
            </w:r>
            <w:r>
              <w:rPr>
                <w:spacing w:val="-1"/>
                <w:sz w:val="18"/>
                <w:szCs w:val="18"/>
              </w:rPr>
              <w:t>主备电自动转换功能是否正常。</w:t>
            </w:r>
          </w:p>
        </w:tc>
        <w:tc>
          <w:tcPr>
            <w:tcW w:w="778" w:type="dxa"/>
            <w:vAlign w:val="top"/>
          </w:tcPr>
          <w:p w14:paraId="65843299">
            <w:pPr>
              <w:spacing w:line="360" w:lineRule="auto"/>
              <w:rPr>
                <w:rFonts w:ascii="Arial"/>
                <w:sz w:val="21"/>
              </w:rPr>
            </w:pPr>
          </w:p>
          <w:p w14:paraId="72C51558">
            <w:pPr>
              <w:pStyle w:val="7"/>
              <w:spacing w:before="59" w:line="360" w:lineRule="auto"/>
              <w:ind w:left="206"/>
              <w:rPr>
                <w:sz w:val="18"/>
                <w:szCs w:val="18"/>
              </w:rPr>
            </w:pPr>
            <w:r>
              <w:rPr>
                <w:sz w:val="18"/>
                <w:szCs w:val="18"/>
              </w:rPr>
              <w:t>5</w:t>
            </w:r>
          </w:p>
        </w:tc>
        <w:tc>
          <w:tcPr>
            <w:tcW w:w="2796" w:type="dxa"/>
            <w:vAlign w:val="top"/>
          </w:tcPr>
          <w:p w14:paraId="62CAEBD3">
            <w:pPr>
              <w:spacing w:line="360" w:lineRule="auto"/>
              <w:rPr>
                <w:rFonts w:ascii="Arial"/>
                <w:sz w:val="21"/>
              </w:rPr>
            </w:pPr>
          </w:p>
        </w:tc>
        <w:tc>
          <w:tcPr>
            <w:tcW w:w="916" w:type="dxa"/>
            <w:vAlign w:val="top"/>
          </w:tcPr>
          <w:p w14:paraId="059ADBD7">
            <w:pPr>
              <w:spacing w:line="360" w:lineRule="auto"/>
              <w:rPr>
                <w:rFonts w:ascii="Arial"/>
                <w:sz w:val="21"/>
              </w:rPr>
            </w:pPr>
          </w:p>
        </w:tc>
      </w:tr>
      <w:tr w14:paraId="38BDB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21" w:type="dxa"/>
            <w:vMerge w:val="continue"/>
            <w:tcBorders>
              <w:top w:val="nil"/>
              <w:bottom w:val="nil"/>
            </w:tcBorders>
            <w:vAlign w:val="top"/>
          </w:tcPr>
          <w:p w14:paraId="088669CE">
            <w:pPr>
              <w:spacing w:line="360" w:lineRule="auto"/>
              <w:rPr>
                <w:rFonts w:ascii="Arial"/>
                <w:sz w:val="21"/>
              </w:rPr>
            </w:pPr>
          </w:p>
        </w:tc>
        <w:tc>
          <w:tcPr>
            <w:tcW w:w="4011" w:type="dxa"/>
            <w:vAlign w:val="top"/>
          </w:tcPr>
          <w:p w14:paraId="222C4FB9">
            <w:pPr>
              <w:pStyle w:val="7"/>
              <w:spacing w:before="87" w:line="360" w:lineRule="auto"/>
              <w:ind w:left="109" w:right="106"/>
              <w:rPr>
                <w:sz w:val="18"/>
                <w:szCs w:val="18"/>
              </w:rPr>
            </w:pPr>
            <w:r>
              <w:rPr>
                <w:spacing w:val="-4"/>
                <w:sz w:val="18"/>
                <w:szCs w:val="18"/>
              </w:rPr>
              <w:t>4、对探测器进行模拟火灾响应试验和故障报警试验。</w:t>
            </w:r>
          </w:p>
        </w:tc>
        <w:tc>
          <w:tcPr>
            <w:tcW w:w="778" w:type="dxa"/>
            <w:vAlign w:val="top"/>
          </w:tcPr>
          <w:p w14:paraId="68E80E0E">
            <w:pPr>
              <w:pStyle w:val="7"/>
              <w:spacing w:before="210" w:line="360" w:lineRule="auto"/>
              <w:ind w:left="206"/>
              <w:rPr>
                <w:sz w:val="18"/>
                <w:szCs w:val="18"/>
              </w:rPr>
            </w:pPr>
            <w:r>
              <w:rPr>
                <w:sz w:val="18"/>
                <w:szCs w:val="18"/>
              </w:rPr>
              <w:t>5</w:t>
            </w:r>
          </w:p>
        </w:tc>
        <w:tc>
          <w:tcPr>
            <w:tcW w:w="2796" w:type="dxa"/>
            <w:vAlign w:val="top"/>
          </w:tcPr>
          <w:p w14:paraId="4DB4DF5E">
            <w:pPr>
              <w:spacing w:line="360" w:lineRule="auto"/>
              <w:rPr>
                <w:rFonts w:ascii="Arial"/>
                <w:sz w:val="21"/>
              </w:rPr>
            </w:pPr>
          </w:p>
        </w:tc>
        <w:tc>
          <w:tcPr>
            <w:tcW w:w="916" w:type="dxa"/>
            <w:vAlign w:val="top"/>
          </w:tcPr>
          <w:p w14:paraId="62329F94">
            <w:pPr>
              <w:spacing w:line="360" w:lineRule="auto"/>
              <w:rPr>
                <w:rFonts w:ascii="Arial"/>
                <w:sz w:val="21"/>
              </w:rPr>
            </w:pPr>
          </w:p>
        </w:tc>
      </w:tr>
      <w:tr w14:paraId="07DF7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21" w:type="dxa"/>
            <w:vMerge w:val="continue"/>
            <w:tcBorders>
              <w:top w:val="nil"/>
              <w:bottom w:val="nil"/>
            </w:tcBorders>
            <w:vAlign w:val="top"/>
          </w:tcPr>
          <w:p w14:paraId="3328CDE1">
            <w:pPr>
              <w:spacing w:line="360" w:lineRule="auto"/>
              <w:rPr>
                <w:rFonts w:ascii="Arial"/>
                <w:sz w:val="21"/>
              </w:rPr>
            </w:pPr>
          </w:p>
        </w:tc>
        <w:tc>
          <w:tcPr>
            <w:tcW w:w="4011" w:type="dxa"/>
            <w:vAlign w:val="top"/>
          </w:tcPr>
          <w:p w14:paraId="2BBFF035">
            <w:pPr>
              <w:pStyle w:val="7"/>
              <w:spacing w:before="87" w:line="360" w:lineRule="auto"/>
              <w:ind w:left="108" w:right="106" w:firstLine="5"/>
              <w:rPr>
                <w:sz w:val="18"/>
                <w:szCs w:val="18"/>
              </w:rPr>
            </w:pPr>
            <w:r>
              <w:rPr>
                <w:spacing w:val="-4"/>
                <w:sz w:val="18"/>
                <w:szCs w:val="18"/>
              </w:rPr>
              <w:t>5、对手动报警按钮进行模拟火灾响应试验和故障</w:t>
            </w:r>
            <w:r>
              <w:rPr>
                <w:spacing w:val="-2"/>
                <w:sz w:val="18"/>
                <w:szCs w:val="18"/>
              </w:rPr>
              <w:t>报警试验。</w:t>
            </w:r>
          </w:p>
        </w:tc>
        <w:tc>
          <w:tcPr>
            <w:tcW w:w="778" w:type="dxa"/>
            <w:vAlign w:val="top"/>
          </w:tcPr>
          <w:p w14:paraId="79D6B632">
            <w:pPr>
              <w:pStyle w:val="7"/>
              <w:spacing w:before="212" w:line="360" w:lineRule="auto"/>
              <w:ind w:left="206"/>
              <w:rPr>
                <w:sz w:val="18"/>
                <w:szCs w:val="18"/>
              </w:rPr>
            </w:pPr>
            <w:r>
              <w:rPr>
                <w:sz w:val="18"/>
                <w:szCs w:val="18"/>
              </w:rPr>
              <w:t>5</w:t>
            </w:r>
          </w:p>
        </w:tc>
        <w:tc>
          <w:tcPr>
            <w:tcW w:w="2796" w:type="dxa"/>
            <w:vAlign w:val="top"/>
          </w:tcPr>
          <w:p w14:paraId="66CD130D">
            <w:pPr>
              <w:spacing w:line="360" w:lineRule="auto"/>
              <w:rPr>
                <w:rFonts w:ascii="Arial"/>
                <w:sz w:val="21"/>
              </w:rPr>
            </w:pPr>
          </w:p>
        </w:tc>
        <w:tc>
          <w:tcPr>
            <w:tcW w:w="916" w:type="dxa"/>
            <w:vAlign w:val="top"/>
          </w:tcPr>
          <w:p w14:paraId="18E9A448">
            <w:pPr>
              <w:spacing w:line="360" w:lineRule="auto"/>
              <w:rPr>
                <w:rFonts w:ascii="Arial"/>
                <w:sz w:val="21"/>
              </w:rPr>
            </w:pPr>
          </w:p>
        </w:tc>
      </w:tr>
      <w:tr w14:paraId="4DD07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21" w:type="dxa"/>
            <w:vMerge w:val="continue"/>
            <w:tcBorders>
              <w:top w:val="nil"/>
            </w:tcBorders>
            <w:vAlign w:val="top"/>
          </w:tcPr>
          <w:p w14:paraId="383862CE">
            <w:pPr>
              <w:spacing w:line="360" w:lineRule="auto"/>
              <w:rPr>
                <w:rFonts w:ascii="Arial"/>
                <w:sz w:val="21"/>
              </w:rPr>
            </w:pPr>
          </w:p>
        </w:tc>
        <w:tc>
          <w:tcPr>
            <w:tcW w:w="4011" w:type="dxa"/>
            <w:vAlign w:val="top"/>
          </w:tcPr>
          <w:p w14:paraId="7AF5EFF3">
            <w:pPr>
              <w:pStyle w:val="7"/>
              <w:spacing w:before="87" w:line="360" w:lineRule="auto"/>
              <w:ind w:left="111" w:right="106"/>
              <w:rPr>
                <w:sz w:val="18"/>
                <w:szCs w:val="18"/>
              </w:rPr>
            </w:pPr>
            <w:r>
              <w:rPr>
                <w:spacing w:val="-4"/>
                <w:sz w:val="18"/>
                <w:szCs w:val="18"/>
              </w:rPr>
              <w:t>6、检查电话插孔、对讲电话、播音设备、扬声器</w:t>
            </w:r>
            <w:r>
              <w:rPr>
                <w:spacing w:val="-1"/>
                <w:sz w:val="18"/>
                <w:szCs w:val="18"/>
              </w:rPr>
              <w:t>等设备是否正常完好。</w:t>
            </w:r>
          </w:p>
        </w:tc>
        <w:tc>
          <w:tcPr>
            <w:tcW w:w="778" w:type="dxa"/>
            <w:vAlign w:val="top"/>
          </w:tcPr>
          <w:p w14:paraId="01AEBEFA">
            <w:pPr>
              <w:pStyle w:val="7"/>
              <w:spacing w:before="212" w:line="360" w:lineRule="auto"/>
              <w:ind w:left="206"/>
              <w:rPr>
                <w:sz w:val="18"/>
                <w:szCs w:val="18"/>
              </w:rPr>
            </w:pPr>
            <w:r>
              <w:rPr>
                <w:sz w:val="18"/>
                <w:szCs w:val="18"/>
              </w:rPr>
              <w:t>5</w:t>
            </w:r>
          </w:p>
        </w:tc>
        <w:tc>
          <w:tcPr>
            <w:tcW w:w="2796" w:type="dxa"/>
            <w:vAlign w:val="top"/>
          </w:tcPr>
          <w:p w14:paraId="06D035B0">
            <w:pPr>
              <w:spacing w:line="360" w:lineRule="auto"/>
              <w:rPr>
                <w:rFonts w:ascii="Arial"/>
                <w:sz w:val="21"/>
              </w:rPr>
            </w:pPr>
          </w:p>
        </w:tc>
        <w:tc>
          <w:tcPr>
            <w:tcW w:w="916" w:type="dxa"/>
            <w:vAlign w:val="top"/>
          </w:tcPr>
          <w:p w14:paraId="3B0D5C08">
            <w:pPr>
              <w:spacing w:line="360" w:lineRule="auto"/>
              <w:rPr>
                <w:rFonts w:ascii="Arial"/>
                <w:sz w:val="21"/>
              </w:rPr>
            </w:pPr>
          </w:p>
        </w:tc>
      </w:tr>
      <w:tr w14:paraId="33A23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121" w:type="dxa"/>
            <w:vMerge w:val="restart"/>
            <w:tcBorders>
              <w:bottom w:val="nil"/>
            </w:tcBorders>
            <w:vAlign w:val="top"/>
          </w:tcPr>
          <w:p w14:paraId="1A6B7332">
            <w:pPr>
              <w:spacing w:line="360" w:lineRule="auto"/>
              <w:rPr>
                <w:rFonts w:ascii="Arial"/>
                <w:sz w:val="21"/>
              </w:rPr>
            </w:pPr>
          </w:p>
          <w:p w14:paraId="6E22A5C4">
            <w:pPr>
              <w:spacing w:line="360" w:lineRule="auto"/>
              <w:rPr>
                <w:rFonts w:ascii="Arial"/>
                <w:sz w:val="21"/>
              </w:rPr>
            </w:pPr>
          </w:p>
          <w:p w14:paraId="244A2393">
            <w:pPr>
              <w:spacing w:line="360" w:lineRule="auto"/>
              <w:rPr>
                <w:rFonts w:ascii="Arial"/>
                <w:sz w:val="21"/>
              </w:rPr>
            </w:pPr>
          </w:p>
          <w:p w14:paraId="12E156CA">
            <w:pPr>
              <w:pStyle w:val="7"/>
              <w:spacing w:before="58" w:line="360" w:lineRule="auto"/>
              <w:ind w:left="295" w:right="108" w:hanging="151"/>
              <w:rPr>
                <w:sz w:val="18"/>
                <w:szCs w:val="18"/>
              </w:rPr>
            </w:pPr>
            <w:r>
              <w:rPr>
                <w:spacing w:val="-8"/>
                <w:sz w:val="18"/>
                <w:szCs w:val="18"/>
              </w:rPr>
              <w:t>自动喷淋灭</w:t>
            </w:r>
            <w:r>
              <w:rPr>
                <w:spacing w:val="-3"/>
                <w:sz w:val="18"/>
                <w:szCs w:val="18"/>
              </w:rPr>
              <w:t>火系统</w:t>
            </w:r>
          </w:p>
        </w:tc>
        <w:tc>
          <w:tcPr>
            <w:tcW w:w="4011" w:type="dxa"/>
            <w:vAlign w:val="top"/>
          </w:tcPr>
          <w:p w14:paraId="544BFD8B">
            <w:pPr>
              <w:pStyle w:val="7"/>
              <w:spacing w:before="87" w:line="360" w:lineRule="auto"/>
              <w:ind w:left="123"/>
              <w:rPr>
                <w:sz w:val="18"/>
                <w:szCs w:val="18"/>
              </w:rPr>
            </w:pPr>
            <w:r>
              <w:rPr>
                <w:spacing w:val="-2"/>
                <w:sz w:val="18"/>
                <w:szCs w:val="18"/>
              </w:rPr>
              <w:t>1、检查消防管网与市政管网的连接状况</w:t>
            </w:r>
          </w:p>
        </w:tc>
        <w:tc>
          <w:tcPr>
            <w:tcW w:w="778" w:type="dxa"/>
            <w:vAlign w:val="top"/>
          </w:tcPr>
          <w:p w14:paraId="33949DB6">
            <w:pPr>
              <w:pStyle w:val="7"/>
              <w:spacing w:before="60" w:line="360" w:lineRule="auto"/>
              <w:ind w:left="204"/>
              <w:rPr>
                <w:sz w:val="18"/>
                <w:szCs w:val="18"/>
              </w:rPr>
            </w:pPr>
            <w:r>
              <w:rPr>
                <w:sz w:val="18"/>
                <w:szCs w:val="18"/>
              </w:rPr>
              <w:t>2</w:t>
            </w:r>
          </w:p>
        </w:tc>
        <w:tc>
          <w:tcPr>
            <w:tcW w:w="2796" w:type="dxa"/>
            <w:vAlign w:val="top"/>
          </w:tcPr>
          <w:p w14:paraId="6D7ECFC7">
            <w:pPr>
              <w:spacing w:line="360" w:lineRule="auto"/>
              <w:rPr>
                <w:rFonts w:ascii="Arial"/>
                <w:sz w:val="21"/>
              </w:rPr>
            </w:pPr>
          </w:p>
        </w:tc>
        <w:tc>
          <w:tcPr>
            <w:tcW w:w="916" w:type="dxa"/>
            <w:vAlign w:val="top"/>
          </w:tcPr>
          <w:p w14:paraId="23CDB728">
            <w:pPr>
              <w:spacing w:line="360" w:lineRule="auto"/>
              <w:rPr>
                <w:rFonts w:ascii="Arial"/>
                <w:sz w:val="21"/>
              </w:rPr>
            </w:pPr>
          </w:p>
        </w:tc>
      </w:tr>
      <w:tr w14:paraId="4035F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21" w:type="dxa"/>
            <w:vMerge w:val="continue"/>
            <w:tcBorders>
              <w:top w:val="nil"/>
              <w:bottom w:val="nil"/>
            </w:tcBorders>
            <w:vAlign w:val="top"/>
          </w:tcPr>
          <w:p w14:paraId="2F076FA4">
            <w:pPr>
              <w:spacing w:line="360" w:lineRule="auto"/>
              <w:rPr>
                <w:rFonts w:ascii="Arial"/>
                <w:sz w:val="21"/>
              </w:rPr>
            </w:pPr>
          </w:p>
        </w:tc>
        <w:tc>
          <w:tcPr>
            <w:tcW w:w="4011" w:type="dxa"/>
            <w:vAlign w:val="top"/>
          </w:tcPr>
          <w:p w14:paraId="24F06514">
            <w:pPr>
              <w:pStyle w:val="7"/>
              <w:spacing w:before="87" w:line="360" w:lineRule="auto"/>
              <w:ind w:left="109" w:right="106" w:firstLine="2"/>
              <w:rPr>
                <w:sz w:val="18"/>
                <w:szCs w:val="18"/>
              </w:rPr>
            </w:pPr>
            <w:r>
              <w:rPr>
                <w:spacing w:val="-8"/>
                <w:sz w:val="18"/>
                <w:szCs w:val="18"/>
              </w:rPr>
              <w:t>2、检查管网、报警阀、喷头、阀门、储水设施(含</w:t>
            </w:r>
            <w:r>
              <w:rPr>
                <w:spacing w:val="-1"/>
                <w:sz w:val="18"/>
                <w:szCs w:val="18"/>
              </w:rPr>
              <w:t>储水量)等是否正常完好。</w:t>
            </w:r>
          </w:p>
        </w:tc>
        <w:tc>
          <w:tcPr>
            <w:tcW w:w="778" w:type="dxa"/>
            <w:vAlign w:val="top"/>
          </w:tcPr>
          <w:p w14:paraId="22E39994">
            <w:pPr>
              <w:pStyle w:val="7"/>
              <w:spacing w:before="211" w:line="360" w:lineRule="auto"/>
              <w:ind w:left="206"/>
              <w:rPr>
                <w:sz w:val="18"/>
                <w:szCs w:val="18"/>
              </w:rPr>
            </w:pPr>
            <w:r>
              <w:rPr>
                <w:sz w:val="18"/>
                <w:szCs w:val="18"/>
              </w:rPr>
              <w:t>3</w:t>
            </w:r>
          </w:p>
        </w:tc>
        <w:tc>
          <w:tcPr>
            <w:tcW w:w="2796" w:type="dxa"/>
            <w:vAlign w:val="top"/>
          </w:tcPr>
          <w:p w14:paraId="49B047F2">
            <w:pPr>
              <w:spacing w:line="360" w:lineRule="auto"/>
              <w:rPr>
                <w:rFonts w:ascii="Arial"/>
                <w:sz w:val="21"/>
              </w:rPr>
            </w:pPr>
          </w:p>
        </w:tc>
        <w:tc>
          <w:tcPr>
            <w:tcW w:w="916" w:type="dxa"/>
            <w:vAlign w:val="top"/>
          </w:tcPr>
          <w:p w14:paraId="2282492C">
            <w:pPr>
              <w:spacing w:line="360" w:lineRule="auto"/>
              <w:rPr>
                <w:rFonts w:ascii="Arial"/>
                <w:sz w:val="21"/>
              </w:rPr>
            </w:pPr>
          </w:p>
        </w:tc>
      </w:tr>
      <w:tr w14:paraId="1588BC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21" w:type="dxa"/>
            <w:vMerge w:val="continue"/>
            <w:tcBorders>
              <w:top w:val="nil"/>
              <w:bottom w:val="nil"/>
            </w:tcBorders>
            <w:vAlign w:val="top"/>
          </w:tcPr>
          <w:p w14:paraId="77B119E6">
            <w:pPr>
              <w:spacing w:line="360" w:lineRule="auto"/>
              <w:rPr>
                <w:rFonts w:ascii="Arial"/>
                <w:sz w:val="21"/>
              </w:rPr>
            </w:pPr>
          </w:p>
        </w:tc>
        <w:tc>
          <w:tcPr>
            <w:tcW w:w="4011" w:type="dxa"/>
            <w:vAlign w:val="top"/>
          </w:tcPr>
          <w:p w14:paraId="78D9A370">
            <w:pPr>
              <w:pStyle w:val="7"/>
              <w:spacing w:before="89" w:line="360" w:lineRule="auto"/>
              <w:ind w:left="114" w:right="106" w:hanging="1"/>
              <w:rPr>
                <w:sz w:val="18"/>
                <w:szCs w:val="18"/>
              </w:rPr>
            </w:pPr>
            <w:r>
              <w:rPr>
                <w:spacing w:val="-4"/>
                <w:sz w:val="18"/>
                <w:szCs w:val="18"/>
              </w:rPr>
              <w:t>3、检查阀门是否处于正常的位置，有无损伤；是</w:t>
            </w:r>
            <w:r>
              <w:rPr>
                <w:spacing w:val="-1"/>
                <w:sz w:val="18"/>
                <w:szCs w:val="18"/>
              </w:rPr>
              <w:t>否有异物遮挡、损伤、有无变形变色等。</w:t>
            </w:r>
          </w:p>
        </w:tc>
        <w:tc>
          <w:tcPr>
            <w:tcW w:w="778" w:type="dxa"/>
            <w:vAlign w:val="top"/>
          </w:tcPr>
          <w:p w14:paraId="2089B453">
            <w:pPr>
              <w:pStyle w:val="7"/>
              <w:spacing w:before="211" w:line="360" w:lineRule="auto"/>
              <w:ind w:left="206"/>
              <w:rPr>
                <w:sz w:val="18"/>
                <w:szCs w:val="18"/>
              </w:rPr>
            </w:pPr>
            <w:r>
              <w:rPr>
                <w:sz w:val="18"/>
                <w:szCs w:val="18"/>
              </w:rPr>
              <w:t>3</w:t>
            </w:r>
          </w:p>
        </w:tc>
        <w:tc>
          <w:tcPr>
            <w:tcW w:w="2796" w:type="dxa"/>
            <w:vAlign w:val="top"/>
          </w:tcPr>
          <w:p w14:paraId="5C0898B5">
            <w:pPr>
              <w:spacing w:line="360" w:lineRule="auto"/>
              <w:rPr>
                <w:rFonts w:ascii="Arial"/>
                <w:sz w:val="21"/>
              </w:rPr>
            </w:pPr>
          </w:p>
        </w:tc>
        <w:tc>
          <w:tcPr>
            <w:tcW w:w="916" w:type="dxa"/>
            <w:vAlign w:val="top"/>
          </w:tcPr>
          <w:p w14:paraId="0C95AA8E">
            <w:pPr>
              <w:spacing w:line="360" w:lineRule="auto"/>
              <w:rPr>
                <w:rFonts w:ascii="Arial"/>
                <w:sz w:val="21"/>
              </w:rPr>
            </w:pPr>
          </w:p>
        </w:tc>
      </w:tr>
      <w:tr w14:paraId="69F7D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1121" w:type="dxa"/>
            <w:vMerge w:val="continue"/>
            <w:tcBorders>
              <w:top w:val="nil"/>
            </w:tcBorders>
            <w:vAlign w:val="top"/>
          </w:tcPr>
          <w:p w14:paraId="46AD60B8">
            <w:pPr>
              <w:spacing w:line="360" w:lineRule="auto"/>
              <w:rPr>
                <w:rFonts w:ascii="Arial"/>
                <w:sz w:val="21"/>
              </w:rPr>
            </w:pPr>
          </w:p>
        </w:tc>
        <w:tc>
          <w:tcPr>
            <w:tcW w:w="4011" w:type="dxa"/>
            <w:vAlign w:val="top"/>
          </w:tcPr>
          <w:p w14:paraId="7612EE62">
            <w:pPr>
              <w:pStyle w:val="7"/>
              <w:spacing w:before="89" w:line="360" w:lineRule="auto"/>
              <w:ind w:left="109" w:right="106"/>
              <w:jc w:val="both"/>
              <w:rPr>
                <w:sz w:val="18"/>
                <w:szCs w:val="18"/>
              </w:rPr>
            </w:pPr>
            <w:r>
              <w:rPr>
                <w:spacing w:val="-4"/>
                <w:sz w:val="18"/>
                <w:szCs w:val="18"/>
              </w:rPr>
              <w:t>4、用末端放水装置进行放水试验，检查水流指示</w:t>
            </w:r>
            <w:r>
              <w:rPr>
                <w:spacing w:val="-2"/>
                <w:sz w:val="18"/>
                <w:szCs w:val="18"/>
              </w:rPr>
              <w:t>器和压力开关的报警功能，</w:t>
            </w:r>
            <w:r>
              <w:rPr>
                <w:spacing w:val="-40"/>
                <w:sz w:val="18"/>
                <w:szCs w:val="18"/>
              </w:rPr>
              <w:t xml:space="preserve"> </w:t>
            </w:r>
            <w:r>
              <w:rPr>
                <w:spacing w:val="-2"/>
                <w:sz w:val="18"/>
                <w:szCs w:val="18"/>
              </w:rPr>
              <w:t>自动补水功能和信号</w:t>
            </w:r>
            <w:r>
              <w:rPr>
                <w:spacing w:val="-1"/>
                <w:sz w:val="18"/>
                <w:szCs w:val="18"/>
              </w:rPr>
              <w:t>显示是否正常，检查最不利点水压力。</w:t>
            </w:r>
          </w:p>
        </w:tc>
        <w:tc>
          <w:tcPr>
            <w:tcW w:w="778" w:type="dxa"/>
            <w:vAlign w:val="top"/>
          </w:tcPr>
          <w:p w14:paraId="41BE5630">
            <w:pPr>
              <w:spacing w:line="360" w:lineRule="auto"/>
              <w:rPr>
                <w:rFonts w:ascii="Arial"/>
                <w:sz w:val="21"/>
              </w:rPr>
            </w:pPr>
          </w:p>
          <w:p w14:paraId="724DABED">
            <w:pPr>
              <w:pStyle w:val="7"/>
              <w:spacing w:before="59" w:line="360" w:lineRule="auto"/>
              <w:ind w:left="202"/>
              <w:rPr>
                <w:sz w:val="18"/>
                <w:szCs w:val="18"/>
              </w:rPr>
            </w:pPr>
            <w:r>
              <w:rPr>
                <w:sz w:val="18"/>
                <w:szCs w:val="18"/>
              </w:rPr>
              <w:t>4</w:t>
            </w:r>
          </w:p>
        </w:tc>
        <w:tc>
          <w:tcPr>
            <w:tcW w:w="2796" w:type="dxa"/>
            <w:vAlign w:val="top"/>
          </w:tcPr>
          <w:p w14:paraId="2939734B">
            <w:pPr>
              <w:spacing w:line="360" w:lineRule="auto"/>
              <w:rPr>
                <w:rFonts w:ascii="Arial"/>
                <w:sz w:val="21"/>
              </w:rPr>
            </w:pPr>
          </w:p>
        </w:tc>
        <w:tc>
          <w:tcPr>
            <w:tcW w:w="916" w:type="dxa"/>
            <w:vAlign w:val="top"/>
          </w:tcPr>
          <w:p w14:paraId="0E7CDF61">
            <w:pPr>
              <w:spacing w:line="360" w:lineRule="auto"/>
              <w:rPr>
                <w:rFonts w:ascii="Arial"/>
                <w:sz w:val="21"/>
              </w:rPr>
            </w:pPr>
          </w:p>
        </w:tc>
      </w:tr>
      <w:tr w14:paraId="55A18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121" w:type="dxa"/>
            <w:vMerge w:val="restart"/>
            <w:tcBorders>
              <w:bottom w:val="nil"/>
            </w:tcBorders>
            <w:vAlign w:val="top"/>
          </w:tcPr>
          <w:p w14:paraId="443D243D">
            <w:pPr>
              <w:spacing w:line="360" w:lineRule="auto"/>
              <w:rPr>
                <w:rFonts w:ascii="Arial"/>
                <w:sz w:val="21"/>
              </w:rPr>
            </w:pPr>
          </w:p>
          <w:p w14:paraId="035B81F7">
            <w:pPr>
              <w:spacing w:line="360" w:lineRule="auto"/>
              <w:rPr>
                <w:rFonts w:ascii="Arial"/>
                <w:sz w:val="21"/>
              </w:rPr>
            </w:pPr>
          </w:p>
          <w:p w14:paraId="50E23553">
            <w:pPr>
              <w:spacing w:line="360" w:lineRule="auto"/>
              <w:rPr>
                <w:rFonts w:ascii="Arial"/>
                <w:sz w:val="21"/>
              </w:rPr>
            </w:pPr>
          </w:p>
          <w:p w14:paraId="00C10753">
            <w:pPr>
              <w:spacing w:line="360" w:lineRule="auto"/>
              <w:rPr>
                <w:rFonts w:ascii="Arial"/>
                <w:sz w:val="21"/>
              </w:rPr>
            </w:pPr>
          </w:p>
          <w:p w14:paraId="22773F38">
            <w:pPr>
              <w:spacing w:line="360" w:lineRule="auto"/>
              <w:rPr>
                <w:rFonts w:ascii="Arial"/>
                <w:sz w:val="21"/>
              </w:rPr>
            </w:pPr>
          </w:p>
          <w:p w14:paraId="1E9972FE">
            <w:pPr>
              <w:pStyle w:val="7"/>
              <w:spacing w:before="59" w:line="360" w:lineRule="auto"/>
              <w:ind w:left="118"/>
              <w:rPr>
                <w:sz w:val="18"/>
                <w:szCs w:val="18"/>
              </w:rPr>
            </w:pPr>
            <w:r>
              <w:rPr>
                <w:spacing w:val="-3"/>
                <w:sz w:val="18"/>
                <w:szCs w:val="18"/>
              </w:rPr>
              <w:t>消火栓系统</w:t>
            </w:r>
          </w:p>
        </w:tc>
        <w:tc>
          <w:tcPr>
            <w:tcW w:w="4011" w:type="dxa"/>
            <w:vAlign w:val="top"/>
          </w:tcPr>
          <w:p w14:paraId="541D3D83">
            <w:pPr>
              <w:pStyle w:val="7"/>
              <w:spacing w:before="89" w:line="360" w:lineRule="auto"/>
              <w:ind w:left="123"/>
              <w:rPr>
                <w:sz w:val="18"/>
                <w:szCs w:val="18"/>
              </w:rPr>
            </w:pPr>
            <w:r>
              <w:rPr>
                <w:spacing w:val="-2"/>
                <w:sz w:val="18"/>
                <w:szCs w:val="18"/>
              </w:rPr>
              <w:t>1、检查消防管网与市政管网的连接状况。</w:t>
            </w:r>
          </w:p>
        </w:tc>
        <w:tc>
          <w:tcPr>
            <w:tcW w:w="778" w:type="dxa"/>
            <w:vAlign w:val="top"/>
          </w:tcPr>
          <w:p w14:paraId="38EC495F">
            <w:pPr>
              <w:pStyle w:val="7"/>
              <w:spacing w:before="62" w:line="360" w:lineRule="auto"/>
              <w:ind w:left="204"/>
              <w:rPr>
                <w:sz w:val="18"/>
                <w:szCs w:val="18"/>
              </w:rPr>
            </w:pPr>
            <w:r>
              <w:rPr>
                <w:sz w:val="18"/>
                <w:szCs w:val="18"/>
              </w:rPr>
              <w:t>2</w:t>
            </w:r>
          </w:p>
        </w:tc>
        <w:tc>
          <w:tcPr>
            <w:tcW w:w="2796" w:type="dxa"/>
            <w:vAlign w:val="top"/>
          </w:tcPr>
          <w:p w14:paraId="06057676">
            <w:pPr>
              <w:spacing w:line="360" w:lineRule="auto"/>
              <w:rPr>
                <w:rFonts w:ascii="Arial"/>
                <w:sz w:val="21"/>
              </w:rPr>
            </w:pPr>
          </w:p>
        </w:tc>
        <w:tc>
          <w:tcPr>
            <w:tcW w:w="916" w:type="dxa"/>
            <w:vAlign w:val="top"/>
          </w:tcPr>
          <w:p w14:paraId="54E34ECE">
            <w:pPr>
              <w:spacing w:line="360" w:lineRule="auto"/>
              <w:rPr>
                <w:rFonts w:ascii="Arial"/>
                <w:sz w:val="21"/>
              </w:rPr>
            </w:pPr>
          </w:p>
        </w:tc>
      </w:tr>
      <w:tr w14:paraId="2CEF1C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21" w:type="dxa"/>
            <w:vMerge w:val="continue"/>
            <w:tcBorders>
              <w:top w:val="nil"/>
              <w:bottom w:val="nil"/>
            </w:tcBorders>
            <w:vAlign w:val="top"/>
          </w:tcPr>
          <w:p w14:paraId="0E32974F">
            <w:pPr>
              <w:spacing w:line="360" w:lineRule="auto"/>
              <w:rPr>
                <w:rFonts w:ascii="Arial"/>
                <w:sz w:val="21"/>
              </w:rPr>
            </w:pPr>
          </w:p>
        </w:tc>
        <w:tc>
          <w:tcPr>
            <w:tcW w:w="4011" w:type="dxa"/>
            <w:vAlign w:val="top"/>
          </w:tcPr>
          <w:p w14:paraId="3C9E18E4">
            <w:pPr>
              <w:pStyle w:val="7"/>
              <w:spacing w:before="89" w:line="360" w:lineRule="auto"/>
              <w:ind w:left="110" w:right="106" w:firstLine="1"/>
              <w:rPr>
                <w:sz w:val="18"/>
                <w:szCs w:val="18"/>
              </w:rPr>
            </w:pPr>
            <w:r>
              <w:rPr>
                <w:spacing w:val="-4"/>
                <w:sz w:val="18"/>
                <w:szCs w:val="18"/>
              </w:rPr>
              <w:t>2、检查消防管网、阀门、室内外消火栓、水泵接</w:t>
            </w:r>
            <w:r>
              <w:rPr>
                <w:spacing w:val="-1"/>
                <w:sz w:val="18"/>
                <w:szCs w:val="18"/>
              </w:rPr>
              <w:t>合器、储水设施等是否正常完好。</w:t>
            </w:r>
          </w:p>
        </w:tc>
        <w:tc>
          <w:tcPr>
            <w:tcW w:w="778" w:type="dxa"/>
            <w:vAlign w:val="top"/>
          </w:tcPr>
          <w:p w14:paraId="219F9796">
            <w:pPr>
              <w:pStyle w:val="7"/>
              <w:spacing w:before="213" w:line="360" w:lineRule="auto"/>
              <w:ind w:left="206"/>
              <w:rPr>
                <w:sz w:val="18"/>
                <w:szCs w:val="18"/>
              </w:rPr>
            </w:pPr>
            <w:r>
              <w:rPr>
                <w:sz w:val="18"/>
                <w:szCs w:val="18"/>
              </w:rPr>
              <w:t>3</w:t>
            </w:r>
          </w:p>
        </w:tc>
        <w:tc>
          <w:tcPr>
            <w:tcW w:w="2796" w:type="dxa"/>
            <w:vAlign w:val="top"/>
          </w:tcPr>
          <w:p w14:paraId="4B149530">
            <w:pPr>
              <w:spacing w:line="360" w:lineRule="auto"/>
              <w:rPr>
                <w:rFonts w:ascii="Arial"/>
                <w:sz w:val="21"/>
              </w:rPr>
            </w:pPr>
          </w:p>
        </w:tc>
        <w:tc>
          <w:tcPr>
            <w:tcW w:w="916" w:type="dxa"/>
            <w:vAlign w:val="top"/>
          </w:tcPr>
          <w:p w14:paraId="24A25778">
            <w:pPr>
              <w:spacing w:line="360" w:lineRule="auto"/>
              <w:rPr>
                <w:rFonts w:ascii="Arial"/>
                <w:sz w:val="21"/>
              </w:rPr>
            </w:pPr>
          </w:p>
        </w:tc>
      </w:tr>
      <w:tr w14:paraId="77D79E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1121" w:type="dxa"/>
            <w:vMerge w:val="continue"/>
            <w:tcBorders>
              <w:top w:val="nil"/>
              <w:bottom w:val="nil"/>
            </w:tcBorders>
            <w:vAlign w:val="top"/>
          </w:tcPr>
          <w:p w14:paraId="1D1C1184">
            <w:pPr>
              <w:spacing w:line="360" w:lineRule="auto"/>
              <w:rPr>
                <w:rFonts w:ascii="Arial"/>
                <w:sz w:val="21"/>
              </w:rPr>
            </w:pPr>
          </w:p>
        </w:tc>
        <w:tc>
          <w:tcPr>
            <w:tcW w:w="4011" w:type="dxa"/>
            <w:vAlign w:val="top"/>
          </w:tcPr>
          <w:p w14:paraId="43802967">
            <w:pPr>
              <w:pStyle w:val="7"/>
              <w:spacing w:before="90" w:line="360" w:lineRule="auto"/>
              <w:ind w:left="111" w:right="106" w:firstLine="2"/>
              <w:jc w:val="both"/>
              <w:rPr>
                <w:sz w:val="18"/>
                <w:szCs w:val="18"/>
              </w:rPr>
            </w:pPr>
            <w:r>
              <w:rPr>
                <w:spacing w:val="-4"/>
                <w:sz w:val="18"/>
                <w:szCs w:val="18"/>
              </w:rPr>
              <w:t>3、检查消火栓箱水带、水枪、紧固扎带等，检查</w:t>
            </w:r>
            <w:r>
              <w:rPr>
                <w:sz w:val="18"/>
                <w:szCs w:val="18"/>
              </w:rPr>
              <w:t>水泵接合器是否有异物遮挡和渗漏。检查阀门是否处于正常的位置，有无损伤，是否有异物遮挡</w:t>
            </w:r>
            <w:r>
              <w:rPr>
                <w:spacing w:val="-5"/>
                <w:sz w:val="18"/>
                <w:szCs w:val="18"/>
              </w:rPr>
              <w:t>等。</w:t>
            </w:r>
          </w:p>
        </w:tc>
        <w:tc>
          <w:tcPr>
            <w:tcW w:w="778" w:type="dxa"/>
            <w:vAlign w:val="top"/>
          </w:tcPr>
          <w:p w14:paraId="41633AE8">
            <w:pPr>
              <w:spacing w:line="360" w:lineRule="auto"/>
              <w:rPr>
                <w:rFonts w:ascii="Arial"/>
                <w:sz w:val="21"/>
              </w:rPr>
            </w:pPr>
          </w:p>
          <w:p w14:paraId="14BC6CC1">
            <w:pPr>
              <w:pStyle w:val="7"/>
              <w:spacing w:before="59" w:line="360" w:lineRule="auto"/>
              <w:ind w:left="206"/>
              <w:rPr>
                <w:sz w:val="18"/>
                <w:szCs w:val="18"/>
              </w:rPr>
            </w:pPr>
            <w:r>
              <w:rPr>
                <w:sz w:val="18"/>
                <w:szCs w:val="18"/>
              </w:rPr>
              <w:t>5</w:t>
            </w:r>
          </w:p>
        </w:tc>
        <w:tc>
          <w:tcPr>
            <w:tcW w:w="2796" w:type="dxa"/>
            <w:vAlign w:val="top"/>
          </w:tcPr>
          <w:p w14:paraId="1BEADD1F">
            <w:pPr>
              <w:spacing w:line="360" w:lineRule="auto"/>
              <w:rPr>
                <w:rFonts w:ascii="Arial"/>
                <w:sz w:val="21"/>
              </w:rPr>
            </w:pPr>
          </w:p>
        </w:tc>
        <w:tc>
          <w:tcPr>
            <w:tcW w:w="916" w:type="dxa"/>
            <w:vAlign w:val="top"/>
          </w:tcPr>
          <w:p w14:paraId="05AEF318">
            <w:pPr>
              <w:spacing w:line="360" w:lineRule="auto"/>
              <w:rPr>
                <w:rFonts w:ascii="Arial"/>
                <w:sz w:val="21"/>
              </w:rPr>
            </w:pPr>
          </w:p>
        </w:tc>
      </w:tr>
      <w:tr w14:paraId="4CE33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121" w:type="dxa"/>
            <w:vMerge w:val="continue"/>
            <w:tcBorders>
              <w:top w:val="nil"/>
              <w:bottom w:val="nil"/>
            </w:tcBorders>
            <w:vAlign w:val="top"/>
          </w:tcPr>
          <w:p w14:paraId="61C91729">
            <w:pPr>
              <w:spacing w:line="360" w:lineRule="auto"/>
              <w:rPr>
                <w:rFonts w:ascii="Arial"/>
                <w:sz w:val="21"/>
              </w:rPr>
            </w:pPr>
          </w:p>
        </w:tc>
        <w:tc>
          <w:tcPr>
            <w:tcW w:w="4011" w:type="dxa"/>
            <w:vAlign w:val="top"/>
          </w:tcPr>
          <w:p w14:paraId="6C397C62">
            <w:pPr>
              <w:pStyle w:val="7"/>
              <w:spacing w:before="89" w:line="360" w:lineRule="auto"/>
              <w:ind w:left="109"/>
              <w:rPr>
                <w:sz w:val="18"/>
                <w:szCs w:val="18"/>
              </w:rPr>
            </w:pPr>
            <w:r>
              <w:rPr>
                <w:spacing w:val="-1"/>
                <w:sz w:val="18"/>
                <w:szCs w:val="18"/>
              </w:rPr>
              <w:t>4、检查管网最不利点压力及消防储水量。</w:t>
            </w:r>
          </w:p>
        </w:tc>
        <w:tc>
          <w:tcPr>
            <w:tcW w:w="778" w:type="dxa"/>
            <w:vAlign w:val="top"/>
          </w:tcPr>
          <w:p w14:paraId="2AFF1F52">
            <w:pPr>
              <w:pStyle w:val="7"/>
              <w:spacing w:before="64" w:line="360" w:lineRule="auto"/>
              <w:ind w:left="202"/>
              <w:rPr>
                <w:sz w:val="18"/>
                <w:szCs w:val="18"/>
              </w:rPr>
            </w:pPr>
            <w:r>
              <w:rPr>
                <w:sz w:val="18"/>
                <w:szCs w:val="18"/>
              </w:rPr>
              <w:t>4</w:t>
            </w:r>
          </w:p>
        </w:tc>
        <w:tc>
          <w:tcPr>
            <w:tcW w:w="2796" w:type="dxa"/>
            <w:vAlign w:val="top"/>
          </w:tcPr>
          <w:p w14:paraId="3F8A19D3">
            <w:pPr>
              <w:spacing w:line="360" w:lineRule="auto"/>
              <w:rPr>
                <w:rFonts w:ascii="Arial"/>
                <w:sz w:val="21"/>
              </w:rPr>
            </w:pPr>
          </w:p>
        </w:tc>
        <w:tc>
          <w:tcPr>
            <w:tcW w:w="916" w:type="dxa"/>
            <w:vAlign w:val="top"/>
          </w:tcPr>
          <w:p w14:paraId="32A45D08">
            <w:pPr>
              <w:spacing w:line="360" w:lineRule="auto"/>
              <w:rPr>
                <w:rFonts w:ascii="Arial"/>
                <w:sz w:val="21"/>
              </w:rPr>
            </w:pPr>
          </w:p>
        </w:tc>
      </w:tr>
      <w:tr w14:paraId="0E128E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21" w:type="dxa"/>
            <w:vMerge w:val="continue"/>
            <w:tcBorders>
              <w:top w:val="nil"/>
            </w:tcBorders>
            <w:vAlign w:val="top"/>
          </w:tcPr>
          <w:p w14:paraId="5971B21F">
            <w:pPr>
              <w:spacing w:line="360" w:lineRule="auto"/>
              <w:rPr>
                <w:rFonts w:ascii="Arial"/>
                <w:sz w:val="21"/>
              </w:rPr>
            </w:pPr>
          </w:p>
        </w:tc>
        <w:tc>
          <w:tcPr>
            <w:tcW w:w="4011" w:type="dxa"/>
            <w:vAlign w:val="top"/>
          </w:tcPr>
          <w:p w14:paraId="62E98CD5">
            <w:pPr>
              <w:pStyle w:val="7"/>
              <w:spacing w:before="91" w:line="360" w:lineRule="auto"/>
              <w:ind w:left="110" w:right="106" w:firstLine="2"/>
              <w:rPr>
                <w:sz w:val="18"/>
                <w:szCs w:val="18"/>
              </w:rPr>
            </w:pPr>
            <w:r>
              <w:rPr>
                <w:spacing w:val="-4"/>
                <w:sz w:val="18"/>
                <w:szCs w:val="18"/>
              </w:rPr>
              <w:t>5、试验消火栓按钮报警功能，检查自动启泵功能</w:t>
            </w:r>
            <w:r>
              <w:rPr>
                <w:spacing w:val="-1"/>
                <w:sz w:val="18"/>
                <w:szCs w:val="18"/>
              </w:rPr>
              <w:t>和信号显示是否正常。</w:t>
            </w:r>
          </w:p>
        </w:tc>
        <w:tc>
          <w:tcPr>
            <w:tcW w:w="778" w:type="dxa"/>
            <w:vAlign w:val="top"/>
          </w:tcPr>
          <w:p w14:paraId="60B1EE01">
            <w:pPr>
              <w:pStyle w:val="7"/>
              <w:spacing w:before="213" w:line="360" w:lineRule="auto"/>
              <w:ind w:left="202"/>
              <w:rPr>
                <w:sz w:val="18"/>
                <w:szCs w:val="18"/>
              </w:rPr>
            </w:pPr>
            <w:r>
              <w:rPr>
                <w:sz w:val="18"/>
                <w:szCs w:val="18"/>
              </w:rPr>
              <w:t>4</w:t>
            </w:r>
          </w:p>
        </w:tc>
        <w:tc>
          <w:tcPr>
            <w:tcW w:w="2796" w:type="dxa"/>
            <w:vAlign w:val="top"/>
          </w:tcPr>
          <w:p w14:paraId="64F53AA7">
            <w:pPr>
              <w:spacing w:line="360" w:lineRule="auto"/>
              <w:rPr>
                <w:rFonts w:ascii="Arial"/>
                <w:sz w:val="21"/>
              </w:rPr>
            </w:pPr>
          </w:p>
        </w:tc>
        <w:tc>
          <w:tcPr>
            <w:tcW w:w="916" w:type="dxa"/>
            <w:vAlign w:val="top"/>
          </w:tcPr>
          <w:p w14:paraId="242A9A17">
            <w:pPr>
              <w:spacing w:line="360" w:lineRule="auto"/>
              <w:rPr>
                <w:rFonts w:ascii="Arial"/>
                <w:sz w:val="21"/>
              </w:rPr>
            </w:pPr>
          </w:p>
        </w:tc>
      </w:tr>
      <w:tr w14:paraId="3693D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1121" w:type="dxa"/>
            <w:vMerge w:val="restart"/>
            <w:tcBorders>
              <w:bottom w:val="nil"/>
            </w:tcBorders>
            <w:vAlign w:val="top"/>
          </w:tcPr>
          <w:p w14:paraId="357152E5">
            <w:pPr>
              <w:spacing w:line="360" w:lineRule="auto"/>
              <w:rPr>
                <w:rFonts w:ascii="Arial"/>
                <w:sz w:val="21"/>
              </w:rPr>
            </w:pPr>
          </w:p>
          <w:p w14:paraId="2AF6C9B6">
            <w:pPr>
              <w:spacing w:line="360" w:lineRule="auto"/>
              <w:rPr>
                <w:rFonts w:ascii="Arial"/>
                <w:sz w:val="21"/>
              </w:rPr>
            </w:pPr>
          </w:p>
          <w:p w14:paraId="2E183BD2">
            <w:pPr>
              <w:spacing w:line="360" w:lineRule="auto"/>
              <w:rPr>
                <w:rFonts w:ascii="Arial"/>
                <w:sz w:val="21"/>
              </w:rPr>
            </w:pPr>
          </w:p>
          <w:p w14:paraId="68C4B9D5">
            <w:pPr>
              <w:pStyle w:val="7"/>
              <w:spacing w:before="59" w:line="360" w:lineRule="auto"/>
              <w:ind w:left="394"/>
              <w:rPr>
                <w:sz w:val="18"/>
                <w:szCs w:val="18"/>
              </w:rPr>
            </w:pPr>
            <w:r>
              <w:rPr>
                <w:spacing w:val="-10"/>
                <w:sz w:val="18"/>
                <w:szCs w:val="18"/>
              </w:rPr>
              <w:t>防烟</w:t>
            </w:r>
          </w:p>
          <w:p w14:paraId="6F389357">
            <w:pPr>
              <w:pStyle w:val="7"/>
              <w:spacing w:before="183" w:line="360" w:lineRule="auto"/>
              <w:ind w:left="386" w:right="379" w:hanging="3"/>
              <w:rPr>
                <w:sz w:val="18"/>
                <w:szCs w:val="18"/>
              </w:rPr>
            </w:pPr>
            <w:r>
              <w:rPr>
                <w:spacing w:val="-4"/>
                <w:sz w:val="18"/>
                <w:szCs w:val="18"/>
              </w:rPr>
              <w:t>排烟</w:t>
            </w:r>
            <w:r>
              <w:rPr>
                <w:spacing w:val="-6"/>
                <w:sz w:val="18"/>
                <w:szCs w:val="18"/>
              </w:rPr>
              <w:t>系统</w:t>
            </w:r>
          </w:p>
        </w:tc>
        <w:tc>
          <w:tcPr>
            <w:tcW w:w="4011" w:type="dxa"/>
            <w:vAlign w:val="top"/>
          </w:tcPr>
          <w:p w14:paraId="66E06D32">
            <w:pPr>
              <w:pStyle w:val="7"/>
              <w:spacing w:before="89" w:line="360" w:lineRule="auto"/>
              <w:ind w:left="110" w:right="106" w:firstLine="12"/>
              <w:jc w:val="both"/>
              <w:rPr>
                <w:sz w:val="18"/>
                <w:szCs w:val="18"/>
              </w:rPr>
            </w:pPr>
            <w:r>
              <w:rPr>
                <w:spacing w:val="-5"/>
                <w:sz w:val="18"/>
                <w:szCs w:val="18"/>
              </w:rPr>
              <w:t>1、检查加压送风机手动、自动，启、停，送风口</w:t>
            </w:r>
            <w:r>
              <w:rPr>
                <w:sz w:val="18"/>
                <w:szCs w:val="18"/>
              </w:rPr>
              <w:t>开启、复位功能是否正常，向控制室消防控制设</w:t>
            </w:r>
            <w:r>
              <w:rPr>
                <w:spacing w:val="-1"/>
                <w:sz w:val="18"/>
                <w:szCs w:val="18"/>
              </w:rPr>
              <w:t>备反馈其动作信号是否正常。</w:t>
            </w:r>
          </w:p>
        </w:tc>
        <w:tc>
          <w:tcPr>
            <w:tcW w:w="778" w:type="dxa"/>
            <w:vAlign w:val="top"/>
          </w:tcPr>
          <w:p w14:paraId="702768D3">
            <w:pPr>
              <w:spacing w:line="360" w:lineRule="auto"/>
              <w:rPr>
                <w:rFonts w:ascii="Arial"/>
                <w:sz w:val="21"/>
              </w:rPr>
            </w:pPr>
          </w:p>
          <w:p w14:paraId="59524105">
            <w:pPr>
              <w:pStyle w:val="7"/>
              <w:spacing w:before="59" w:line="360" w:lineRule="auto"/>
              <w:ind w:left="206"/>
              <w:rPr>
                <w:sz w:val="18"/>
                <w:szCs w:val="18"/>
              </w:rPr>
            </w:pPr>
            <w:r>
              <w:rPr>
                <w:sz w:val="18"/>
                <w:szCs w:val="18"/>
              </w:rPr>
              <w:t>5</w:t>
            </w:r>
          </w:p>
        </w:tc>
        <w:tc>
          <w:tcPr>
            <w:tcW w:w="2796" w:type="dxa"/>
            <w:vAlign w:val="top"/>
          </w:tcPr>
          <w:p w14:paraId="19398BF1">
            <w:pPr>
              <w:spacing w:line="360" w:lineRule="auto"/>
              <w:rPr>
                <w:rFonts w:ascii="Arial"/>
                <w:sz w:val="21"/>
              </w:rPr>
            </w:pPr>
          </w:p>
        </w:tc>
        <w:tc>
          <w:tcPr>
            <w:tcW w:w="916" w:type="dxa"/>
            <w:vAlign w:val="top"/>
          </w:tcPr>
          <w:p w14:paraId="713F21EC">
            <w:pPr>
              <w:spacing w:line="360" w:lineRule="auto"/>
              <w:rPr>
                <w:rFonts w:ascii="Arial"/>
                <w:sz w:val="21"/>
              </w:rPr>
            </w:pPr>
          </w:p>
        </w:tc>
      </w:tr>
      <w:tr w14:paraId="5A20DD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1121" w:type="dxa"/>
            <w:vMerge w:val="continue"/>
            <w:tcBorders>
              <w:top w:val="nil"/>
              <w:bottom w:val="nil"/>
            </w:tcBorders>
            <w:vAlign w:val="top"/>
          </w:tcPr>
          <w:p w14:paraId="0A28438F">
            <w:pPr>
              <w:spacing w:line="360" w:lineRule="auto"/>
              <w:rPr>
                <w:rFonts w:ascii="Arial"/>
                <w:sz w:val="21"/>
              </w:rPr>
            </w:pPr>
          </w:p>
        </w:tc>
        <w:tc>
          <w:tcPr>
            <w:tcW w:w="4011" w:type="dxa"/>
            <w:vAlign w:val="top"/>
          </w:tcPr>
          <w:p w14:paraId="67850E0F">
            <w:pPr>
              <w:pStyle w:val="7"/>
              <w:spacing w:before="90" w:line="360" w:lineRule="auto"/>
              <w:ind w:left="109" w:right="106" w:firstLine="2"/>
              <w:jc w:val="both"/>
              <w:rPr>
                <w:sz w:val="18"/>
                <w:szCs w:val="18"/>
              </w:rPr>
            </w:pPr>
            <w:r>
              <w:rPr>
                <w:spacing w:val="-4"/>
                <w:sz w:val="18"/>
                <w:szCs w:val="18"/>
              </w:rPr>
              <w:t>2、检查排烟风机手动、自动，启、停，排烟口开</w:t>
            </w:r>
            <w:r>
              <w:rPr>
                <w:sz w:val="18"/>
                <w:szCs w:val="18"/>
              </w:rPr>
              <w:t>启、复位功能是否正常向控制室消防控制设备反</w:t>
            </w:r>
            <w:r>
              <w:rPr>
                <w:spacing w:val="-1"/>
                <w:sz w:val="18"/>
                <w:szCs w:val="18"/>
              </w:rPr>
              <w:t>馈其动作信号是否正常。</w:t>
            </w:r>
          </w:p>
        </w:tc>
        <w:tc>
          <w:tcPr>
            <w:tcW w:w="778" w:type="dxa"/>
            <w:vAlign w:val="top"/>
          </w:tcPr>
          <w:p w14:paraId="0C72551F">
            <w:pPr>
              <w:spacing w:line="360" w:lineRule="auto"/>
              <w:rPr>
                <w:rFonts w:ascii="Arial"/>
                <w:sz w:val="21"/>
              </w:rPr>
            </w:pPr>
          </w:p>
          <w:p w14:paraId="75C4572B">
            <w:pPr>
              <w:pStyle w:val="7"/>
              <w:spacing w:before="58" w:line="360" w:lineRule="auto"/>
              <w:ind w:left="206"/>
              <w:rPr>
                <w:sz w:val="18"/>
                <w:szCs w:val="18"/>
              </w:rPr>
            </w:pPr>
            <w:r>
              <w:rPr>
                <w:sz w:val="18"/>
                <w:szCs w:val="18"/>
              </w:rPr>
              <w:t>5</w:t>
            </w:r>
          </w:p>
        </w:tc>
        <w:tc>
          <w:tcPr>
            <w:tcW w:w="2796" w:type="dxa"/>
            <w:vAlign w:val="top"/>
          </w:tcPr>
          <w:p w14:paraId="4667891F">
            <w:pPr>
              <w:spacing w:line="360" w:lineRule="auto"/>
              <w:rPr>
                <w:rFonts w:ascii="Arial"/>
                <w:sz w:val="21"/>
              </w:rPr>
            </w:pPr>
          </w:p>
        </w:tc>
        <w:tc>
          <w:tcPr>
            <w:tcW w:w="916" w:type="dxa"/>
            <w:vAlign w:val="top"/>
          </w:tcPr>
          <w:p w14:paraId="5A1BE042">
            <w:pPr>
              <w:spacing w:line="360" w:lineRule="auto"/>
              <w:rPr>
                <w:rFonts w:ascii="Arial"/>
                <w:sz w:val="21"/>
              </w:rPr>
            </w:pPr>
          </w:p>
        </w:tc>
      </w:tr>
      <w:tr w14:paraId="7E975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1121" w:type="dxa"/>
            <w:vMerge w:val="continue"/>
            <w:tcBorders>
              <w:top w:val="nil"/>
            </w:tcBorders>
            <w:vAlign w:val="top"/>
          </w:tcPr>
          <w:p w14:paraId="552271ED">
            <w:pPr>
              <w:spacing w:line="360" w:lineRule="auto"/>
              <w:rPr>
                <w:rFonts w:ascii="Arial"/>
                <w:sz w:val="21"/>
              </w:rPr>
            </w:pPr>
          </w:p>
        </w:tc>
        <w:tc>
          <w:tcPr>
            <w:tcW w:w="4011" w:type="dxa"/>
            <w:vAlign w:val="top"/>
          </w:tcPr>
          <w:p w14:paraId="5255A141">
            <w:pPr>
              <w:pStyle w:val="7"/>
              <w:spacing w:before="91" w:line="360" w:lineRule="auto"/>
              <w:ind w:left="109" w:right="106" w:firstLine="4"/>
              <w:jc w:val="both"/>
              <w:rPr>
                <w:sz w:val="18"/>
                <w:szCs w:val="18"/>
              </w:rPr>
            </w:pPr>
            <w:r>
              <w:rPr>
                <w:spacing w:val="-4"/>
                <w:sz w:val="18"/>
                <w:szCs w:val="18"/>
              </w:rPr>
              <w:t>3、检查排烟阀排烟防火阀，是否自动停止排烟风</w:t>
            </w:r>
            <w:r>
              <w:rPr>
                <w:sz w:val="18"/>
                <w:szCs w:val="18"/>
              </w:rPr>
              <w:t>机功能，控制室远程关闭电动防火阀，向控制室</w:t>
            </w:r>
            <w:r>
              <w:rPr>
                <w:spacing w:val="-1"/>
                <w:sz w:val="18"/>
                <w:szCs w:val="18"/>
              </w:rPr>
              <w:t>消防控制设备反馈其动作信号是否正常。</w:t>
            </w:r>
          </w:p>
        </w:tc>
        <w:tc>
          <w:tcPr>
            <w:tcW w:w="778" w:type="dxa"/>
            <w:vAlign w:val="top"/>
          </w:tcPr>
          <w:p w14:paraId="364E3270">
            <w:pPr>
              <w:spacing w:line="360" w:lineRule="auto"/>
              <w:rPr>
                <w:rFonts w:ascii="Arial"/>
                <w:sz w:val="21"/>
              </w:rPr>
            </w:pPr>
          </w:p>
          <w:p w14:paraId="37C07BB2">
            <w:pPr>
              <w:pStyle w:val="7"/>
              <w:spacing w:before="59" w:line="360" w:lineRule="auto"/>
              <w:ind w:left="206"/>
              <w:rPr>
                <w:sz w:val="18"/>
                <w:szCs w:val="18"/>
              </w:rPr>
            </w:pPr>
            <w:r>
              <w:rPr>
                <w:sz w:val="18"/>
                <w:szCs w:val="18"/>
              </w:rPr>
              <w:t>5</w:t>
            </w:r>
          </w:p>
        </w:tc>
        <w:tc>
          <w:tcPr>
            <w:tcW w:w="2796" w:type="dxa"/>
            <w:vAlign w:val="top"/>
          </w:tcPr>
          <w:p w14:paraId="5B45B8DB">
            <w:pPr>
              <w:spacing w:line="360" w:lineRule="auto"/>
              <w:rPr>
                <w:rFonts w:ascii="Arial"/>
                <w:sz w:val="21"/>
              </w:rPr>
            </w:pPr>
          </w:p>
        </w:tc>
        <w:tc>
          <w:tcPr>
            <w:tcW w:w="916" w:type="dxa"/>
            <w:vAlign w:val="top"/>
          </w:tcPr>
          <w:p w14:paraId="16EA5EEE">
            <w:pPr>
              <w:spacing w:line="360" w:lineRule="auto"/>
              <w:rPr>
                <w:rFonts w:ascii="Arial"/>
                <w:sz w:val="21"/>
              </w:rPr>
            </w:pPr>
          </w:p>
        </w:tc>
      </w:tr>
      <w:tr w14:paraId="1C6C2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121" w:type="dxa"/>
            <w:vMerge w:val="restart"/>
            <w:tcBorders>
              <w:bottom w:val="nil"/>
            </w:tcBorders>
            <w:vAlign w:val="top"/>
          </w:tcPr>
          <w:p w14:paraId="6652CF67">
            <w:pPr>
              <w:spacing w:line="360" w:lineRule="auto"/>
              <w:rPr>
                <w:rFonts w:ascii="Arial"/>
                <w:sz w:val="21"/>
              </w:rPr>
            </w:pPr>
          </w:p>
          <w:p w14:paraId="2F80835A">
            <w:pPr>
              <w:spacing w:line="360" w:lineRule="auto"/>
              <w:rPr>
                <w:rFonts w:ascii="Arial"/>
                <w:sz w:val="21"/>
              </w:rPr>
            </w:pPr>
          </w:p>
          <w:p w14:paraId="22B7AE40">
            <w:pPr>
              <w:spacing w:line="360" w:lineRule="auto"/>
              <w:rPr>
                <w:rFonts w:ascii="Arial"/>
                <w:sz w:val="21"/>
              </w:rPr>
            </w:pPr>
          </w:p>
          <w:p w14:paraId="5321F1FB">
            <w:pPr>
              <w:spacing w:line="360" w:lineRule="auto"/>
              <w:rPr>
                <w:rFonts w:ascii="Arial"/>
                <w:sz w:val="21"/>
              </w:rPr>
            </w:pPr>
          </w:p>
          <w:p w14:paraId="219EEC46">
            <w:pPr>
              <w:spacing w:line="360" w:lineRule="auto"/>
              <w:rPr>
                <w:rFonts w:ascii="Arial"/>
                <w:sz w:val="21"/>
              </w:rPr>
            </w:pPr>
          </w:p>
          <w:p w14:paraId="38A95CA8">
            <w:pPr>
              <w:spacing w:line="360" w:lineRule="auto"/>
              <w:rPr>
                <w:rFonts w:ascii="Arial"/>
                <w:sz w:val="21"/>
              </w:rPr>
            </w:pPr>
          </w:p>
          <w:p w14:paraId="1712D213">
            <w:pPr>
              <w:spacing w:line="360" w:lineRule="auto"/>
              <w:rPr>
                <w:rFonts w:ascii="Arial"/>
                <w:sz w:val="21"/>
              </w:rPr>
            </w:pPr>
          </w:p>
          <w:p w14:paraId="1BEB6A5E">
            <w:pPr>
              <w:pStyle w:val="7"/>
              <w:spacing w:before="58" w:line="360" w:lineRule="auto"/>
              <w:ind w:left="126"/>
              <w:rPr>
                <w:sz w:val="18"/>
                <w:szCs w:val="18"/>
              </w:rPr>
            </w:pPr>
            <w:r>
              <w:rPr>
                <w:spacing w:val="-4"/>
                <w:sz w:val="18"/>
                <w:szCs w:val="18"/>
              </w:rPr>
              <w:t>防火分隔及</w:t>
            </w:r>
          </w:p>
          <w:p w14:paraId="595B6657">
            <w:pPr>
              <w:pStyle w:val="7"/>
              <w:spacing w:before="19" w:line="360" w:lineRule="auto"/>
              <w:ind w:left="118"/>
              <w:rPr>
                <w:sz w:val="18"/>
                <w:szCs w:val="18"/>
              </w:rPr>
            </w:pPr>
            <w:r>
              <w:rPr>
                <w:spacing w:val="-3"/>
                <w:sz w:val="18"/>
                <w:szCs w:val="18"/>
              </w:rPr>
              <w:t>安全疏散照</w:t>
            </w:r>
          </w:p>
          <w:p w14:paraId="1DCB848A">
            <w:pPr>
              <w:pStyle w:val="7"/>
              <w:spacing w:before="19" w:line="360" w:lineRule="auto"/>
              <w:ind w:left="311"/>
              <w:rPr>
                <w:sz w:val="18"/>
                <w:szCs w:val="18"/>
              </w:rPr>
            </w:pPr>
            <w:r>
              <w:rPr>
                <w:spacing w:val="-8"/>
                <w:sz w:val="18"/>
                <w:szCs w:val="18"/>
              </w:rPr>
              <w:t>明系统</w:t>
            </w:r>
          </w:p>
        </w:tc>
        <w:tc>
          <w:tcPr>
            <w:tcW w:w="4011" w:type="dxa"/>
            <w:vAlign w:val="top"/>
          </w:tcPr>
          <w:p w14:paraId="6164446D">
            <w:pPr>
              <w:pStyle w:val="7"/>
              <w:spacing w:before="90" w:line="360" w:lineRule="auto"/>
              <w:ind w:left="115" w:right="106" w:firstLine="7"/>
              <w:rPr>
                <w:sz w:val="18"/>
                <w:szCs w:val="18"/>
              </w:rPr>
            </w:pPr>
            <w:r>
              <w:rPr>
                <w:spacing w:val="-5"/>
                <w:sz w:val="18"/>
                <w:szCs w:val="18"/>
              </w:rPr>
              <w:t>1、检查防火门、防火卷帘门周围有无障碍物、能</w:t>
            </w:r>
            <w:r>
              <w:rPr>
                <w:spacing w:val="-3"/>
                <w:sz w:val="18"/>
                <w:szCs w:val="18"/>
              </w:rPr>
              <w:t>否正常启闭。</w:t>
            </w:r>
          </w:p>
        </w:tc>
        <w:tc>
          <w:tcPr>
            <w:tcW w:w="778" w:type="dxa"/>
            <w:vAlign w:val="top"/>
          </w:tcPr>
          <w:p w14:paraId="5F35D254">
            <w:pPr>
              <w:pStyle w:val="7"/>
              <w:spacing w:before="214" w:line="360" w:lineRule="auto"/>
              <w:ind w:left="206"/>
              <w:rPr>
                <w:sz w:val="18"/>
                <w:szCs w:val="18"/>
              </w:rPr>
            </w:pPr>
            <w:r>
              <w:rPr>
                <w:sz w:val="18"/>
                <w:szCs w:val="18"/>
              </w:rPr>
              <w:t>5</w:t>
            </w:r>
          </w:p>
        </w:tc>
        <w:tc>
          <w:tcPr>
            <w:tcW w:w="2796" w:type="dxa"/>
            <w:vAlign w:val="top"/>
          </w:tcPr>
          <w:p w14:paraId="69A10001">
            <w:pPr>
              <w:spacing w:line="360" w:lineRule="auto"/>
              <w:rPr>
                <w:rFonts w:ascii="Arial"/>
                <w:sz w:val="21"/>
              </w:rPr>
            </w:pPr>
          </w:p>
        </w:tc>
        <w:tc>
          <w:tcPr>
            <w:tcW w:w="916" w:type="dxa"/>
            <w:vAlign w:val="top"/>
          </w:tcPr>
          <w:p w14:paraId="21BD4F83">
            <w:pPr>
              <w:spacing w:line="360" w:lineRule="auto"/>
              <w:rPr>
                <w:rFonts w:ascii="Arial"/>
                <w:sz w:val="21"/>
              </w:rPr>
            </w:pPr>
          </w:p>
        </w:tc>
      </w:tr>
      <w:tr w14:paraId="7A410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1121" w:type="dxa"/>
            <w:vMerge w:val="continue"/>
            <w:tcBorders>
              <w:top w:val="nil"/>
              <w:bottom w:val="nil"/>
            </w:tcBorders>
            <w:vAlign w:val="top"/>
          </w:tcPr>
          <w:p w14:paraId="7CAE184D">
            <w:pPr>
              <w:spacing w:line="360" w:lineRule="auto"/>
              <w:rPr>
                <w:rFonts w:ascii="Arial"/>
                <w:sz w:val="21"/>
              </w:rPr>
            </w:pPr>
          </w:p>
        </w:tc>
        <w:tc>
          <w:tcPr>
            <w:tcW w:w="4011" w:type="dxa"/>
            <w:vAlign w:val="top"/>
          </w:tcPr>
          <w:p w14:paraId="5F0065A5">
            <w:pPr>
              <w:pStyle w:val="7"/>
              <w:spacing w:before="89" w:line="360" w:lineRule="auto"/>
              <w:ind w:left="110" w:right="106" w:firstLine="1"/>
              <w:jc w:val="both"/>
              <w:rPr>
                <w:sz w:val="18"/>
                <w:szCs w:val="18"/>
              </w:rPr>
            </w:pPr>
            <w:r>
              <w:rPr>
                <w:sz w:val="18"/>
                <w:szCs w:val="18"/>
              </w:rPr>
              <w:t>2、手动控制功能:查看防火卷帘控制器手动操作卷帘下降、停止、上升等功能是否正常，消防控</w:t>
            </w:r>
            <w:r>
              <w:rPr>
                <w:spacing w:val="-1"/>
                <w:sz w:val="18"/>
                <w:szCs w:val="18"/>
              </w:rPr>
              <w:t>制设备上防火卷帘信号显示是否正常。</w:t>
            </w:r>
          </w:p>
        </w:tc>
        <w:tc>
          <w:tcPr>
            <w:tcW w:w="778" w:type="dxa"/>
            <w:vAlign w:val="top"/>
          </w:tcPr>
          <w:p w14:paraId="5B7EB370">
            <w:pPr>
              <w:spacing w:line="360" w:lineRule="auto"/>
              <w:rPr>
                <w:rFonts w:ascii="Arial"/>
                <w:sz w:val="21"/>
              </w:rPr>
            </w:pPr>
          </w:p>
          <w:p w14:paraId="50E123BA">
            <w:pPr>
              <w:pStyle w:val="7"/>
              <w:spacing w:before="59" w:line="360" w:lineRule="auto"/>
              <w:ind w:left="206"/>
              <w:rPr>
                <w:sz w:val="18"/>
                <w:szCs w:val="18"/>
              </w:rPr>
            </w:pPr>
            <w:r>
              <w:rPr>
                <w:sz w:val="18"/>
                <w:szCs w:val="18"/>
              </w:rPr>
              <w:t>5</w:t>
            </w:r>
          </w:p>
        </w:tc>
        <w:tc>
          <w:tcPr>
            <w:tcW w:w="2796" w:type="dxa"/>
            <w:vAlign w:val="top"/>
          </w:tcPr>
          <w:p w14:paraId="79A3B4DD">
            <w:pPr>
              <w:spacing w:line="360" w:lineRule="auto"/>
              <w:rPr>
                <w:rFonts w:ascii="Arial"/>
                <w:sz w:val="21"/>
              </w:rPr>
            </w:pPr>
          </w:p>
        </w:tc>
        <w:tc>
          <w:tcPr>
            <w:tcW w:w="916" w:type="dxa"/>
            <w:vAlign w:val="top"/>
          </w:tcPr>
          <w:p w14:paraId="50E8DE54">
            <w:pPr>
              <w:spacing w:line="360" w:lineRule="auto"/>
              <w:rPr>
                <w:rFonts w:ascii="Arial"/>
                <w:sz w:val="21"/>
              </w:rPr>
            </w:pPr>
          </w:p>
        </w:tc>
      </w:tr>
      <w:tr w14:paraId="3EB8F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1121" w:type="dxa"/>
            <w:vMerge w:val="continue"/>
            <w:tcBorders>
              <w:top w:val="nil"/>
              <w:bottom w:val="nil"/>
            </w:tcBorders>
            <w:vAlign w:val="top"/>
          </w:tcPr>
          <w:p w14:paraId="2AB8E1DF">
            <w:pPr>
              <w:spacing w:line="360" w:lineRule="auto"/>
              <w:rPr>
                <w:rFonts w:ascii="Arial"/>
                <w:sz w:val="21"/>
              </w:rPr>
            </w:pPr>
          </w:p>
        </w:tc>
        <w:tc>
          <w:tcPr>
            <w:tcW w:w="4011" w:type="dxa"/>
            <w:vAlign w:val="top"/>
          </w:tcPr>
          <w:p w14:paraId="4BB54B79">
            <w:pPr>
              <w:pStyle w:val="7"/>
              <w:spacing w:before="90" w:line="360" w:lineRule="auto"/>
              <w:ind w:left="113" w:right="106"/>
              <w:jc w:val="both"/>
              <w:rPr>
                <w:sz w:val="18"/>
                <w:szCs w:val="18"/>
              </w:rPr>
            </w:pPr>
            <w:r>
              <w:rPr>
                <w:spacing w:val="-2"/>
                <w:sz w:val="18"/>
                <w:szCs w:val="18"/>
              </w:rPr>
              <w:t>3、远程启动</w:t>
            </w:r>
            <w:r>
              <w:rPr>
                <w:spacing w:val="-41"/>
                <w:sz w:val="18"/>
                <w:szCs w:val="18"/>
              </w:rPr>
              <w:t xml:space="preserve"> </w:t>
            </w:r>
            <w:r>
              <w:rPr>
                <w:spacing w:val="-2"/>
                <w:sz w:val="18"/>
                <w:szCs w:val="18"/>
              </w:rPr>
              <w:t>:在消防控制设备上手动启动防火卷</w:t>
            </w:r>
            <w:r>
              <w:rPr>
                <w:sz w:val="18"/>
                <w:szCs w:val="18"/>
              </w:rPr>
              <w:t>帘控制装置，防火卷帘停止、下降等动作是否正常，向控制室消防控制设备反馈其动作信号是否</w:t>
            </w:r>
            <w:r>
              <w:rPr>
                <w:spacing w:val="-4"/>
                <w:sz w:val="18"/>
                <w:szCs w:val="18"/>
              </w:rPr>
              <w:t>正常。</w:t>
            </w:r>
          </w:p>
        </w:tc>
        <w:tc>
          <w:tcPr>
            <w:tcW w:w="778" w:type="dxa"/>
            <w:vAlign w:val="top"/>
          </w:tcPr>
          <w:p w14:paraId="68D45416">
            <w:pPr>
              <w:spacing w:line="360" w:lineRule="auto"/>
              <w:rPr>
                <w:rFonts w:ascii="Arial"/>
                <w:sz w:val="21"/>
              </w:rPr>
            </w:pPr>
          </w:p>
          <w:p w14:paraId="52AA0897">
            <w:pPr>
              <w:pStyle w:val="7"/>
              <w:spacing w:before="58" w:line="360" w:lineRule="auto"/>
              <w:ind w:left="206"/>
              <w:rPr>
                <w:sz w:val="18"/>
                <w:szCs w:val="18"/>
              </w:rPr>
            </w:pPr>
            <w:r>
              <w:rPr>
                <w:sz w:val="18"/>
                <w:szCs w:val="18"/>
              </w:rPr>
              <w:t>5</w:t>
            </w:r>
          </w:p>
        </w:tc>
        <w:tc>
          <w:tcPr>
            <w:tcW w:w="2796" w:type="dxa"/>
            <w:vAlign w:val="top"/>
          </w:tcPr>
          <w:p w14:paraId="72DC9A98">
            <w:pPr>
              <w:spacing w:line="360" w:lineRule="auto"/>
              <w:rPr>
                <w:rFonts w:ascii="Arial"/>
                <w:sz w:val="21"/>
              </w:rPr>
            </w:pPr>
          </w:p>
        </w:tc>
        <w:tc>
          <w:tcPr>
            <w:tcW w:w="916" w:type="dxa"/>
            <w:vAlign w:val="top"/>
          </w:tcPr>
          <w:p w14:paraId="18CC9C92">
            <w:pPr>
              <w:spacing w:line="360" w:lineRule="auto"/>
              <w:rPr>
                <w:rFonts w:ascii="Arial"/>
                <w:sz w:val="21"/>
              </w:rPr>
            </w:pPr>
          </w:p>
        </w:tc>
      </w:tr>
      <w:tr w14:paraId="1C1A11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1121" w:type="dxa"/>
            <w:vMerge w:val="continue"/>
            <w:tcBorders>
              <w:top w:val="nil"/>
              <w:bottom w:val="nil"/>
            </w:tcBorders>
            <w:vAlign w:val="top"/>
          </w:tcPr>
          <w:p w14:paraId="55D1EF2C">
            <w:pPr>
              <w:spacing w:line="360" w:lineRule="auto"/>
              <w:rPr>
                <w:rFonts w:ascii="Arial"/>
                <w:sz w:val="21"/>
              </w:rPr>
            </w:pPr>
          </w:p>
        </w:tc>
        <w:tc>
          <w:tcPr>
            <w:tcW w:w="4011" w:type="dxa"/>
            <w:vAlign w:val="top"/>
          </w:tcPr>
          <w:p w14:paraId="7A5B773B">
            <w:pPr>
              <w:pStyle w:val="7"/>
              <w:spacing w:before="89" w:line="360" w:lineRule="auto"/>
              <w:ind w:left="112" w:right="106" w:hanging="3"/>
              <w:jc w:val="both"/>
              <w:rPr>
                <w:sz w:val="18"/>
                <w:szCs w:val="18"/>
              </w:rPr>
            </w:pPr>
            <w:r>
              <w:rPr>
                <w:spacing w:val="-3"/>
                <w:sz w:val="18"/>
                <w:szCs w:val="18"/>
              </w:rPr>
              <w:t>4、</w:t>
            </w:r>
            <w:r>
              <w:rPr>
                <w:spacing w:val="-51"/>
                <w:sz w:val="18"/>
                <w:szCs w:val="18"/>
              </w:rPr>
              <w:t xml:space="preserve"> </w:t>
            </w:r>
            <w:r>
              <w:rPr>
                <w:spacing w:val="-3"/>
                <w:sz w:val="18"/>
                <w:szCs w:val="18"/>
              </w:rPr>
              <w:t>自动启动</w:t>
            </w:r>
            <w:r>
              <w:rPr>
                <w:spacing w:val="-54"/>
                <w:sz w:val="18"/>
                <w:szCs w:val="18"/>
              </w:rPr>
              <w:t xml:space="preserve"> </w:t>
            </w:r>
            <w:r>
              <w:rPr>
                <w:spacing w:val="-3"/>
                <w:sz w:val="18"/>
                <w:szCs w:val="18"/>
              </w:rPr>
              <w:t>:是否按有关消防规范的要求动作，</w:t>
            </w:r>
            <w:r>
              <w:rPr>
                <w:spacing w:val="9"/>
                <w:sz w:val="18"/>
                <w:szCs w:val="18"/>
              </w:rPr>
              <w:t>是否能及时向消防控制设备反馈各部位动作信</w:t>
            </w:r>
            <w:r>
              <w:rPr>
                <w:spacing w:val="-5"/>
                <w:sz w:val="18"/>
                <w:szCs w:val="18"/>
              </w:rPr>
              <w:t>号。</w:t>
            </w:r>
          </w:p>
        </w:tc>
        <w:tc>
          <w:tcPr>
            <w:tcW w:w="778" w:type="dxa"/>
            <w:vAlign w:val="top"/>
          </w:tcPr>
          <w:p w14:paraId="408D0E5F">
            <w:pPr>
              <w:spacing w:line="360" w:lineRule="auto"/>
              <w:rPr>
                <w:rFonts w:ascii="Arial"/>
                <w:sz w:val="21"/>
              </w:rPr>
            </w:pPr>
          </w:p>
          <w:p w14:paraId="75722B97">
            <w:pPr>
              <w:pStyle w:val="7"/>
              <w:spacing w:before="58" w:line="360" w:lineRule="auto"/>
              <w:ind w:left="206"/>
              <w:rPr>
                <w:sz w:val="18"/>
                <w:szCs w:val="18"/>
              </w:rPr>
            </w:pPr>
            <w:r>
              <w:rPr>
                <w:sz w:val="18"/>
                <w:szCs w:val="18"/>
              </w:rPr>
              <w:t>5</w:t>
            </w:r>
          </w:p>
        </w:tc>
        <w:tc>
          <w:tcPr>
            <w:tcW w:w="2796" w:type="dxa"/>
            <w:vAlign w:val="top"/>
          </w:tcPr>
          <w:p w14:paraId="6A7D2ACA">
            <w:pPr>
              <w:spacing w:line="360" w:lineRule="auto"/>
              <w:rPr>
                <w:rFonts w:ascii="Arial"/>
                <w:sz w:val="21"/>
              </w:rPr>
            </w:pPr>
          </w:p>
        </w:tc>
        <w:tc>
          <w:tcPr>
            <w:tcW w:w="916" w:type="dxa"/>
            <w:vAlign w:val="top"/>
          </w:tcPr>
          <w:p w14:paraId="02746D2E">
            <w:pPr>
              <w:spacing w:line="360" w:lineRule="auto"/>
              <w:rPr>
                <w:rFonts w:ascii="Arial"/>
                <w:sz w:val="21"/>
              </w:rPr>
            </w:pPr>
          </w:p>
        </w:tc>
      </w:tr>
      <w:tr w14:paraId="7E736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121" w:type="dxa"/>
            <w:vMerge w:val="continue"/>
            <w:tcBorders>
              <w:top w:val="nil"/>
            </w:tcBorders>
            <w:vAlign w:val="top"/>
          </w:tcPr>
          <w:p w14:paraId="23AD8997">
            <w:pPr>
              <w:spacing w:line="360" w:lineRule="auto"/>
              <w:rPr>
                <w:rFonts w:ascii="Arial"/>
                <w:sz w:val="21"/>
              </w:rPr>
            </w:pPr>
          </w:p>
        </w:tc>
        <w:tc>
          <w:tcPr>
            <w:tcW w:w="4011" w:type="dxa"/>
            <w:vAlign w:val="top"/>
          </w:tcPr>
          <w:p w14:paraId="6BAC9EFA">
            <w:pPr>
              <w:pStyle w:val="7"/>
              <w:spacing w:before="137" w:line="360" w:lineRule="auto"/>
              <w:ind w:left="109" w:right="106" w:firstLine="4"/>
              <w:rPr>
                <w:sz w:val="18"/>
                <w:szCs w:val="18"/>
              </w:rPr>
            </w:pPr>
            <w:r>
              <w:rPr>
                <w:spacing w:val="4"/>
                <w:sz w:val="18"/>
                <w:szCs w:val="18"/>
              </w:rPr>
              <w:t>5、检查应急照明和疏散指示是否正常并进行试</w:t>
            </w:r>
            <w:r>
              <w:rPr>
                <w:spacing w:val="-4"/>
                <w:sz w:val="18"/>
                <w:szCs w:val="18"/>
              </w:rPr>
              <w:t>验。</w:t>
            </w:r>
          </w:p>
        </w:tc>
        <w:tc>
          <w:tcPr>
            <w:tcW w:w="778" w:type="dxa"/>
            <w:vAlign w:val="top"/>
          </w:tcPr>
          <w:p w14:paraId="3E948C87">
            <w:pPr>
              <w:pStyle w:val="7"/>
              <w:spacing w:before="259" w:line="360" w:lineRule="auto"/>
              <w:ind w:left="206"/>
              <w:rPr>
                <w:sz w:val="18"/>
                <w:szCs w:val="18"/>
              </w:rPr>
            </w:pPr>
            <w:r>
              <w:rPr>
                <w:sz w:val="18"/>
                <w:szCs w:val="18"/>
              </w:rPr>
              <w:t>5</w:t>
            </w:r>
          </w:p>
        </w:tc>
        <w:tc>
          <w:tcPr>
            <w:tcW w:w="2796" w:type="dxa"/>
            <w:vAlign w:val="top"/>
          </w:tcPr>
          <w:p w14:paraId="6051419A">
            <w:pPr>
              <w:spacing w:line="360" w:lineRule="auto"/>
              <w:rPr>
                <w:rFonts w:ascii="Arial"/>
                <w:sz w:val="21"/>
              </w:rPr>
            </w:pPr>
          </w:p>
        </w:tc>
        <w:tc>
          <w:tcPr>
            <w:tcW w:w="916" w:type="dxa"/>
            <w:vAlign w:val="top"/>
          </w:tcPr>
          <w:p w14:paraId="39B82413">
            <w:pPr>
              <w:spacing w:line="360" w:lineRule="auto"/>
              <w:rPr>
                <w:rFonts w:ascii="Arial"/>
                <w:sz w:val="21"/>
              </w:rPr>
            </w:pPr>
          </w:p>
        </w:tc>
      </w:tr>
      <w:tr w14:paraId="0A30F8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121" w:type="dxa"/>
            <w:vAlign w:val="top"/>
          </w:tcPr>
          <w:p w14:paraId="2196B458">
            <w:pPr>
              <w:spacing w:line="360" w:lineRule="auto"/>
              <w:rPr>
                <w:rFonts w:ascii="Arial"/>
                <w:sz w:val="21"/>
              </w:rPr>
            </w:pPr>
          </w:p>
        </w:tc>
        <w:tc>
          <w:tcPr>
            <w:tcW w:w="7585" w:type="dxa"/>
            <w:gridSpan w:val="3"/>
            <w:vAlign w:val="top"/>
          </w:tcPr>
          <w:p w14:paraId="77A73F55">
            <w:pPr>
              <w:pStyle w:val="7"/>
              <w:spacing w:before="125" w:line="360" w:lineRule="auto"/>
              <w:ind w:left="3486"/>
              <w:rPr>
                <w:sz w:val="18"/>
                <w:szCs w:val="18"/>
              </w:rPr>
            </w:pPr>
            <w:r>
              <w:rPr>
                <w:spacing w:val="-2"/>
                <w:sz w:val="18"/>
                <w:szCs w:val="18"/>
              </w:rPr>
              <w:t>考核结果</w:t>
            </w:r>
          </w:p>
        </w:tc>
        <w:tc>
          <w:tcPr>
            <w:tcW w:w="916" w:type="dxa"/>
            <w:vAlign w:val="top"/>
          </w:tcPr>
          <w:p w14:paraId="21CEB263">
            <w:pPr>
              <w:spacing w:line="360" w:lineRule="auto"/>
              <w:rPr>
                <w:rFonts w:ascii="Arial"/>
                <w:sz w:val="21"/>
              </w:rPr>
            </w:pPr>
          </w:p>
        </w:tc>
      </w:tr>
    </w:tbl>
    <w:p w14:paraId="7265F005">
      <w:pPr>
        <w:pStyle w:val="2"/>
        <w:spacing w:line="360" w:lineRule="auto"/>
      </w:pPr>
    </w:p>
    <w:p w14:paraId="5939360F">
      <w:pPr>
        <w:pStyle w:val="2"/>
        <w:spacing w:line="360" w:lineRule="auto"/>
      </w:pPr>
    </w:p>
    <w:p w14:paraId="3A4121A3">
      <w:pPr>
        <w:spacing w:before="78" w:line="360" w:lineRule="auto"/>
        <w:ind w:left="939"/>
        <w:rPr>
          <w:rFonts w:ascii="宋体" w:hAnsi="宋体" w:eastAsia="宋体" w:cs="宋体"/>
          <w:sz w:val="24"/>
          <w:szCs w:val="24"/>
        </w:rPr>
      </w:pPr>
      <w:r>
        <w:rPr>
          <w:rFonts w:ascii="宋体" w:hAnsi="宋体" w:eastAsia="宋体" w:cs="宋体"/>
          <w:spacing w:val="1"/>
          <w:sz w:val="24"/>
          <w:szCs w:val="24"/>
        </w:rPr>
        <w:t xml:space="preserve">维保单位:                   </w:t>
      </w:r>
      <w:r>
        <w:rPr>
          <w:rFonts w:ascii="宋体" w:hAnsi="宋体" w:eastAsia="宋体" w:cs="宋体"/>
          <w:sz w:val="24"/>
          <w:szCs w:val="24"/>
        </w:rPr>
        <w:t xml:space="preserve">     </w:t>
      </w:r>
      <w:r>
        <w:rPr>
          <w:rFonts w:ascii="宋体" w:hAnsi="宋体" w:eastAsia="宋体" w:cs="宋体"/>
          <w:spacing w:val="1"/>
          <w:sz w:val="24"/>
          <w:szCs w:val="24"/>
        </w:rPr>
        <w:t>维保人员:</w:t>
      </w:r>
    </w:p>
    <w:p w14:paraId="1018D299">
      <w:pPr>
        <w:pStyle w:val="2"/>
        <w:spacing w:line="360" w:lineRule="auto"/>
      </w:pPr>
    </w:p>
    <w:p w14:paraId="155F1053">
      <w:pPr>
        <w:spacing w:before="78" w:line="360" w:lineRule="auto"/>
        <w:ind w:left="935"/>
        <w:rPr>
          <w:rFonts w:ascii="宋体" w:hAnsi="宋体" w:eastAsia="宋体" w:cs="宋体"/>
          <w:spacing w:val="7"/>
          <w:sz w:val="24"/>
          <w:szCs w:val="24"/>
        </w:rPr>
      </w:pPr>
      <w:r>
        <w:rPr>
          <w:rFonts w:ascii="宋体" w:hAnsi="宋体" w:eastAsia="宋体" w:cs="宋体"/>
          <w:spacing w:val="7"/>
          <w:sz w:val="24"/>
          <w:szCs w:val="24"/>
        </w:rPr>
        <w:t>考核人员:</w:t>
      </w:r>
    </w:p>
    <w:p w14:paraId="251556A6">
      <w:pPr>
        <w:spacing w:before="78" w:line="360" w:lineRule="auto"/>
        <w:rPr>
          <w:rFonts w:ascii="宋体" w:hAnsi="宋体" w:eastAsia="宋体" w:cs="宋体"/>
          <w:spacing w:val="7"/>
          <w:sz w:val="24"/>
          <w:szCs w:val="24"/>
        </w:rPr>
      </w:pPr>
    </w:p>
    <w:p w14:paraId="51C04503">
      <w:pPr>
        <w:spacing w:before="154" w:line="360" w:lineRule="auto"/>
        <w:ind w:left="5495"/>
        <w:rPr>
          <w:rFonts w:ascii="宋体" w:hAnsi="宋体" w:eastAsia="宋体" w:cs="宋体"/>
          <w:sz w:val="24"/>
          <w:szCs w:val="24"/>
        </w:rPr>
      </w:pPr>
      <w:r>
        <w:rPr>
          <w:rFonts w:ascii="宋体" w:hAnsi="宋体" w:eastAsia="宋体" w:cs="宋体"/>
          <w:spacing w:val="-5"/>
          <w:sz w:val="24"/>
          <w:szCs w:val="24"/>
        </w:rPr>
        <w:t>检查日期：</w:t>
      </w:r>
      <w:r>
        <w:rPr>
          <w:rFonts w:ascii="宋体" w:hAnsi="宋体" w:eastAsia="宋体" w:cs="宋体"/>
          <w:spacing w:val="23"/>
          <w:sz w:val="24"/>
          <w:szCs w:val="24"/>
        </w:rPr>
        <w:t xml:space="preserve">   </w:t>
      </w:r>
      <w:r>
        <w:rPr>
          <w:rFonts w:ascii="宋体" w:hAnsi="宋体" w:eastAsia="宋体" w:cs="宋体"/>
          <w:spacing w:val="-5"/>
          <w:sz w:val="24"/>
          <w:szCs w:val="24"/>
        </w:rPr>
        <w:t>年</w:t>
      </w:r>
      <w:r>
        <w:rPr>
          <w:rFonts w:ascii="宋体" w:hAnsi="宋体" w:eastAsia="宋体" w:cs="宋体"/>
          <w:spacing w:val="3"/>
          <w:sz w:val="24"/>
          <w:szCs w:val="24"/>
        </w:rPr>
        <w:t xml:space="preserve">    </w:t>
      </w:r>
      <w:r>
        <w:rPr>
          <w:rFonts w:ascii="宋体" w:hAnsi="宋体" w:eastAsia="宋体" w:cs="宋体"/>
          <w:spacing w:val="-5"/>
          <w:sz w:val="24"/>
          <w:szCs w:val="24"/>
        </w:rPr>
        <w:t>月</w:t>
      </w:r>
      <w:r>
        <w:rPr>
          <w:rFonts w:ascii="宋体" w:hAnsi="宋体" w:eastAsia="宋体" w:cs="宋体"/>
          <w:spacing w:val="10"/>
          <w:sz w:val="24"/>
          <w:szCs w:val="24"/>
        </w:rPr>
        <w:t xml:space="preserve">     </w:t>
      </w:r>
      <w:r>
        <w:rPr>
          <w:rFonts w:ascii="宋体" w:hAnsi="宋体" w:eastAsia="宋体" w:cs="宋体"/>
          <w:spacing w:val="-5"/>
          <w:sz w:val="24"/>
          <w:szCs w:val="24"/>
        </w:rPr>
        <w:t>日</w:t>
      </w:r>
    </w:p>
    <w:p w14:paraId="0C186737">
      <w:pPr>
        <w:spacing w:line="360" w:lineRule="auto"/>
        <w:rPr>
          <w:rFonts w:ascii="宋体" w:hAnsi="宋体" w:eastAsia="宋体" w:cs="宋体"/>
          <w:sz w:val="24"/>
          <w:szCs w:val="24"/>
        </w:rPr>
        <w:sectPr>
          <w:headerReference r:id="rId9" w:type="default"/>
          <w:footerReference r:id="rId10" w:type="default"/>
          <w:pgSz w:w="11906" w:h="16839"/>
          <w:pgMar w:top="1483" w:right="1179" w:bottom="1437" w:left="1099" w:header="1204" w:footer="1223" w:gutter="0"/>
          <w:cols w:space="720" w:num="1"/>
        </w:sectPr>
      </w:pPr>
    </w:p>
    <w:p w14:paraId="14C7527D">
      <w:pPr>
        <w:spacing w:before="145" w:line="360" w:lineRule="auto"/>
        <w:jc w:val="center"/>
      </w:pPr>
      <w:r>
        <w:rPr>
          <w:rFonts w:hint="eastAsia" w:ascii="宋体" w:hAnsi="宋体" w:eastAsia="宋体" w:cs="宋体"/>
          <w:b/>
          <w:bCs/>
          <w:spacing w:val="-4"/>
          <w:sz w:val="28"/>
          <w:szCs w:val="28"/>
          <w:lang w:val="en-US" w:eastAsia="zh-CN"/>
        </w:rPr>
        <w:t>2.</w:t>
      </w:r>
      <w:r>
        <w:rPr>
          <w:rFonts w:ascii="宋体" w:hAnsi="宋体" w:eastAsia="宋体" w:cs="宋体"/>
          <w:b/>
          <w:bCs/>
          <w:spacing w:val="-4"/>
          <w:sz w:val="28"/>
          <w:szCs w:val="28"/>
        </w:rPr>
        <w:t>消防系统维保情况年度评价表</w:t>
      </w:r>
    </w:p>
    <w:tbl>
      <w:tblPr>
        <w:tblStyle w:val="8"/>
        <w:tblW w:w="97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5233"/>
        <w:gridCol w:w="501"/>
        <w:gridCol w:w="1915"/>
        <w:gridCol w:w="803"/>
        <w:gridCol w:w="656"/>
      </w:tblGrid>
      <w:tr w14:paraId="15B88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7" w:hRule="atLeast"/>
          <w:jc w:val="center"/>
        </w:trPr>
        <w:tc>
          <w:tcPr>
            <w:tcW w:w="653" w:type="dxa"/>
            <w:vAlign w:val="top"/>
          </w:tcPr>
          <w:p w14:paraId="52F53E13">
            <w:pPr>
              <w:pStyle w:val="7"/>
              <w:spacing w:before="278" w:line="221" w:lineRule="auto"/>
              <w:ind w:left="148"/>
              <w:rPr>
                <w:sz w:val="18"/>
                <w:szCs w:val="18"/>
              </w:rPr>
            </w:pPr>
            <w:r>
              <w:rPr>
                <w:spacing w:val="-4"/>
                <w:sz w:val="18"/>
                <w:szCs w:val="18"/>
              </w:rPr>
              <w:t>序号</w:t>
            </w:r>
          </w:p>
        </w:tc>
        <w:tc>
          <w:tcPr>
            <w:tcW w:w="5233" w:type="dxa"/>
            <w:vAlign w:val="top"/>
          </w:tcPr>
          <w:p w14:paraId="318A3574">
            <w:pPr>
              <w:pStyle w:val="7"/>
              <w:spacing w:before="278" w:line="218" w:lineRule="auto"/>
              <w:ind w:left="2260"/>
              <w:rPr>
                <w:sz w:val="18"/>
                <w:szCs w:val="18"/>
              </w:rPr>
            </w:pPr>
            <w:r>
              <w:rPr>
                <w:spacing w:val="-2"/>
                <w:sz w:val="18"/>
                <w:szCs w:val="18"/>
              </w:rPr>
              <w:t>评价标准</w:t>
            </w:r>
          </w:p>
        </w:tc>
        <w:tc>
          <w:tcPr>
            <w:tcW w:w="501" w:type="dxa"/>
            <w:textDirection w:val="tbRlV"/>
            <w:vAlign w:val="top"/>
          </w:tcPr>
          <w:p w14:paraId="7F317F4E">
            <w:pPr>
              <w:pStyle w:val="7"/>
              <w:spacing w:before="157" w:line="208" w:lineRule="auto"/>
              <w:ind w:left="127"/>
              <w:rPr>
                <w:sz w:val="18"/>
                <w:szCs w:val="18"/>
              </w:rPr>
            </w:pPr>
            <w:r>
              <w:rPr>
                <w:spacing w:val="-1"/>
                <w:sz w:val="18"/>
                <w:szCs w:val="18"/>
              </w:rPr>
              <w:t>分</w:t>
            </w:r>
            <w:r>
              <w:rPr>
                <w:spacing w:val="33"/>
                <w:sz w:val="18"/>
                <w:szCs w:val="18"/>
              </w:rPr>
              <w:t xml:space="preserve"> </w:t>
            </w:r>
            <w:r>
              <w:rPr>
                <w:spacing w:val="-1"/>
                <w:sz w:val="18"/>
                <w:szCs w:val="18"/>
              </w:rPr>
              <w:t>值</w:t>
            </w:r>
          </w:p>
        </w:tc>
        <w:tc>
          <w:tcPr>
            <w:tcW w:w="1915" w:type="dxa"/>
            <w:vAlign w:val="top"/>
          </w:tcPr>
          <w:p w14:paraId="4CF78946">
            <w:pPr>
              <w:pStyle w:val="7"/>
              <w:spacing w:before="278" w:line="218" w:lineRule="auto"/>
              <w:ind w:left="601"/>
              <w:rPr>
                <w:sz w:val="18"/>
                <w:szCs w:val="18"/>
              </w:rPr>
            </w:pPr>
            <w:r>
              <w:rPr>
                <w:spacing w:val="-2"/>
                <w:sz w:val="18"/>
                <w:szCs w:val="18"/>
              </w:rPr>
              <w:t>评价方法</w:t>
            </w:r>
          </w:p>
        </w:tc>
        <w:tc>
          <w:tcPr>
            <w:tcW w:w="803" w:type="dxa"/>
            <w:vAlign w:val="top"/>
          </w:tcPr>
          <w:p w14:paraId="7AB8C642">
            <w:pPr>
              <w:pStyle w:val="7"/>
              <w:spacing w:before="126" w:line="313" w:lineRule="auto"/>
              <w:ind w:left="141" w:right="127" w:hanging="1"/>
              <w:rPr>
                <w:sz w:val="18"/>
                <w:szCs w:val="18"/>
              </w:rPr>
            </w:pPr>
            <w:r>
              <w:rPr>
                <w:spacing w:val="-4"/>
                <w:sz w:val="18"/>
                <w:szCs w:val="18"/>
              </w:rPr>
              <w:t>扣分事实描述</w:t>
            </w:r>
          </w:p>
        </w:tc>
        <w:tc>
          <w:tcPr>
            <w:tcW w:w="656" w:type="dxa"/>
            <w:vAlign w:val="top"/>
          </w:tcPr>
          <w:p w14:paraId="0C2C6D4B">
            <w:pPr>
              <w:pStyle w:val="7"/>
              <w:spacing w:before="128" w:line="312" w:lineRule="auto"/>
              <w:ind w:left="153" w:right="145" w:firstLine="3"/>
              <w:rPr>
                <w:sz w:val="18"/>
                <w:szCs w:val="18"/>
              </w:rPr>
            </w:pPr>
            <w:r>
              <w:rPr>
                <w:spacing w:val="-6"/>
                <w:sz w:val="18"/>
                <w:szCs w:val="18"/>
              </w:rPr>
              <w:t>实际</w:t>
            </w:r>
            <w:r>
              <w:rPr>
                <w:spacing w:val="-4"/>
                <w:sz w:val="18"/>
                <w:szCs w:val="18"/>
              </w:rPr>
              <w:t>得分</w:t>
            </w:r>
          </w:p>
        </w:tc>
      </w:tr>
      <w:tr w14:paraId="10A75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jc w:val="center"/>
        </w:trPr>
        <w:tc>
          <w:tcPr>
            <w:tcW w:w="653" w:type="dxa"/>
            <w:vAlign w:val="top"/>
          </w:tcPr>
          <w:p w14:paraId="50F02E5E">
            <w:pPr>
              <w:pStyle w:val="7"/>
              <w:spacing w:before="179" w:line="241" w:lineRule="auto"/>
              <w:ind w:left="299"/>
              <w:rPr>
                <w:sz w:val="18"/>
                <w:szCs w:val="18"/>
              </w:rPr>
            </w:pPr>
            <w:r>
              <w:rPr>
                <w:sz w:val="18"/>
                <w:szCs w:val="18"/>
              </w:rPr>
              <w:t>1</w:t>
            </w:r>
          </w:p>
        </w:tc>
        <w:tc>
          <w:tcPr>
            <w:tcW w:w="5233" w:type="dxa"/>
            <w:vAlign w:val="top"/>
          </w:tcPr>
          <w:p w14:paraId="583414D0">
            <w:pPr>
              <w:pStyle w:val="7"/>
              <w:spacing w:before="28" w:line="219" w:lineRule="auto"/>
              <w:ind w:left="114"/>
              <w:rPr>
                <w:sz w:val="18"/>
                <w:szCs w:val="18"/>
              </w:rPr>
            </w:pPr>
            <w:r>
              <w:rPr>
                <w:spacing w:val="-2"/>
                <w:sz w:val="18"/>
                <w:szCs w:val="18"/>
              </w:rPr>
              <w:t>消防维保单位巡检人员持证上岗维保人员不具备资格的，扣</w:t>
            </w:r>
            <w:r>
              <w:rPr>
                <w:spacing w:val="-22"/>
                <w:sz w:val="18"/>
                <w:szCs w:val="18"/>
              </w:rPr>
              <w:t xml:space="preserve"> </w:t>
            </w:r>
            <w:r>
              <w:rPr>
                <w:spacing w:val="-2"/>
                <w:sz w:val="18"/>
                <w:szCs w:val="18"/>
              </w:rPr>
              <w:t>2</w:t>
            </w:r>
            <w:r>
              <w:rPr>
                <w:spacing w:val="-34"/>
                <w:sz w:val="18"/>
                <w:szCs w:val="18"/>
              </w:rPr>
              <w:t xml:space="preserve"> </w:t>
            </w:r>
            <w:r>
              <w:rPr>
                <w:spacing w:val="-2"/>
                <w:sz w:val="18"/>
                <w:szCs w:val="18"/>
              </w:rPr>
              <w:t>分</w:t>
            </w:r>
          </w:p>
          <w:p w14:paraId="3EBD369C">
            <w:pPr>
              <w:pStyle w:val="7"/>
              <w:spacing w:before="88" w:line="219" w:lineRule="auto"/>
              <w:ind w:left="2395"/>
              <w:rPr>
                <w:sz w:val="18"/>
                <w:szCs w:val="18"/>
              </w:rPr>
            </w:pPr>
            <w:r>
              <w:rPr>
                <w:spacing w:val="-3"/>
                <w:sz w:val="18"/>
                <w:szCs w:val="18"/>
              </w:rPr>
              <w:t>/人次</w:t>
            </w:r>
          </w:p>
        </w:tc>
        <w:tc>
          <w:tcPr>
            <w:tcW w:w="501" w:type="dxa"/>
            <w:vAlign w:val="top"/>
          </w:tcPr>
          <w:p w14:paraId="4B5A4A41">
            <w:pPr>
              <w:pStyle w:val="7"/>
              <w:spacing w:before="179"/>
              <w:ind w:left="178"/>
              <w:rPr>
                <w:sz w:val="18"/>
                <w:szCs w:val="18"/>
              </w:rPr>
            </w:pPr>
            <w:r>
              <w:rPr>
                <w:spacing w:val="-10"/>
                <w:sz w:val="18"/>
                <w:szCs w:val="18"/>
              </w:rPr>
              <w:t>10</w:t>
            </w:r>
          </w:p>
        </w:tc>
        <w:tc>
          <w:tcPr>
            <w:tcW w:w="1915" w:type="dxa"/>
            <w:vAlign w:val="top"/>
          </w:tcPr>
          <w:p w14:paraId="75B67AEC">
            <w:pPr>
              <w:pStyle w:val="7"/>
              <w:spacing w:before="179" w:line="219" w:lineRule="auto"/>
              <w:ind w:left="244"/>
              <w:rPr>
                <w:sz w:val="18"/>
                <w:szCs w:val="18"/>
              </w:rPr>
            </w:pPr>
            <w:r>
              <w:rPr>
                <w:spacing w:val="-2"/>
                <w:sz w:val="18"/>
                <w:szCs w:val="18"/>
              </w:rPr>
              <w:t>查看维保人员证件</w:t>
            </w:r>
          </w:p>
        </w:tc>
        <w:tc>
          <w:tcPr>
            <w:tcW w:w="803" w:type="dxa"/>
            <w:vAlign w:val="top"/>
          </w:tcPr>
          <w:p w14:paraId="6A42750A">
            <w:pPr>
              <w:rPr>
                <w:rFonts w:ascii="Arial"/>
                <w:sz w:val="21"/>
              </w:rPr>
            </w:pPr>
          </w:p>
        </w:tc>
        <w:tc>
          <w:tcPr>
            <w:tcW w:w="656" w:type="dxa"/>
            <w:vAlign w:val="top"/>
          </w:tcPr>
          <w:p w14:paraId="010CD049">
            <w:pPr>
              <w:rPr>
                <w:rFonts w:ascii="Arial"/>
                <w:sz w:val="21"/>
              </w:rPr>
            </w:pPr>
          </w:p>
        </w:tc>
      </w:tr>
      <w:tr w14:paraId="62CE15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jc w:val="center"/>
        </w:trPr>
        <w:tc>
          <w:tcPr>
            <w:tcW w:w="653" w:type="dxa"/>
            <w:vAlign w:val="top"/>
          </w:tcPr>
          <w:p w14:paraId="16E12B03">
            <w:pPr>
              <w:pStyle w:val="7"/>
              <w:spacing w:before="29" w:line="241" w:lineRule="auto"/>
              <w:ind w:left="288"/>
              <w:rPr>
                <w:sz w:val="18"/>
                <w:szCs w:val="18"/>
              </w:rPr>
            </w:pPr>
            <w:r>
              <w:rPr>
                <w:sz w:val="18"/>
                <w:szCs w:val="18"/>
              </w:rPr>
              <w:t>2</w:t>
            </w:r>
          </w:p>
        </w:tc>
        <w:tc>
          <w:tcPr>
            <w:tcW w:w="5233" w:type="dxa"/>
            <w:vAlign w:val="top"/>
          </w:tcPr>
          <w:p w14:paraId="5C622FE5">
            <w:pPr>
              <w:pStyle w:val="7"/>
              <w:spacing w:before="29" w:line="219" w:lineRule="auto"/>
              <w:ind w:left="1005"/>
              <w:rPr>
                <w:sz w:val="18"/>
                <w:szCs w:val="18"/>
              </w:rPr>
            </w:pPr>
            <w:r>
              <w:rPr>
                <w:sz w:val="18"/>
                <w:szCs w:val="18"/>
              </w:rPr>
              <w:t>消防设施标识齐全，每缺少</w:t>
            </w:r>
            <w:r>
              <w:rPr>
                <w:spacing w:val="-26"/>
                <w:sz w:val="18"/>
                <w:szCs w:val="18"/>
              </w:rPr>
              <w:t xml:space="preserve"> </w:t>
            </w:r>
            <w:r>
              <w:rPr>
                <w:sz w:val="18"/>
                <w:szCs w:val="18"/>
              </w:rPr>
              <w:t>1</w:t>
            </w:r>
            <w:r>
              <w:rPr>
                <w:spacing w:val="-33"/>
                <w:sz w:val="18"/>
                <w:szCs w:val="18"/>
              </w:rPr>
              <w:t xml:space="preserve"> </w:t>
            </w:r>
            <w:r>
              <w:rPr>
                <w:sz w:val="18"/>
                <w:szCs w:val="18"/>
              </w:rPr>
              <w:t>项扣0.5</w:t>
            </w:r>
            <w:r>
              <w:rPr>
                <w:spacing w:val="-34"/>
                <w:sz w:val="18"/>
                <w:szCs w:val="18"/>
              </w:rPr>
              <w:t xml:space="preserve"> </w:t>
            </w:r>
            <w:r>
              <w:rPr>
                <w:sz w:val="18"/>
                <w:szCs w:val="18"/>
              </w:rPr>
              <w:t>分</w:t>
            </w:r>
          </w:p>
        </w:tc>
        <w:tc>
          <w:tcPr>
            <w:tcW w:w="501" w:type="dxa"/>
            <w:vAlign w:val="top"/>
          </w:tcPr>
          <w:p w14:paraId="2CD59133">
            <w:pPr>
              <w:pStyle w:val="7"/>
              <w:spacing w:before="29" w:line="241" w:lineRule="auto"/>
              <w:ind w:left="210"/>
              <w:rPr>
                <w:sz w:val="18"/>
                <w:szCs w:val="18"/>
              </w:rPr>
            </w:pPr>
            <w:r>
              <w:rPr>
                <w:sz w:val="18"/>
                <w:szCs w:val="18"/>
              </w:rPr>
              <w:t>4</w:t>
            </w:r>
          </w:p>
        </w:tc>
        <w:tc>
          <w:tcPr>
            <w:tcW w:w="1915" w:type="dxa"/>
            <w:vAlign w:val="top"/>
          </w:tcPr>
          <w:p w14:paraId="7ECD729E">
            <w:pPr>
              <w:pStyle w:val="7"/>
              <w:spacing w:before="29" w:line="219" w:lineRule="auto"/>
              <w:ind w:left="244"/>
              <w:rPr>
                <w:sz w:val="18"/>
                <w:szCs w:val="18"/>
              </w:rPr>
            </w:pPr>
            <w:r>
              <w:rPr>
                <w:spacing w:val="-2"/>
                <w:sz w:val="18"/>
                <w:szCs w:val="18"/>
              </w:rPr>
              <w:t>查看现场消防标识</w:t>
            </w:r>
          </w:p>
        </w:tc>
        <w:tc>
          <w:tcPr>
            <w:tcW w:w="803" w:type="dxa"/>
            <w:vAlign w:val="top"/>
          </w:tcPr>
          <w:p w14:paraId="19ABFE19">
            <w:pPr>
              <w:rPr>
                <w:rFonts w:ascii="Arial"/>
                <w:sz w:val="21"/>
              </w:rPr>
            </w:pPr>
          </w:p>
        </w:tc>
        <w:tc>
          <w:tcPr>
            <w:tcW w:w="656" w:type="dxa"/>
            <w:vAlign w:val="top"/>
          </w:tcPr>
          <w:p w14:paraId="3F1BFABD">
            <w:pPr>
              <w:rPr>
                <w:rFonts w:ascii="Arial"/>
                <w:sz w:val="21"/>
              </w:rPr>
            </w:pPr>
          </w:p>
        </w:tc>
      </w:tr>
      <w:tr w14:paraId="59C1D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653" w:type="dxa"/>
            <w:vAlign w:val="top"/>
          </w:tcPr>
          <w:p w14:paraId="27FBB1F2">
            <w:pPr>
              <w:pStyle w:val="7"/>
              <w:spacing w:before="178"/>
              <w:ind w:left="290"/>
              <w:rPr>
                <w:sz w:val="18"/>
                <w:szCs w:val="18"/>
              </w:rPr>
            </w:pPr>
            <w:r>
              <w:rPr>
                <w:sz w:val="18"/>
                <w:szCs w:val="18"/>
              </w:rPr>
              <w:t>3</w:t>
            </w:r>
          </w:p>
        </w:tc>
        <w:tc>
          <w:tcPr>
            <w:tcW w:w="5233" w:type="dxa"/>
            <w:vAlign w:val="top"/>
          </w:tcPr>
          <w:p w14:paraId="360FA19E">
            <w:pPr>
              <w:pStyle w:val="7"/>
              <w:spacing w:before="179" w:line="219" w:lineRule="auto"/>
              <w:ind w:left="395"/>
              <w:rPr>
                <w:sz w:val="18"/>
                <w:szCs w:val="18"/>
              </w:rPr>
            </w:pPr>
            <w:r>
              <w:rPr>
                <w:spacing w:val="-3"/>
                <w:sz w:val="18"/>
                <w:szCs w:val="18"/>
              </w:rPr>
              <w:t>消防维保人员流失率≦</w:t>
            </w:r>
            <w:r>
              <w:rPr>
                <w:spacing w:val="-70"/>
                <w:sz w:val="18"/>
                <w:szCs w:val="18"/>
              </w:rPr>
              <w:t xml:space="preserve"> </w:t>
            </w:r>
            <w:r>
              <w:rPr>
                <w:spacing w:val="-3"/>
                <w:sz w:val="18"/>
                <w:szCs w:val="18"/>
              </w:rPr>
              <w:t>10%。每超过</w:t>
            </w:r>
            <w:r>
              <w:rPr>
                <w:spacing w:val="-24"/>
                <w:sz w:val="18"/>
                <w:szCs w:val="18"/>
              </w:rPr>
              <w:t xml:space="preserve"> </w:t>
            </w:r>
            <w:r>
              <w:rPr>
                <w:spacing w:val="-3"/>
                <w:sz w:val="18"/>
                <w:szCs w:val="18"/>
              </w:rPr>
              <w:t>1%扣</w:t>
            </w:r>
            <w:r>
              <w:rPr>
                <w:spacing w:val="-26"/>
                <w:sz w:val="18"/>
                <w:szCs w:val="18"/>
              </w:rPr>
              <w:t xml:space="preserve"> </w:t>
            </w:r>
            <w:r>
              <w:rPr>
                <w:spacing w:val="-3"/>
                <w:sz w:val="18"/>
                <w:szCs w:val="18"/>
              </w:rPr>
              <w:t>1</w:t>
            </w:r>
            <w:r>
              <w:rPr>
                <w:spacing w:val="-34"/>
                <w:sz w:val="18"/>
                <w:szCs w:val="18"/>
              </w:rPr>
              <w:t xml:space="preserve"> </w:t>
            </w:r>
            <w:r>
              <w:rPr>
                <w:spacing w:val="-3"/>
                <w:sz w:val="18"/>
                <w:szCs w:val="18"/>
              </w:rPr>
              <w:t>分，以此类推</w:t>
            </w:r>
          </w:p>
        </w:tc>
        <w:tc>
          <w:tcPr>
            <w:tcW w:w="501" w:type="dxa"/>
            <w:vAlign w:val="top"/>
          </w:tcPr>
          <w:p w14:paraId="7E0C6336">
            <w:pPr>
              <w:pStyle w:val="7"/>
              <w:spacing w:before="178"/>
              <w:ind w:left="214"/>
              <w:rPr>
                <w:sz w:val="18"/>
                <w:szCs w:val="18"/>
              </w:rPr>
            </w:pPr>
            <w:r>
              <w:rPr>
                <w:sz w:val="18"/>
                <w:szCs w:val="18"/>
              </w:rPr>
              <w:t>5</w:t>
            </w:r>
          </w:p>
        </w:tc>
        <w:tc>
          <w:tcPr>
            <w:tcW w:w="1915" w:type="dxa"/>
            <w:vAlign w:val="top"/>
          </w:tcPr>
          <w:p w14:paraId="7C84EA96">
            <w:pPr>
              <w:pStyle w:val="7"/>
              <w:spacing w:before="28" w:line="219" w:lineRule="auto"/>
              <w:ind w:left="155"/>
              <w:rPr>
                <w:sz w:val="18"/>
                <w:szCs w:val="18"/>
              </w:rPr>
            </w:pPr>
            <w:r>
              <w:rPr>
                <w:spacing w:val="-2"/>
                <w:sz w:val="18"/>
                <w:szCs w:val="18"/>
              </w:rPr>
              <w:t>核对每月人员变动情</w:t>
            </w:r>
          </w:p>
          <w:p w14:paraId="58DAF559">
            <w:pPr>
              <w:pStyle w:val="7"/>
              <w:spacing w:before="91" w:line="220" w:lineRule="auto"/>
              <w:ind w:left="875"/>
              <w:rPr>
                <w:sz w:val="18"/>
                <w:szCs w:val="18"/>
              </w:rPr>
            </w:pPr>
            <w:r>
              <w:rPr>
                <w:sz w:val="18"/>
                <w:szCs w:val="18"/>
              </w:rPr>
              <w:t>况</w:t>
            </w:r>
          </w:p>
        </w:tc>
        <w:tc>
          <w:tcPr>
            <w:tcW w:w="803" w:type="dxa"/>
            <w:vAlign w:val="top"/>
          </w:tcPr>
          <w:p w14:paraId="30E541F0">
            <w:pPr>
              <w:rPr>
                <w:rFonts w:ascii="Arial"/>
                <w:sz w:val="21"/>
              </w:rPr>
            </w:pPr>
          </w:p>
        </w:tc>
        <w:tc>
          <w:tcPr>
            <w:tcW w:w="656" w:type="dxa"/>
            <w:vAlign w:val="top"/>
          </w:tcPr>
          <w:p w14:paraId="17159864">
            <w:pPr>
              <w:rPr>
                <w:rFonts w:ascii="Arial"/>
                <w:sz w:val="21"/>
              </w:rPr>
            </w:pPr>
          </w:p>
        </w:tc>
      </w:tr>
      <w:tr w14:paraId="2076C2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653" w:type="dxa"/>
            <w:vAlign w:val="top"/>
          </w:tcPr>
          <w:p w14:paraId="7E365959">
            <w:pPr>
              <w:pStyle w:val="7"/>
              <w:spacing w:before="179" w:line="241" w:lineRule="auto"/>
              <w:ind w:left="285"/>
              <w:rPr>
                <w:sz w:val="18"/>
                <w:szCs w:val="18"/>
              </w:rPr>
            </w:pPr>
            <w:r>
              <w:rPr>
                <w:sz w:val="18"/>
                <w:szCs w:val="18"/>
              </w:rPr>
              <w:t>4</w:t>
            </w:r>
          </w:p>
        </w:tc>
        <w:tc>
          <w:tcPr>
            <w:tcW w:w="5233" w:type="dxa"/>
            <w:vAlign w:val="top"/>
          </w:tcPr>
          <w:p w14:paraId="638D54DF">
            <w:pPr>
              <w:pStyle w:val="7"/>
              <w:spacing w:before="30" w:line="219" w:lineRule="auto"/>
              <w:ind w:left="114"/>
              <w:rPr>
                <w:sz w:val="18"/>
                <w:szCs w:val="18"/>
              </w:rPr>
            </w:pPr>
            <w:r>
              <w:rPr>
                <w:sz w:val="18"/>
                <w:szCs w:val="18"/>
              </w:rPr>
              <w:t>消防维保人员熟练使用、操作消防设施不会使用消防设施扣3</w:t>
            </w:r>
            <w:r>
              <w:rPr>
                <w:spacing w:val="-22"/>
                <w:sz w:val="18"/>
                <w:szCs w:val="18"/>
              </w:rPr>
              <w:t xml:space="preserve"> </w:t>
            </w:r>
            <w:r>
              <w:rPr>
                <w:sz w:val="18"/>
                <w:szCs w:val="18"/>
              </w:rPr>
              <w:t>分</w:t>
            </w:r>
          </w:p>
          <w:p w14:paraId="1D6FD971">
            <w:pPr>
              <w:pStyle w:val="7"/>
              <w:spacing w:before="89" w:line="219" w:lineRule="auto"/>
              <w:ind w:left="2395"/>
              <w:rPr>
                <w:sz w:val="18"/>
                <w:szCs w:val="18"/>
              </w:rPr>
            </w:pPr>
            <w:r>
              <w:rPr>
                <w:spacing w:val="-3"/>
                <w:sz w:val="18"/>
                <w:szCs w:val="18"/>
              </w:rPr>
              <w:t>/人次</w:t>
            </w:r>
          </w:p>
        </w:tc>
        <w:tc>
          <w:tcPr>
            <w:tcW w:w="501" w:type="dxa"/>
            <w:vAlign w:val="top"/>
          </w:tcPr>
          <w:p w14:paraId="22B856E0">
            <w:pPr>
              <w:pStyle w:val="7"/>
              <w:spacing w:before="178"/>
              <w:ind w:left="178"/>
              <w:rPr>
                <w:sz w:val="18"/>
                <w:szCs w:val="18"/>
              </w:rPr>
            </w:pPr>
            <w:r>
              <w:rPr>
                <w:spacing w:val="-10"/>
                <w:sz w:val="18"/>
                <w:szCs w:val="18"/>
              </w:rPr>
              <w:t>15</w:t>
            </w:r>
          </w:p>
        </w:tc>
        <w:tc>
          <w:tcPr>
            <w:tcW w:w="1915" w:type="dxa"/>
            <w:vAlign w:val="top"/>
          </w:tcPr>
          <w:p w14:paraId="7FC854BB">
            <w:pPr>
              <w:pStyle w:val="7"/>
              <w:spacing w:before="179" w:line="220" w:lineRule="auto"/>
              <w:ind w:left="604"/>
              <w:rPr>
                <w:sz w:val="18"/>
                <w:szCs w:val="18"/>
              </w:rPr>
            </w:pPr>
            <w:r>
              <w:rPr>
                <w:spacing w:val="-3"/>
                <w:sz w:val="18"/>
                <w:szCs w:val="18"/>
              </w:rPr>
              <w:t>现场查验</w:t>
            </w:r>
          </w:p>
        </w:tc>
        <w:tc>
          <w:tcPr>
            <w:tcW w:w="803" w:type="dxa"/>
            <w:vAlign w:val="top"/>
          </w:tcPr>
          <w:p w14:paraId="7F68D413">
            <w:pPr>
              <w:rPr>
                <w:rFonts w:ascii="Arial"/>
                <w:sz w:val="21"/>
              </w:rPr>
            </w:pPr>
          </w:p>
        </w:tc>
        <w:tc>
          <w:tcPr>
            <w:tcW w:w="656" w:type="dxa"/>
            <w:vAlign w:val="top"/>
          </w:tcPr>
          <w:p w14:paraId="382762CC">
            <w:pPr>
              <w:rPr>
                <w:rFonts w:ascii="Arial"/>
                <w:sz w:val="21"/>
              </w:rPr>
            </w:pPr>
          </w:p>
        </w:tc>
      </w:tr>
      <w:tr w14:paraId="71786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jc w:val="center"/>
        </w:trPr>
        <w:tc>
          <w:tcPr>
            <w:tcW w:w="653" w:type="dxa"/>
            <w:vAlign w:val="top"/>
          </w:tcPr>
          <w:p w14:paraId="5F06BE0B">
            <w:pPr>
              <w:spacing w:line="271" w:lineRule="auto"/>
              <w:rPr>
                <w:rFonts w:ascii="Arial"/>
                <w:sz w:val="21"/>
              </w:rPr>
            </w:pPr>
          </w:p>
          <w:p w14:paraId="0653B729">
            <w:pPr>
              <w:pStyle w:val="7"/>
              <w:spacing w:before="59"/>
              <w:ind w:left="290"/>
              <w:rPr>
                <w:sz w:val="18"/>
                <w:szCs w:val="18"/>
              </w:rPr>
            </w:pPr>
            <w:r>
              <w:rPr>
                <w:sz w:val="18"/>
                <w:szCs w:val="18"/>
              </w:rPr>
              <w:t>5</w:t>
            </w:r>
          </w:p>
        </w:tc>
        <w:tc>
          <w:tcPr>
            <w:tcW w:w="5233" w:type="dxa"/>
            <w:vAlign w:val="top"/>
          </w:tcPr>
          <w:p w14:paraId="1D5A98C4">
            <w:pPr>
              <w:pStyle w:val="7"/>
              <w:spacing w:before="29" w:line="219" w:lineRule="auto"/>
              <w:ind w:left="148"/>
              <w:rPr>
                <w:sz w:val="18"/>
                <w:szCs w:val="18"/>
              </w:rPr>
            </w:pPr>
            <w:r>
              <w:rPr>
                <w:sz w:val="18"/>
                <w:szCs w:val="18"/>
              </w:rPr>
              <w:t>消防维保人员掌握火灾应急处置方案(包括应急器材的使用，如</w:t>
            </w:r>
          </w:p>
          <w:p w14:paraId="14F7CB2A">
            <w:pPr>
              <w:pStyle w:val="7"/>
              <w:spacing w:before="89" w:line="219" w:lineRule="auto"/>
              <w:ind w:left="147"/>
              <w:rPr>
                <w:sz w:val="18"/>
                <w:szCs w:val="18"/>
              </w:rPr>
            </w:pPr>
            <w:r>
              <w:rPr>
                <w:sz w:val="18"/>
                <w:szCs w:val="18"/>
              </w:rPr>
              <w:t>灭火器、水带及枪头等)。知道发生火灾后如何报警、处置。一</w:t>
            </w:r>
          </w:p>
          <w:p w14:paraId="13F62219">
            <w:pPr>
              <w:pStyle w:val="7"/>
              <w:spacing w:before="88" w:line="219" w:lineRule="auto"/>
              <w:ind w:left="1904"/>
              <w:rPr>
                <w:sz w:val="18"/>
                <w:szCs w:val="18"/>
              </w:rPr>
            </w:pPr>
            <w:r>
              <w:rPr>
                <w:spacing w:val="4"/>
                <w:sz w:val="18"/>
                <w:szCs w:val="18"/>
              </w:rPr>
              <w:t>项不掌握的扣2</w:t>
            </w:r>
            <w:r>
              <w:rPr>
                <w:spacing w:val="-34"/>
                <w:sz w:val="18"/>
                <w:szCs w:val="18"/>
              </w:rPr>
              <w:t xml:space="preserve"> </w:t>
            </w:r>
            <w:r>
              <w:rPr>
                <w:spacing w:val="4"/>
                <w:sz w:val="18"/>
                <w:szCs w:val="18"/>
              </w:rPr>
              <w:t>分</w:t>
            </w:r>
          </w:p>
        </w:tc>
        <w:tc>
          <w:tcPr>
            <w:tcW w:w="501" w:type="dxa"/>
            <w:vAlign w:val="top"/>
          </w:tcPr>
          <w:p w14:paraId="41123A91">
            <w:pPr>
              <w:spacing w:line="271" w:lineRule="auto"/>
              <w:rPr>
                <w:rFonts w:ascii="Arial"/>
                <w:sz w:val="21"/>
              </w:rPr>
            </w:pPr>
          </w:p>
          <w:p w14:paraId="3AA40B7B">
            <w:pPr>
              <w:pStyle w:val="7"/>
              <w:spacing w:before="59"/>
              <w:ind w:left="178"/>
              <w:rPr>
                <w:sz w:val="18"/>
                <w:szCs w:val="18"/>
              </w:rPr>
            </w:pPr>
            <w:r>
              <w:rPr>
                <w:spacing w:val="-10"/>
                <w:sz w:val="18"/>
                <w:szCs w:val="18"/>
              </w:rPr>
              <w:t>16</w:t>
            </w:r>
          </w:p>
        </w:tc>
        <w:tc>
          <w:tcPr>
            <w:tcW w:w="1915" w:type="dxa"/>
            <w:vAlign w:val="top"/>
          </w:tcPr>
          <w:p w14:paraId="4FE21045">
            <w:pPr>
              <w:spacing w:line="272" w:lineRule="auto"/>
              <w:rPr>
                <w:rFonts w:ascii="Arial"/>
                <w:sz w:val="21"/>
              </w:rPr>
            </w:pPr>
          </w:p>
          <w:p w14:paraId="585288D9">
            <w:pPr>
              <w:pStyle w:val="7"/>
              <w:spacing w:before="58" w:line="218" w:lineRule="auto"/>
              <w:ind w:left="335"/>
              <w:rPr>
                <w:sz w:val="18"/>
                <w:szCs w:val="18"/>
              </w:rPr>
            </w:pPr>
            <w:r>
              <w:rPr>
                <w:spacing w:val="-2"/>
                <w:sz w:val="18"/>
                <w:szCs w:val="18"/>
              </w:rPr>
              <w:t>查看预案评价表</w:t>
            </w:r>
          </w:p>
        </w:tc>
        <w:tc>
          <w:tcPr>
            <w:tcW w:w="803" w:type="dxa"/>
            <w:vAlign w:val="top"/>
          </w:tcPr>
          <w:p w14:paraId="042F400A">
            <w:pPr>
              <w:rPr>
                <w:rFonts w:ascii="Arial"/>
                <w:sz w:val="21"/>
              </w:rPr>
            </w:pPr>
          </w:p>
        </w:tc>
        <w:tc>
          <w:tcPr>
            <w:tcW w:w="656" w:type="dxa"/>
            <w:vAlign w:val="top"/>
          </w:tcPr>
          <w:p w14:paraId="31F59241">
            <w:pPr>
              <w:rPr>
                <w:rFonts w:ascii="Arial"/>
                <w:sz w:val="21"/>
              </w:rPr>
            </w:pPr>
          </w:p>
        </w:tc>
      </w:tr>
      <w:tr w14:paraId="07E79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4" w:hRule="atLeast"/>
          <w:jc w:val="center"/>
        </w:trPr>
        <w:tc>
          <w:tcPr>
            <w:tcW w:w="653" w:type="dxa"/>
            <w:vAlign w:val="top"/>
          </w:tcPr>
          <w:p w14:paraId="2DBC4C4D">
            <w:pPr>
              <w:spacing w:line="271" w:lineRule="auto"/>
              <w:rPr>
                <w:rFonts w:ascii="Arial"/>
                <w:sz w:val="21"/>
              </w:rPr>
            </w:pPr>
          </w:p>
          <w:p w14:paraId="2BBDC6A3">
            <w:pPr>
              <w:pStyle w:val="7"/>
              <w:spacing w:before="58"/>
              <w:ind w:left="287"/>
              <w:rPr>
                <w:sz w:val="18"/>
                <w:szCs w:val="18"/>
              </w:rPr>
            </w:pPr>
            <w:r>
              <w:rPr>
                <w:sz w:val="18"/>
                <w:szCs w:val="18"/>
              </w:rPr>
              <w:t>6</w:t>
            </w:r>
          </w:p>
        </w:tc>
        <w:tc>
          <w:tcPr>
            <w:tcW w:w="5233" w:type="dxa"/>
            <w:vAlign w:val="top"/>
          </w:tcPr>
          <w:p w14:paraId="081D1445">
            <w:pPr>
              <w:pStyle w:val="7"/>
              <w:spacing w:before="29" w:line="219" w:lineRule="auto"/>
              <w:ind w:left="111"/>
              <w:rPr>
                <w:sz w:val="18"/>
                <w:szCs w:val="18"/>
              </w:rPr>
            </w:pPr>
            <w:r>
              <w:rPr>
                <w:sz w:val="18"/>
                <w:szCs w:val="18"/>
              </w:rPr>
              <w:t>巡检人员定期对消防设施进行检查保养，出</w:t>
            </w:r>
            <w:r>
              <w:rPr>
                <w:spacing w:val="-1"/>
                <w:sz w:val="18"/>
                <w:szCs w:val="18"/>
              </w:rPr>
              <w:t>具记录、测试小票。</w:t>
            </w:r>
          </w:p>
          <w:p w14:paraId="63B0794C">
            <w:pPr>
              <w:pStyle w:val="7"/>
              <w:spacing w:before="88" w:line="219" w:lineRule="auto"/>
              <w:ind w:left="123"/>
              <w:rPr>
                <w:sz w:val="18"/>
                <w:szCs w:val="18"/>
              </w:rPr>
            </w:pPr>
            <w:r>
              <w:rPr>
                <w:spacing w:val="-1"/>
                <w:sz w:val="18"/>
                <w:szCs w:val="18"/>
              </w:rPr>
              <w:t>测试数量不低于总数量的</w:t>
            </w:r>
            <w:r>
              <w:rPr>
                <w:spacing w:val="-24"/>
                <w:sz w:val="18"/>
                <w:szCs w:val="18"/>
              </w:rPr>
              <w:t xml:space="preserve"> </w:t>
            </w:r>
            <w:r>
              <w:rPr>
                <w:spacing w:val="-1"/>
                <w:sz w:val="18"/>
                <w:szCs w:val="18"/>
              </w:rPr>
              <w:t>10%。未出具或维护保养记录与实</w:t>
            </w:r>
            <w:r>
              <w:rPr>
                <w:spacing w:val="-2"/>
                <w:sz w:val="18"/>
                <w:szCs w:val="18"/>
              </w:rPr>
              <w:t>际不</w:t>
            </w:r>
          </w:p>
          <w:p w14:paraId="1F2438BD">
            <w:pPr>
              <w:pStyle w:val="7"/>
              <w:spacing w:before="88" w:line="219" w:lineRule="auto"/>
              <w:ind w:left="2126"/>
              <w:rPr>
                <w:sz w:val="18"/>
                <w:szCs w:val="18"/>
              </w:rPr>
            </w:pPr>
            <w:r>
              <w:rPr>
                <w:spacing w:val="-5"/>
                <w:sz w:val="18"/>
                <w:szCs w:val="18"/>
              </w:rPr>
              <w:t>符扣</w:t>
            </w:r>
            <w:r>
              <w:rPr>
                <w:spacing w:val="-32"/>
                <w:sz w:val="18"/>
                <w:szCs w:val="18"/>
              </w:rPr>
              <w:t xml:space="preserve"> </w:t>
            </w:r>
            <w:r>
              <w:rPr>
                <w:spacing w:val="-5"/>
                <w:sz w:val="18"/>
                <w:szCs w:val="18"/>
              </w:rPr>
              <w:t>2</w:t>
            </w:r>
            <w:r>
              <w:rPr>
                <w:spacing w:val="-37"/>
                <w:sz w:val="18"/>
                <w:szCs w:val="18"/>
              </w:rPr>
              <w:t xml:space="preserve"> </w:t>
            </w:r>
            <w:r>
              <w:rPr>
                <w:spacing w:val="-5"/>
                <w:sz w:val="18"/>
                <w:szCs w:val="18"/>
              </w:rPr>
              <w:t>分/次</w:t>
            </w:r>
          </w:p>
        </w:tc>
        <w:tc>
          <w:tcPr>
            <w:tcW w:w="501" w:type="dxa"/>
            <w:vAlign w:val="top"/>
          </w:tcPr>
          <w:p w14:paraId="1A198970">
            <w:pPr>
              <w:spacing w:line="271" w:lineRule="auto"/>
              <w:rPr>
                <w:rFonts w:ascii="Arial"/>
                <w:sz w:val="21"/>
              </w:rPr>
            </w:pPr>
          </w:p>
          <w:p w14:paraId="5D9B265D">
            <w:pPr>
              <w:pStyle w:val="7"/>
              <w:spacing w:before="58"/>
              <w:ind w:left="178"/>
              <w:rPr>
                <w:sz w:val="18"/>
                <w:szCs w:val="18"/>
              </w:rPr>
            </w:pPr>
            <w:r>
              <w:rPr>
                <w:spacing w:val="-10"/>
                <w:sz w:val="18"/>
                <w:szCs w:val="18"/>
              </w:rPr>
              <w:t>10</w:t>
            </w:r>
          </w:p>
        </w:tc>
        <w:tc>
          <w:tcPr>
            <w:tcW w:w="1915" w:type="dxa"/>
            <w:vAlign w:val="top"/>
          </w:tcPr>
          <w:p w14:paraId="44D9D723">
            <w:pPr>
              <w:pStyle w:val="7"/>
              <w:spacing w:before="29" w:line="219" w:lineRule="auto"/>
              <w:ind w:left="244"/>
              <w:rPr>
                <w:sz w:val="18"/>
                <w:szCs w:val="18"/>
              </w:rPr>
            </w:pPr>
            <w:r>
              <w:rPr>
                <w:spacing w:val="-2"/>
                <w:sz w:val="18"/>
                <w:szCs w:val="18"/>
              </w:rPr>
              <w:t>查看记录及测试小</w:t>
            </w:r>
          </w:p>
          <w:p w14:paraId="3EA28B40">
            <w:pPr>
              <w:pStyle w:val="7"/>
              <w:spacing w:before="88" w:line="219" w:lineRule="auto"/>
              <w:ind w:left="155"/>
              <w:rPr>
                <w:sz w:val="18"/>
                <w:szCs w:val="18"/>
              </w:rPr>
            </w:pPr>
            <w:r>
              <w:rPr>
                <w:spacing w:val="-1"/>
                <w:sz w:val="18"/>
                <w:szCs w:val="18"/>
              </w:rPr>
              <w:t>票，与报警系统记录</w:t>
            </w:r>
          </w:p>
          <w:p w14:paraId="329D76D1">
            <w:pPr>
              <w:pStyle w:val="7"/>
              <w:spacing w:before="88" w:line="221" w:lineRule="auto"/>
              <w:ind w:left="802"/>
              <w:rPr>
                <w:sz w:val="18"/>
                <w:szCs w:val="18"/>
              </w:rPr>
            </w:pPr>
            <w:r>
              <w:rPr>
                <w:spacing w:val="-14"/>
                <w:sz w:val="18"/>
                <w:szCs w:val="18"/>
              </w:rPr>
              <w:t>比对</w:t>
            </w:r>
          </w:p>
        </w:tc>
        <w:tc>
          <w:tcPr>
            <w:tcW w:w="803" w:type="dxa"/>
            <w:vAlign w:val="top"/>
          </w:tcPr>
          <w:p w14:paraId="37ABB591">
            <w:pPr>
              <w:rPr>
                <w:rFonts w:ascii="Arial"/>
                <w:sz w:val="21"/>
              </w:rPr>
            </w:pPr>
          </w:p>
        </w:tc>
        <w:tc>
          <w:tcPr>
            <w:tcW w:w="656" w:type="dxa"/>
            <w:vAlign w:val="top"/>
          </w:tcPr>
          <w:p w14:paraId="2A935C2A">
            <w:pPr>
              <w:rPr>
                <w:rFonts w:ascii="Arial"/>
                <w:sz w:val="21"/>
              </w:rPr>
            </w:pPr>
          </w:p>
        </w:tc>
      </w:tr>
      <w:tr w14:paraId="297EC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653" w:type="dxa"/>
            <w:vAlign w:val="top"/>
          </w:tcPr>
          <w:p w14:paraId="18E164CA">
            <w:pPr>
              <w:pStyle w:val="7"/>
              <w:spacing w:before="182"/>
              <w:ind w:left="290"/>
              <w:rPr>
                <w:sz w:val="18"/>
                <w:szCs w:val="18"/>
              </w:rPr>
            </w:pPr>
            <w:r>
              <w:rPr>
                <w:sz w:val="18"/>
                <w:szCs w:val="18"/>
              </w:rPr>
              <w:t>7</w:t>
            </w:r>
          </w:p>
        </w:tc>
        <w:tc>
          <w:tcPr>
            <w:tcW w:w="5233" w:type="dxa"/>
            <w:vAlign w:val="top"/>
          </w:tcPr>
          <w:p w14:paraId="21F88C57">
            <w:pPr>
              <w:pStyle w:val="7"/>
              <w:spacing w:before="32" w:line="219" w:lineRule="auto"/>
              <w:ind w:left="148"/>
              <w:rPr>
                <w:sz w:val="18"/>
                <w:szCs w:val="18"/>
              </w:rPr>
            </w:pPr>
            <w:r>
              <w:rPr>
                <w:spacing w:val="-1"/>
                <w:sz w:val="18"/>
                <w:szCs w:val="18"/>
              </w:rPr>
              <w:t>消防维保单位具有抢修服务联系电话</w:t>
            </w:r>
            <w:r>
              <w:rPr>
                <w:spacing w:val="-35"/>
                <w:sz w:val="18"/>
                <w:szCs w:val="18"/>
              </w:rPr>
              <w:t xml:space="preserve"> </w:t>
            </w:r>
            <w:r>
              <w:rPr>
                <w:spacing w:val="-1"/>
                <w:sz w:val="18"/>
                <w:szCs w:val="18"/>
              </w:rPr>
              <w:t>24</w:t>
            </w:r>
            <w:r>
              <w:rPr>
                <w:spacing w:val="-34"/>
                <w:sz w:val="18"/>
                <w:szCs w:val="18"/>
              </w:rPr>
              <w:t xml:space="preserve"> </w:t>
            </w:r>
            <w:r>
              <w:rPr>
                <w:spacing w:val="-1"/>
                <w:sz w:val="18"/>
                <w:szCs w:val="18"/>
              </w:rPr>
              <w:t>小时保持畅通</w:t>
            </w:r>
            <w:r>
              <w:rPr>
                <w:spacing w:val="-2"/>
                <w:sz w:val="18"/>
                <w:szCs w:val="18"/>
              </w:rPr>
              <w:t>，联系不</w:t>
            </w:r>
          </w:p>
          <w:p w14:paraId="215B6C56">
            <w:pPr>
              <w:pStyle w:val="7"/>
              <w:spacing w:before="88" w:line="219" w:lineRule="auto"/>
              <w:ind w:left="2037"/>
              <w:rPr>
                <w:sz w:val="18"/>
                <w:szCs w:val="18"/>
              </w:rPr>
            </w:pPr>
            <w:r>
              <w:rPr>
                <w:spacing w:val="-4"/>
                <w:sz w:val="18"/>
                <w:szCs w:val="18"/>
              </w:rPr>
              <w:t>上扣</w:t>
            </w:r>
            <w:r>
              <w:rPr>
                <w:spacing w:val="-32"/>
                <w:sz w:val="18"/>
                <w:szCs w:val="18"/>
              </w:rPr>
              <w:t xml:space="preserve"> </w:t>
            </w:r>
            <w:r>
              <w:rPr>
                <w:spacing w:val="-4"/>
                <w:sz w:val="18"/>
                <w:szCs w:val="18"/>
              </w:rPr>
              <w:t>0.5</w:t>
            </w:r>
            <w:r>
              <w:rPr>
                <w:spacing w:val="-36"/>
                <w:sz w:val="18"/>
                <w:szCs w:val="18"/>
              </w:rPr>
              <w:t xml:space="preserve"> </w:t>
            </w:r>
            <w:r>
              <w:rPr>
                <w:spacing w:val="-4"/>
                <w:sz w:val="18"/>
                <w:szCs w:val="18"/>
              </w:rPr>
              <w:t>分/次</w:t>
            </w:r>
          </w:p>
        </w:tc>
        <w:tc>
          <w:tcPr>
            <w:tcW w:w="501" w:type="dxa"/>
            <w:vAlign w:val="top"/>
          </w:tcPr>
          <w:p w14:paraId="7D4A1B0A">
            <w:pPr>
              <w:pStyle w:val="7"/>
              <w:spacing w:before="182"/>
              <w:ind w:left="214"/>
              <w:rPr>
                <w:sz w:val="18"/>
                <w:szCs w:val="18"/>
              </w:rPr>
            </w:pPr>
            <w:r>
              <w:rPr>
                <w:sz w:val="18"/>
                <w:szCs w:val="18"/>
              </w:rPr>
              <w:t>5</w:t>
            </w:r>
          </w:p>
        </w:tc>
        <w:tc>
          <w:tcPr>
            <w:tcW w:w="1915" w:type="dxa"/>
            <w:vAlign w:val="top"/>
          </w:tcPr>
          <w:p w14:paraId="22A2BBE3">
            <w:pPr>
              <w:pStyle w:val="7"/>
              <w:spacing w:before="183" w:line="218" w:lineRule="auto"/>
              <w:ind w:left="335"/>
              <w:rPr>
                <w:sz w:val="18"/>
                <w:szCs w:val="18"/>
              </w:rPr>
            </w:pPr>
            <w:r>
              <w:rPr>
                <w:spacing w:val="-2"/>
                <w:sz w:val="18"/>
                <w:szCs w:val="18"/>
              </w:rPr>
              <w:t>按实际情况评价</w:t>
            </w:r>
          </w:p>
        </w:tc>
        <w:tc>
          <w:tcPr>
            <w:tcW w:w="803" w:type="dxa"/>
            <w:vAlign w:val="top"/>
          </w:tcPr>
          <w:p w14:paraId="09E66ACF">
            <w:pPr>
              <w:rPr>
                <w:rFonts w:ascii="Arial"/>
                <w:sz w:val="21"/>
              </w:rPr>
            </w:pPr>
          </w:p>
        </w:tc>
        <w:tc>
          <w:tcPr>
            <w:tcW w:w="656" w:type="dxa"/>
            <w:vAlign w:val="top"/>
          </w:tcPr>
          <w:p w14:paraId="4208A8F1">
            <w:pPr>
              <w:rPr>
                <w:rFonts w:ascii="Arial"/>
                <w:sz w:val="21"/>
              </w:rPr>
            </w:pPr>
          </w:p>
        </w:tc>
      </w:tr>
      <w:tr w14:paraId="305ECE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653" w:type="dxa"/>
            <w:vAlign w:val="top"/>
          </w:tcPr>
          <w:p w14:paraId="59CA55D7">
            <w:pPr>
              <w:pStyle w:val="7"/>
              <w:spacing w:before="182"/>
              <w:ind w:left="287"/>
              <w:rPr>
                <w:sz w:val="18"/>
                <w:szCs w:val="18"/>
              </w:rPr>
            </w:pPr>
            <w:r>
              <w:rPr>
                <w:sz w:val="18"/>
                <w:szCs w:val="18"/>
              </w:rPr>
              <w:t>8</w:t>
            </w:r>
          </w:p>
        </w:tc>
        <w:tc>
          <w:tcPr>
            <w:tcW w:w="5233" w:type="dxa"/>
            <w:vAlign w:val="top"/>
          </w:tcPr>
          <w:p w14:paraId="32E4A0D8">
            <w:pPr>
              <w:pStyle w:val="7"/>
              <w:spacing w:before="32" w:line="292" w:lineRule="auto"/>
              <w:ind w:left="191" w:right="103" w:hanging="77"/>
              <w:rPr>
                <w:sz w:val="18"/>
                <w:szCs w:val="18"/>
              </w:rPr>
            </w:pPr>
            <w:r>
              <w:rPr>
                <w:sz w:val="18"/>
                <w:szCs w:val="18"/>
              </w:rPr>
              <w:t>消防设施出现故障，维保单位接到报修后，一般故障8</w:t>
            </w:r>
            <w:r>
              <w:rPr>
                <w:spacing w:val="-31"/>
                <w:sz w:val="18"/>
                <w:szCs w:val="18"/>
              </w:rPr>
              <w:t xml:space="preserve"> </w:t>
            </w:r>
            <w:r>
              <w:rPr>
                <w:sz w:val="18"/>
                <w:szCs w:val="18"/>
              </w:rPr>
              <w:t>小时内完成，需更换部件的</w:t>
            </w:r>
            <w:r>
              <w:rPr>
                <w:spacing w:val="-31"/>
                <w:sz w:val="18"/>
                <w:szCs w:val="18"/>
              </w:rPr>
              <w:t xml:space="preserve"> </w:t>
            </w:r>
            <w:r>
              <w:rPr>
                <w:sz w:val="18"/>
                <w:szCs w:val="18"/>
              </w:rPr>
              <w:t>24</w:t>
            </w:r>
            <w:r>
              <w:rPr>
                <w:spacing w:val="-34"/>
                <w:sz w:val="18"/>
                <w:szCs w:val="18"/>
              </w:rPr>
              <w:t xml:space="preserve"> </w:t>
            </w:r>
            <w:r>
              <w:rPr>
                <w:sz w:val="18"/>
                <w:szCs w:val="18"/>
              </w:rPr>
              <w:t>小时内完成，未按时排除故障扣2</w:t>
            </w:r>
            <w:r>
              <w:rPr>
                <w:spacing w:val="-34"/>
                <w:sz w:val="18"/>
                <w:szCs w:val="18"/>
              </w:rPr>
              <w:t xml:space="preserve"> </w:t>
            </w:r>
            <w:r>
              <w:rPr>
                <w:sz w:val="18"/>
                <w:szCs w:val="18"/>
              </w:rPr>
              <w:t>分/次</w:t>
            </w:r>
          </w:p>
        </w:tc>
        <w:tc>
          <w:tcPr>
            <w:tcW w:w="501" w:type="dxa"/>
            <w:vAlign w:val="top"/>
          </w:tcPr>
          <w:p w14:paraId="04EDFB9A">
            <w:pPr>
              <w:pStyle w:val="7"/>
              <w:spacing w:before="182"/>
              <w:ind w:left="178"/>
              <w:rPr>
                <w:sz w:val="18"/>
                <w:szCs w:val="18"/>
              </w:rPr>
            </w:pPr>
            <w:r>
              <w:rPr>
                <w:spacing w:val="-10"/>
                <w:sz w:val="18"/>
                <w:szCs w:val="18"/>
              </w:rPr>
              <w:t>10</w:t>
            </w:r>
          </w:p>
        </w:tc>
        <w:tc>
          <w:tcPr>
            <w:tcW w:w="1915" w:type="dxa"/>
            <w:vAlign w:val="top"/>
          </w:tcPr>
          <w:p w14:paraId="023ED36C">
            <w:pPr>
              <w:pStyle w:val="7"/>
              <w:spacing w:before="183" w:line="219" w:lineRule="auto"/>
              <w:ind w:left="244"/>
              <w:rPr>
                <w:sz w:val="18"/>
                <w:szCs w:val="18"/>
              </w:rPr>
            </w:pPr>
            <w:r>
              <w:rPr>
                <w:spacing w:val="-2"/>
                <w:sz w:val="18"/>
                <w:szCs w:val="18"/>
              </w:rPr>
              <w:t>核对故障处理时间</w:t>
            </w:r>
          </w:p>
        </w:tc>
        <w:tc>
          <w:tcPr>
            <w:tcW w:w="803" w:type="dxa"/>
            <w:vAlign w:val="top"/>
          </w:tcPr>
          <w:p w14:paraId="03D817A8">
            <w:pPr>
              <w:rPr>
                <w:rFonts w:ascii="Arial"/>
                <w:sz w:val="21"/>
              </w:rPr>
            </w:pPr>
          </w:p>
        </w:tc>
        <w:tc>
          <w:tcPr>
            <w:tcW w:w="656" w:type="dxa"/>
            <w:vAlign w:val="top"/>
          </w:tcPr>
          <w:p w14:paraId="02FD66BB">
            <w:pPr>
              <w:rPr>
                <w:rFonts w:ascii="Arial"/>
                <w:sz w:val="21"/>
              </w:rPr>
            </w:pPr>
          </w:p>
        </w:tc>
      </w:tr>
      <w:tr w14:paraId="72A3DD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653" w:type="dxa"/>
            <w:vAlign w:val="top"/>
          </w:tcPr>
          <w:p w14:paraId="3DBA41EA">
            <w:pPr>
              <w:pStyle w:val="7"/>
              <w:spacing w:before="179"/>
              <w:ind w:left="287"/>
              <w:rPr>
                <w:sz w:val="18"/>
                <w:szCs w:val="18"/>
              </w:rPr>
            </w:pPr>
            <w:r>
              <w:rPr>
                <w:sz w:val="18"/>
                <w:szCs w:val="18"/>
              </w:rPr>
              <w:t>9</w:t>
            </w:r>
          </w:p>
        </w:tc>
        <w:tc>
          <w:tcPr>
            <w:tcW w:w="5233" w:type="dxa"/>
            <w:vAlign w:val="top"/>
          </w:tcPr>
          <w:p w14:paraId="2C449FE9">
            <w:pPr>
              <w:pStyle w:val="7"/>
              <w:spacing w:before="28" w:line="219" w:lineRule="auto"/>
              <w:ind w:left="110"/>
              <w:rPr>
                <w:sz w:val="18"/>
                <w:szCs w:val="18"/>
              </w:rPr>
            </w:pPr>
            <w:r>
              <w:rPr>
                <w:spacing w:val="-1"/>
                <w:sz w:val="18"/>
                <w:szCs w:val="18"/>
              </w:rPr>
              <w:t>对现场点位表与消防主机进行校对，确保点位表与消防报警主机</w:t>
            </w:r>
          </w:p>
          <w:p w14:paraId="64CB9274">
            <w:pPr>
              <w:pStyle w:val="7"/>
              <w:spacing w:before="91" w:line="220" w:lineRule="auto"/>
              <w:ind w:left="1654"/>
              <w:rPr>
                <w:sz w:val="18"/>
                <w:szCs w:val="18"/>
              </w:rPr>
            </w:pPr>
            <w:r>
              <w:rPr>
                <w:spacing w:val="-4"/>
                <w:sz w:val="18"/>
                <w:szCs w:val="18"/>
              </w:rPr>
              <w:t>一致，1</w:t>
            </w:r>
            <w:r>
              <w:rPr>
                <w:spacing w:val="-31"/>
                <w:sz w:val="18"/>
                <w:szCs w:val="18"/>
              </w:rPr>
              <w:t xml:space="preserve"> </w:t>
            </w:r>
            <w:r>
              <w:rPr>
                <w:spacing w:val="-4"/>
                <w:sz w:val="18"/>
                <w:szCs w:val="18"/>
              </w:rPr>
              <w:t>处不一致扣</w:t>
            </w:r>
            <w:r>
              <w:rPr>
                <w:spacing w:val="-26"/>
                <w:sz w:val="18"/>
                <w:szCs w:val="18"/>
              </w:rPr>
              <w:t xml:space="preserve"> </w:t>
            </w:r>
            <w:r>
              <w:rPr>
                <w:spacing w:val="-4"/>
                <w:sz w:val="18"/>
                <w:szCs w:val="18"/>
              </w:rPr>
              <w:t>1</w:t>
            </w:r>
            <w:r>
              <w:rPr>
                <w:spacing w:val="-34"/>
                <w:sz w:val="18"/>
                <w:szCs w:val="18"/>
              </w:rPr>
              <w:t xml:space="preserve"> </w:t>
            </w:r>
            <w:r>
              <w:rPr>
                <w:spacing w:val="-4"/>
                <w:sz w:val="18"/>
                <w:szCs w:val="18"/>
              </w:rPr>
              <w:t>分</w:t>
            </w:r>
          </w:p>
        </w:tc>
        <w:tc>
          <w:tcPr>
            <w:tcW w:w="501" w:type="dxa"/>
            <w:vAlign w:val="top"/>
          </w:tcPr>
          <w:p w14:paraId="2FE1BE78">
            <w:pPr>
              <w:pStyle w:val="7"/>
              <w:spacing w:before="179"/>
              <w:ind w:left="212"/>
              <w:rPr>
                <w:sz w:val="18"/>
                <w:szCs w:val="18"/>
              </w:rPr>
            </w:pPr>
            <w:r>
              <w:rPr>
                <w:sz w:val="18"/>
                <w:szCs w:val="18"/>
              </w:rPr>
              <w:t>6</w:t>
            </w:r>
          </w:p>
        </w:tc>
        <w:tc>
          <w:tcPr>
            <w:tcW w:w="1915" w:type="dxa"/>
            <w:vAlign w:val="top"/>
          </w:tcPr>
          <w:p w14:paraId="53F77859">
            <w:pPr>
              <w:pStyle w:val="7"/>
              <w:spacing w:before="29" w:line="219" w:lineRule="auto"/>
              <w:ind w:left="154"/>
              <w:rPr>
                <w:sz w:val="18"/>
                <w:szCs w:val="18"/>
              </w:rPr>
            </w:pPr>
            <w:r>
              <w:rPr>
                <w:spacing w:val="-1"/>
                <w:sz w:val="18"/>
                <w:szCs w:val="18"/>
              </w:rPr>
              <w:t>测试小票与点位表比</w:t>
            </w:r>
          </w:p>
          <w:p w14:paraId="3F60E0BE">
            <w:pPr>
              <w:pStyle w:val="7"/>
              <w:spacing w:before="90" w:line="221" w:lineRule="auto"/>
              <w:ind w:left="873"/>
              <w:rPr>
                <w:sz w:val="18"/>
                <w:szCs w:val="18"/>
              </w:rPr>
            </w:pPr>
            <w:r>
              <w:rPr>
                <w:sz w:val="18"/>
                <w:szCs w:val="18"/>
              </w:rPr>
              <w:t>对</w:t>
            </w:r>
          </w:p>
        </w:tc>
        <w:tc>
          <w:tcPr>
            <w:tcW w:w="803" w:type="dxa"/>
            <w:vAlign w:val="top"/>
          </w:tcPr>
          <w:p w14:paraId="45AC2381">
            <w:pPr>
              <w:rPr>
                <w:rFonts w:ascii="Arial"/>
                <w:sz w:val="21"/>
              </w:rPr>
            </w:pPr>
          </w:p>
        </w:tc>
        <w:tc>
          <w:tcPr>
            <w:tcW w:w="656" w:type="dxa"/>
            <w:vAlign w:val="top"/>
          </w:tcPr>
          <w:p w14:paraId="1518C6CB">
            <w:pPr>
              <w:rPr>
                <w:rFonts w:ascii="Arial"/>
                <w:sz w:val="21"/>
              </w:rPr>
            </w:pPr>
          </w:p>
        </w:tc>
      </w:tr>
      <w:tr w14:paraId="62FD8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653" w:type="dxa"/>
            <w:vAlign w:val="top"/>
          </w:tcPr>
          <w:p w14:paraId="129F3B47">
            <w:pPr>
              <w:pStyle w:val="7"/>
              <w:spacing w:before="179"/>
              <w:ind w:left="254"/>
              <w:rPr>
                <w:sz w:val="18"/>
                <w:szCs w:val="18"/>
              </w:rPr>
            </w:pPr>
            <w:r>
              <w:rPr>
                <w:spacing w:val="-10"/>
                <w:sz w:val="18"/>
                <w:szCs w:val="18"/>
              </w:rPr>
              <w:t>10</w:t>
            </w:r>
          </w:p>
        </w:tc>
        <w:tc>
          <w:tcPr>
            <w:tcW w:w="5233" w:type="dxa"/>
            <w:vAlign w:val="top"/>
          </w:tcPr>
          <w:p w14:paraId="73AEED3F">
            <w:pPr>
              <w:pStyle w:val="7"/>
              <w:spacing w:before="31" w:line="219" w:lineRule="auto"/>
              <w:ind w:left="115"/>
              <w:rPr>
                <w:sz w:val="18"/>
                <w:szCs w:val="18"/>
              </w:rPr>
            </w:pPr>
            <w:r>
              <w:rPr>
                <w:spacing w:val="-1"/>
                <w:sz w:val="18"/>
                <w:szCs w:val="18"/>
              </w:rPr>
              <w:t>定期对所有的烟(温)感探测器清理一次、确保其灵敏度，</w:t>
            </w:r>
            <w:r>
              <w:rPr>
                <w:spacing w:val="-2"/>
                <w:sz w:val="18"/>
                <w:szCs w:val="18"/>
              </w:rPr>
              <w:t>使其功</w:t>
            </w:r>
          </w:p>
          <w:p w14:paraId="2601B81C">
            <w:pPr>
              <w:pStyle w:val="7"/>
              <w:spacing w:before="88" w:line="220" w:lineRule="auto"/>
              <w:ind w:left="1728"/>
              <w:rPr>
                <w:sz w:val="18"/>
                <w:szCs w:val="18"/>
              </w:rPr>
            </w:pPr>
            <w:r>
              <w:rPr>
                <w:spacing w:val="2"/>
                <w:sz w:val="18"/>
                <w:szCs w:val="18"/>
              </w:rPr>
              <w:t>能达标，未清理扣5</w:t>
            </w:r>
            <w:r>
              <w:rPr>
                <w:spacing w:val="-26"/>
                <w:sz w:val="18"/>
                <w:szCs w:val="18"/>
              </w:rPr>
              <w:t xml:space="preserve"> </w:t>
            </w:r>
            <w:r>
              <w:rPr>
                <w:spacing w:val="2"/>
                <w:sz w:val="18"/>
                <w:szCs w:val="18"/>
              </w:rPr>
              <w:t>分</w:t>
            </w:r>
          </w:p>
        </w:tc>
        <w:tc>
          <w:tcPr>
            <w:tcW w:w="501" w:type="dxa"/>
            <w:vAlign w:val="top"/>
          </w:tcPr>
          <w:p w14:paraId="3502E8A6">
            <w:pPr>
              <w:pStyle w:val="7"/>
              <w:spacing w:before="179"/>
              <w:ind w:left="214"/>
              <w:rPr>
                <w:sz w:val="18"/>
                <w:szCs w:val="18"/>
              </w:rPr>
            </w:pPr>
            <w:r>
              <w:rPr>
                <w:sz w:val="18"/>
                <w:szCs w:val="18"/>
              </w:rPr>
              <w:t>5</w:t>
            </w:r>
          </w:p>
        </w:tc>
        <w:tc>
          <w:tcPr>
            <w:tcW w:w="1915" w:type="dxa"/>
            <w:vAlign w:val="top"/>
          </w:tcPr>
          <w:p w14:paraId="10E337EC">
            <w:pPr>
              <w:pStyle w:val="7"/>
              <w:spacing w:before="180" w:line="219" w:lineRule="auto"/>
              <w:ind w:left="244"/>
              <w:rPr>
                <w:sz w:val="18"/>
                <w:szCs w:val="18"/>
              </w:rPr>
            </w:pPr>
            <w:r>
              <w:rPr>
                <w:spacing w:val="-2"/>
                <w:sz w:val="18"/>
                <w:szCs w:val="18"/>
              </w:rPr>
              <w:t>查看清理更换记录</w:t>
            </w:r>
          </w:p>
        </w:tc>
        <w:tc>
          <w:tcPr>
            <w:tcW w:w="803" w:type="dxa"/>
            <w:vAlign w:val="top"/>
          </w:tcPr>
          <w:p w14:paraId="3F05C9B7">
            <w:pPr>
              <w:rPr>
                <w:rFonts w:ascii="Arial"/>
                <w:sz w:val="21"/>
              </w:rPr>
            </w:pPr>
          </w:p>
        </w:tc>
        <w:tc>
          <w:tcPr>
            <w:tcW w:w="656" w:type="dxa"/>
            <w:vAlign w:val="top"/>
          </w:tcPr>
          <w:p w14:paraId="6092F525">
            <w:pPr>
              <w:rPr>
                <w:rFonts w:ascii="Arial"/>
                <w:sz w:val="21"/>
              </w:rPr>
            </w:pPr>
          </w:p>
        </w:tc>
      </w:tr>
      <w:tr w14:paraId="6A112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653" w:type="dxa"/>
            <w:vAlign w:val="top"/>
          </w:tcPr>
          <w:p w14:paraId="67B5E37C">
            <w:pPr>
              <w:pStyle w:val="7"/>
              <w:spacing w:before="182" w:line="241" w:lineRule="auto"/>
              <w:ind w:left="254"/>
              <w:rPr>
                <w:sz w:val="18"/>
                <w:szCs w:val="18"/>
              </w:rPr>
            </w:pPr>
            <w:r>
              <w:rPr>
                <w:spacing w:val="-10"/>
                <w:sz w:val="18"/>
                <w:szCs w:val="18"/>
              </w:rPr>
              <w:t>11</w:t>
            </w:r>
          </w:p>
        </w:tc>
        <w:tc>
          <w:tcPr>
            <w:tcW w:w="5233" w:type="dxa"/>
            <w:vAlign w:val="top"/>
          </w:tcPr>
          <w:p w14:paraId="6FBD5501">
            <w:pPr>
              <w:pStyle w:val="7"/>
              <w:spacing w:before="31" w:line="218" w:lineRule="auto"/>
              <w:ind w:left="111"/>
              <w:rPr>
                <w:sz w:val="18"/>
                <w:szCs w:val="18"/>
              </w:rPr>
            </w:pPr>
            <w:r>
              <w:rPr>
                <w:spacing w:val="-1"/>
                <w:sz w:val="18"/>
                <w:szCs w:val="18"/>
              </w:rPr>
              <w:t>每年对消防系统进行一次综合实验。出具检测报告未出具检测报</w:t>
            </w:r>
          </w:p>
          <w:p w14:paraId="4EB0B334">
            <w:pPr>
              <w:pStyle w:val="7"/>
              <w:spacing w:before="89" w:line="218" w:lineRule="auto"/>
              <w:ind w:left="2265"/>
              <w:rPr>
                <w:sz w:val="18"/>
                <w:szCs w:val="18"/>
              </w:rPr>
            </w:pPr>
            <w:r>
              <w:rPr>
                <w:spacing w:val="7"/>
                <w:sz w:val="18"/>
                <w:szCs w:val="18"/>
              </w:rPr>
              <w:t>告扣2</w:t>
            </w:r>
            <w:r>
              <w:rPr>
                <w:spacing w:val="-32"/>
                <w:sz w:val="18"/>
                <w:szCs w:val="18"/>
              </w:rPr>
              <w:t xml:space="preserve"> </w:t>
            </w:r>
            <w:r>
              <w:rPr>
                <w:spacing w:val="7"/>
                <w:sz w:val="18"/>
                <w:szCs w:val="18"/>
              </w:rPr>
              <w:t>分</w:t>
            </w:r>
          </w:p>
        </w:tc>
        <w:tc>
          <w:tcPr>
            <w:tcW w:w="501" w:type="dxa"/>
            <w:vAlign w:val="top"/>
          </w:tcPr>
          <w:p w14:paraId="5CED6DEC">
            <w:pPr>
              <w:pStyle w:val="7"/>
              <w:spacing w:before="182" w:line="241" w:lineRule="auto"/>
              <w:ind w:left="212"/>
              <w:rPr>
                <w:sz w:val="18"/>
                <w:szCs w:val="18"/>
              </w:rPr>
            </w:pPr>
            <w:r>
              <w:rPr>
                <w:sz w:val="18"/>
                <w:szCs w:val="18"/>
              </w:rPr>
              <w:t>2</w:t>
            </w:r>
          </w:p>
        </w:tc>
        <w:tc>
          <w:tcPr>
            <w:tcW w:w="1915" w:type="dxa"/>
            <w:vAlign w:val="top"/>
          </w:tcPr>
          <w:p w14:paraId="5155F2FE">
            <w:pPr>
              <w:pStyle w:val="7"/>
              <w:spacing w:before="31" w:line="218" w:lineRule="auto"/>
              <w:ind w:left="155"/>
              <w:rPr>
                <w:sz w:val="18"/>
                <w:szCs w:val="18"/>
              </w:rPr>
            </w:pPr>
            <w:r>
              <w:rPr>
                <w:spacing w:val="-2"/>
                <w:sz w:val="18"/>
                <w:szCs w:val="18"/>
              </w:rPr>
              <w:t>查看检测报告及检测</w:t>
            </w:r>
          </w:p>
          <w:p w14:paraId="059643E9">
            <w:pPr>
              <w:pStyle w:val="7"/>
              <w:spacing w:before="89" w:line="220" w:lineRule="auto"/>
              <w:ind w:left="790"/>
              <w:rPr>
                <w:sz w:val="18"/>
                <w:szCs w:val="18"/>
              </w:rPr>
            </w:pPr>
            <w:r>
              <w:rPr>
                <w:spacing w:val="-8"/>
                <w:sz w:val="18"/>
                <w:szCs w:val="18"/>
              </w:rPr>
              <w:t>资料</w:t>
            </w:r>
          </w:p>
        </w:tc>
        <w:tc>
          <w:tcPr>
            <w:tcW w:w="803" w:type="dxa"/>
            <w:vAlign w:val="top"/>
          </w:tcPr>
          <w:p w14:paraId="502F1C5C">
            <w:pPr>
              <w:rPr>
                <w:rFonts w:ascii="Arial"/>
                <w:sz w:val="21"/>
              </w:rPr>
            </w:pPr>
          </w:p>
        </w:tc>
        <w:tc>
          <w:tcPr>
            <w:tcW w:w="656" w:type="dxa"/>
            <w:vAlign w:val="top"/>
          </w:tcPr>
          <w:p w14:paraId="3B682473">
            <w:pPr>
              <w:rPr>
                <w:rFonts w:ascii="Arial"/>
                <w:sz w:val="21"/>
              </w:rPr>
            </w:pPr>
          </w:p>
        </w:tc>
      </w:tr>
      <w:tr w14:paraId="4B15B9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653" w:type="dxa"/>
            <w:vAlign w:val="top"/>
          </w:tcPr>
          <w:p w14:paraId="09562287">
            <w:pPr>
              <w:pStyle w:val="7"/>
              <w:spacing w:before="182" w:line="241" w:lineRule="auto"/>
              <w:ind w:left="254"/>
              <w:rPr>
                <w:sz w:val="18"/>
                <w:szCs w:val="18"/>
              </w:rPr>
            </w:pPr>
            <w:r>
              <w:rPr>
                <w:spacing w:val="-10"/>
                <w:sz w:val="18"/>
                <w:szCs w:val="18"/>
              </w:rPr>
              <w:t>12</w:t>
            </w:r>
          </w:p>
        </w:tc>
        <w:tc>
          <w:tcPr>
            <w:tcW w:w="5233" w:type="dxa"/>
            <w:vAlign w:val="top"/>
          </w:tcPr>
          <w:p w14:paraId="2C460B75">
            <w:pPr>
              <w:pStyle w:val="7"/>
              <w:spacing w:before="30" w:line="293" w:lineRule="auto"/>
              <w:ind w:left="113" w:right="103"/>
              <w:rPr>
                <w:sz w:val="18"/>
                <w:szCs w:val="18"/>
              </w:rPr>
            </w:pPr>
            <w:r>
              <w:rPr>
                <w:spacing w:val="-2"/>
                <w:sz w:val="18"/>
                <w:szCs w:val="18"/>
              </w:rPr>
              <w:t>消防维保项目内容。甲方人员检查时每发现一处不合格扣</w:t>
            </w:r>
            <w:r>
              <w:rPr>
                <w:spacing w:val="-29"/>
                <w:sz w:val="18"/>
                <w:szCs w:val="18"/>
              </w:rPr>
              <w:t xml:space="preserve"> </w:t>
            </w:r>
            <w:r>
              <w:rPr>
                <w:spacing w:val="-2"/>
                <w:sz w:val="18"/>
                <w:szCs w:val="18"/>
              </w:rPr>
              <w:t>2</w:t>
            </w:r>
            <w:r>
              <w:rPr>
                <w:spacing w:val="-36"/>
                <w:sz w:val="18"/>
                <w:szCs w:val="18"/>
              </w:rPr>
              <w:t xml:space="preserve"> </w:t>
            </w:r>
            <w:r>
              <w:rPr>
                <w:spacing w:val="-2"/>
                <w:sz w:val="18"/>
                <w:szCs w:val="18"/>
              </w:rPr>
              <w:t>分，</w:t>
            </w:r>
            <w:r>
              <w:rPr>
                <w:spacing w:val="-1"/>
                <w:sz w:val="18"/>
                <w:szCs w:val="18"/>
              </w:rPr>
              <w:t>如消防设施损坏、不能正常运行、擅自关闭或屏蔽消防报</w:t>
            </w:r>
            <w:r>
              <w:rPr>
                <w:spacing w:val="-2"/>
                <w:sz w:val="18"/>
                <w:szCs w:val="18"/>
              </w:rPr>
              <w:t>警器等</w:t>
            </w:r>
          </w:p>
        </w:tc>
        <w:tc>
          <w:tcPr>
            <w:tcW w:w="501" w:type="dxa"/>
            <w:vAlign w:val="top"/>
          </w:tcPr>
          <w:p w14:paraId="2A8DFB94">
            <w:pPr>
              <w:pStyle w:val="7"/>
              <w:spacing w:before="181"/>
              <w:ind w:left="178"/>
              <w:rPr>
                <w:sz w:val="18"/>
                <w:szCs w:val="18"/>
              </w:rPr>
            </w:pPr>
            <w:r>
              <w:rPr>
                <w:spacing w:val="-10"/>
                <w:sz w:val="18"/>
                <w:szCs w:val="18"/>
              </w:rPr>
              <w:t>10</w:t>
            </w:r>
          </w:p>
        </w:tc>
        <w:tc>
          <w:tcPr>
            <w:tcW w:w="1915" w:type="dxa"/>
            <w:vAlign w:val="top"/>
          </w:tcPr>
          <w:p w14:paraId="75A5F15A">
            <w:pPr>
              <w:pStyle w:val="7"/>
              <w:spacing w:before="182" w:line="219" w:lineRule="auto"/>
              <w:ind w:left="604"/>
              <w:rPr>
                <w:sz w:val="18"/>
                <w:szCs w:val="18"/>
              </w:rPr>
            </w:pPr>
            <w:r>
              <w:rPr>
                <w:spacing w:val="-3"/>
                <w:sz w:val="18"/>
                <w:szCs w:val="18"/>
              </w:rPr>
              <w:t>现场检查</w:t>
            </w:r>
          </w:p>
        </w:tc>
        <w:tc>
          <w:tcPr>
            <w:tcW w:w="803" w:type="dxa"/>
            <w:vAlign w:val="top"/>
          </w:tcPr>
          <w:p w14:paraId="0C17F0A9">
            <w:pPr>
              <w:rPr>
                <w:rFonts w:ascii="Arial"/>
                <w:sz w:val="21"/>
              </w:rPr>
            </w:pPr>
          </w:p>
        </w:tc>
        <w:tc>
          <w:tcPr>
            <w:tcW w:w="656" w:type="dxa"/>
            <w:vAlign w:val="top"/>
          </w:tcPr>
          <w:p w14:paraId="15E73C90">
            <w:pPr>
              <w:rPr>
                <w:rFonts w:ascii="Arial"/>
                <w:sz w:val="21"/>
              </w:rPr>
            </w:pPr>
          </w:p>
        </w:tc>
      </w:tr>
      <w:tr w14:paraId="0A37D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4" w:hRule="atLeast"/>
          <w:jc w:val="center"/>
        </w:trPr>
        <w:tc>
          <w:tcPr>
            <w:tcW w:w="653" w:type="dxa"/>
            <w:vAlign w:val="top"/>
          </w:tcPr>
          <w:p w14:paraId="0A535489">
            <w:pPr>
              <w:spacing w:line="272" w:lineRule="auto"/>
              <w:rPr>
                <w:rFonts w:ascii="Arial"/>
                <w:sz w:val="21"/>
              </w:rPr>
            </w:pPr>
          </w:p>
          <w:p w14:paraId="3208034B">
            <w:pPr>
              <w:pStyle w:val="7"/>
              <w:spacing w:before="59"/>
              <w:ind w:left="254"/>
              <w:rPr>
                <w:sz w:val="18"/>
                <w:szCs w:val="18"/>
              </w:rPr>
            </w:pPr>
            <w:r>
              <w:rPr>
                <w:spacing w:val="-10"/>
                <w:sz w:val="18"/>
                <w:szCs w:val="18"/>
              </w:rPr>
              <w:t>13</w:t>
            </w:r>
          </w:p>
        </w:tc>
        <w:tc>
          <w:tcPr>
            <w:tcW w:w="5233" w:type="dxa"/>
            <w:vAlign w:val="top"/>
          </w:tcPr>
          <w:p w14:paraId="0C549F90">
            <w:pPr>
              <w:pStyle w:val="7"/>
              <w:spacing w:before="30" w:line="219" w:lineRule="auto"/>
              <w:ind w:left="148"/>
              <w:rPr>
                <w:sz w:val="18"/>
                <w:szCs w:val="18"/>
              </w:rPr>
            </w:pPr>
            <w:r>
              <w:rPr>
                <w:spacing w:val="-1"/>
                <w:sz w:val="18"/>
                <w:szCs w:val="18"/>
              </w:rPr>
              <w:t>消防维保单位技术人员对值班人员进行培训(介绍系统的组成，</w:t>
            </w:r>
          </w:p>
          <w:p w14:paraId="26DC6704">
            <w:pPr>
              <w:pStyle w:val="7"/>
              <w:spacing w:before="89" w:line="219" w:lineRule="auto"/>
              <w:ind w:left="141"/>
              <w:rPr>
                <w:sz w:val="18"/>
                <w:szCs w:val="18"/>
              </w:rPr>
            </w:pPr>
            <w:r>
              <w:rPr>
                <w:spacing w:val="-4"/>
                <w:sz w:val="18"/>
                <w:szCs w:val="18"/>
              </w:rPr>
              <w:t>日常操作，注意事项，应急预案等)培训需有培训记录无记录扣</w:t>
            </w:r>
            <w:r>
              <w:rPr>
                <w:spacing w:val="-25"/>
                <w:sz w:val="18"/>
                <w:szCs w:val="18"/>
              </w:rPr>
              <w:t xml:space="preserve"> </w:t>
            </w:r>
            <w:r>
              <w:rPr>
                <w:spacing w:val="-4"/>
                <w:sz w:val="18"/>
                <w:szCs w:val="18"/>
              </w:rPr>
              <w:t>2</w:t>
            </w:r>
          </w:p>
          <w:p w14:paraId="51641B52">
            <w:pPr>
              <w:pStyle w:val="7"/>
              <w:spacing w:before="88" w:line="220" w:lineRule="auto"/>
              <w:ind w:left="2532"/>
              <w:rPr>
                <w:sz w:val="18"/>
                <w:szCs w:val="18"/>
              </w:rPr>
            </w:pPr>
            <w:r>
              <w:rPr>
                <w:sz w:val="18"/>
                <w:szCs w:val="18"/>
              </w:rPr>
              <w:t>分</w:t>
            </w:r>
          </w:p>
        </w:tc>
        <w:tc>
          <w:tcPr>
            <w:tcW w:w="501" w:type="dxa"/>
            <w:vAlign w:val="top"/>
          </w:tcPr>
          <w:p w14:paraId="362783FB">
            <w:pPr>
              <w:spacing w:line="272" w:lineRule="auto"/>
              <w:rPr>
                <w:rFonts w:ascii="Arial"/>
                <w:sz w:val="21"/>
              </w:rPr>
            </w:pPr>
          </w:p>
          <w:p w14:paraId="475F0D8F">
            <w:pPr>
              <w:pStyle w:val="7"/>
              <w:spacing w:before="59" w:line="241" w:lineRule="auto"/>
              <w:ind w:left="212"/>
              <w:rPr>
                <w:sz w:val="18"/>
                <w:szCs w:val="18"/>
              </w:rPr>
            </w:pPr>
            <w:r>
              <w:rPr>
                <w:sz w:val="18"/>
                <w:szCs w:val="18"/>
              </w:rPr>
              <w:t>2</w:t>
            </w:r>
          </w:p>
        </w:tc>
        <w:tc>
          <w:tcPr>
            <w:tcW w:w="1915" w:type="dxa"/>
            <w:vAlign w:val="top"/>
          </w:tcPr>
          <w:p w14:paraId="42199193">
            <w:pPr>
              <w:spacing w:line="273" w:lineRule="auto"/>
              <w:rPr>
                <w:rFonts w:ascii="Arial"/>
                <w:sz w:val="21"/>
              </w:rPr>
            </w:pPr>
          </w:p>
          <w:p w14:paraId="0BDF43CF">
            <w:pPr>
              <w:pStyle w:val="7"/>
              <w:spacing w:before="58" w:line="220" w:lineRule="auto"/>
              <w:ind w:left="438"/>
              <w:rPr>
                <w:sz w:val="18"/>
                <w:szCs w:val="18"/>
              </w:rPr>
            </w:pPr>
            <w:r>
              <w:rPr>
                <w:spacing w:val="-4"/>
                <w:sz w:val="18"/>
                <w:szCs w:val="18"/>
              </w:rPr>
              <w:t>出示培训记录</w:t>
            </w:r>
          </w:p>
        </w:tc>
        <w:tc>
          <w:tcPr>
            <w:tcW w:w="803" w:type="dxa"/>
            <w:vAlign w:val="top"/>
          </w:tcPr>
          <w:p w14:paraId="520717A3">
            <w:pPr>
              <w:rPr>
                <w:rFonts w:ascii="Arial"/>
                <w:sz w:val="21"/>
              </w:rPr>
            </w:pPr>
          </w:p>
        </w:tc>
        <w:tc>
          <w:tcPr>
            <w:tcW w:w="656" w:type="dxa"/>
            <w:vAlign w:val="top"/>
          </w:tcPr>
          <w:p w14:paraId="20C6D778">
            <w:pPr>
              <w:rPr>
                <w:rFonts w:ascii="Arial"/>
                <w:sz w:val="21"/>
              </w:rPr>
            </w:pPr>
          </w:p>
        </w:tc>
      </w:tr>
      <w:tr w14:paraId="4FCB3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653" w:type="dxa"/>
            <w:vAlign w:val="top"/>
          </w:tcPr>
          <w:p w14:paraId="385D5A4E">
            <w:pPr>
              <w:pStyle w:val="7"/>
              <w:spacing w:before="136" w:line="241" w:lineRule="auto"/>
              <w:ind w:left="254"/>
              <w:rPr>
                <w:sz w:val="18"/>
                <w:szCs w:val="18"/>
              </w:rPr>
            </w:pPr>
            <w:r>
              <w:rPr>
                <w:spacing w:val="-10"/>
                <w:sz w:val="18"/>
                <w:szCs w:val="18"/>
              </w:rPr>
              <w:t>14</w:t>
            </w:r>
          </w:p>
        </w:tc>
        <w:tc>
          <w:tcPr>
            <w:tcW w:w="7649" w:type="dxa"/>
            <w:gridSpan w:val="3"/>
            <w:vAlign w:val="top"/>
          </w:tcPr>
          <w:p w14:paraId="12B12180">
            <w:pPr>
              <w:pStyle w:val="7"/>
              <w:spacing w:before="136" w:line="216" w:lineRule="auto"/>
              <w:ind w:left="546"/>
              <w:rPr>
                <w:sz w:val="18"/>
                <w:szCs w:val="18"/>
              </w:rPr>
            </w:pPr>
            <w:r>
              <w:rPr>
                <w:spacing w:val="-1"/>
                <w:sz w:val="18"/>
                <w:szCs w:val="18"/>
              </w:rPr>
              <w:t>受到管理中心领导表扬加</w:t>
            </w:r>
            <w:r>
              <w:rPr>
                <w:spacing w:val="-33"/>
                <w:sz w:val="18"/>
                <w:szCs w:val="18"/>
              </w:rPr>
              <w:t xml:space="preserve"> </w:t>
            </w:r>
            <w:r>
              <w:rPr>
                <w:spacing w:val="-1"/>
                <w:sz w:val="18"/>
                <w:szCs w:val="18"/>
              </w:rPr>
              <w:t>3</w:t>
            </w:r>
            <w:r>
              <w:rPr>
                <w:spacing w:val="-37"/>
                <w:sz w:val="18"/>
                <w:szCs w:val="18"/>
              </w:rPr>
              <w:t xml:space="preserve"> </w:t>
            </w:r>
            <w:r>
              <w:rPr>
                <w:spacing w:val="-1"/>
                <w:sz w:val="18"/>
                <w:szCs w:val="18"/>
              </w:rPr>
              <w:t>分,事务中心分管领导表</w:t>
            </w:r>
            <w:r>
              <w:rPr>
                <w:spacing w:val="-2"/>
                <w:sz w:val="18"/>
                <w:szCs w:val="18"/>
              </w:rPr>
              <w:t>扬加</w:t>
            </w:r>
            <w:r>
              <w:rPr>
                <w:spacing w:val="-33"/>
                <w:sz w:val="18"/>
                <w:szCs w:val="18"/>
              </w:rPr>
              <w:t xml:space="preserve"> </w:t>
            </w:r>
            <w:r>
              <w:rPr>
                <w:spacing w:val="-2"/>
                <w:sz w:val="18"/>
                <w:szCs w:val="18"/>
              </w:rPr>
              <w:t>5</w:t>
            </w:r>
            <w:r>
              <w:rPr>
                <w:spacing w:val="-37"/>
                <w:sz w:val="18"/>
                <w:szCs w:val="18"/>
              </w:rPr>
              <w:t xml:space="preserve"> </w:t>
            </w:r>
            <w:r>
              <w:rPr>
                <w:spacing w:val="-2"/>
                <w:sz w:val="18"/>
                <w:szCs w:val="18"/>
              </w:rPr>
              <w:t>分，受到否决扣相应分值</w:t>
            </w:r>
          </w:p>
        </w:tc>
        <w:tc>
          <w:tcPr>
            <w:tcW w:w="803" w:type="dxa"/>
            <w:vAlign w:val="top"/>
          </w:tcPr>
          <w:p w14:paraId="03181939">
            <w:pPr>
              <w:rPr>
                <w:rFonts w:ascii="Arial"/>
                <w:sz w:val="21"/>
              </w:rPr>
            </w:pPr>
          </w:p>
        </w:tc>
        <w:tc>
          <w:tcPr>
            <w:tcW w:w="656" w:type="dxa"/>
            <w:vAlign w:val="top"/>
          </w:tcPr>
          <w:p w14:paraId="33F838E8">
            <w:pPr>
              <w:rPr>
                <w:rFonts w:ascii="Arial"/>
                <w:sz w:val="21"/>
              </w:rPr>
            </w:pPr>
          </w:p>
        </w:tc>
      </w:tr>
      <w:tr w14:paraId="1C3488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jc w:val="center"/>
        </w:trPr>
        <w:tc>
          <w:tcPr>
            <w:tcW w:w="653" w:type="dxa"/>
            <w:vAlign w:val="top"/>
          </w:tcPr>
          <w:p w14:paraId="3B0AC762">
            <w:pPr>
              <w:pStyle w:val="7"/>
              <w:spacing w:before="167"/>
              <w:ind w:left="254"/>
              <w:rPr>
                <w:sz w:val="18"/>
                <w:szCs w:val="18"/>
              </w:rPr>
            </w:pPr>
            <w:r>
              <w:rPr>
                <w:spacing w:val="-10"/>
                <w:sz w:val="18"/>
                <w:szCs w:val="18"/>
              </w:rPr>
              <w:t>15</w:t>
            </w:r>
          </w:p>
        </w:tc>
        <w:tc>
          <w:tcPr>
            <w:tcW w:w="8452" w:type="dxa"/>
            <w:gridSpan w:val="4"/>
            <w:vAlign w:val="top"/>
          </w:tcPr>
          <w:p w14:paraId="701D12F7">
            <w:pPr>
              <w:pStyle w:val="7"/>
              <w:spacing w:before="168" w:line="218" w:lineRule="auto"/>
              <w:ind w:left="3797"/>
              <w:rPr>
                <w:sz w:val="18"/>
                <w:szCs w:val="18"/>
              </w:rPr>
            </w:pPr>
            <w:r>
              <w:rPr>
                <w:spacing w:val="-2"/>
                <w:sz w:val="18"/>
                <w:szCs w:val="18"/>
              </w:rPr>
              <w:t>综合评价结果</w:t>
            </w:r>
          </w:p>
        </w:tc>
        <w:tc>
          <w:tcPr>
            <w:tcW w:w="656" w:type="dxa"/>
            <w:vAlign w:val="top"/>
          </w:tcPr>
          <w:p w14:paraId="2790745D">
            <w:pPr>
              <w:rPr>
                <w:rFonts w:ascii="Arial"/>
                <w:sz w:val="21"/>
              </w:rPr>
            </w:pPr>
          </w:p>
        </w:tc>
      </w:tr>
    </w:tbl>
    <w:p w14:paraId="4128DCBA">
      <w:pPr>
        <w:rPr>
          <w:rFonts w:hint="eastAsia" w:ascii="宋体" w:hAnsi="宋体" w:eastAsia="宋体" w:cs="宋体"/>
        </w:rPr>
      </w:pPr>
      <w:r>
        <w:rPr>
          <w:rFonts w:hint="eastAsia" w:ascii="宋体" w:hAnsi="宋体" w:eastAsia="宋体" w:cs="宋体"/>
        </w:rPr>
        <w:t>备注 :满分为 100 分，评价结果 95 分以上(含 95 分)付全款并签署下一年度合同、低于 95 分根据月度考核情况扣除相应质保金，同时不予续签下一年度合同。</w:t>
      </w:r>
    </w:p>
    <w:p w14:paraId="2DF5AD41">
      <w:pPr>
        <w:spacing w:before="38"/>
        <w:ind w:right="676"/>
        <w:jc w:val="both"/>
        <w:rPr>
          <w:rFonts w:ascii="宋体" w:hAnsi="宋体" w:eastAsia="宋体" w:cs="宋体"/>
          <w:spacing w:val="-6"/>
          <w:sz w:val="24"/>
          <w:szCs w:val="24"/>
        </w:rPr>
      </w:pPr>
    </w:p>
    <w:p w14:paraId="5ECCB73C">
      <w:pPr>
        <w:spacing w:before="1" w:line="217" w:lineRule="auto"/>
        <w:ind w:firstLine="1220" w:firstLineChars="500"/>
        <w:jc w:val="both"/>
        <w:rPr>
          <w:rFonts w:ascii="宋体" w:hAnsi="宋体" w:eastAsia="宋体" w:cs="宋体"/>
          <w:spacing w:val="2"/>
          <w:sz w:val="24"/>
          <w:szCs w:val="24"/>
        </w:rPr>
      </w:pPr>
      <w:r>
        <w:rPr>
          <w:rFonts w:ascii="宋体" w:hAnsi="宋体" w:eastAsia="宋体" w:cs="宋体"/>
          <w:spacing w:val="2"/>
          <w:sz w:val="24"/>
          <w:szCs w:val="24"/>
        </w:rPr>
        <w:t>评价单位:</w:t>
      </w:r>
      <w:r>
        <w:rPr>
          <w:rFonts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 xml:space="preserve">          </w:t>
      </w:r>
      <w:r>
        <w:rPr>
          <w:rFonts w:ascii="宋体" w:hAnsi="宋体" w:eastAsia="宋体" w:cs="宋体"/>
          <w:spacing w:val="2"/>
          <w:sz w:val="24"/>
          <w:szCs w:val="24"/>
        </w:rPr>
        <w:t>被评价单位:</w:t>
      </w:r>
    </w:p>
    <w:p w14:paraId="3AE9661D">
      <w:pPr>
        <w:spacing w:before="1" w:line="217" w:lineRule="auto"/>
        <w:ind w:firstLine="1220" w:firstLineChars="500"/>
        <w:jc w:val="both"/>
        <w:rPr>
          <w:rFonts w:ascii="宋体" w:hAnsi="宋体" w:eastAsia="宋体" w:cs="宋体"/>
          <w:spacing w:val="2"/>
          <w:sz w:val="24"/>
          <w:szCs w:val="24"/>
        </w:rPr>
      </w:pPr>
    </w:p>
    <w:p w14:paraId="4DB23C8B">
      <w:pPr>
        <w:spacing w:before="28" w:line="218" w:lineRule="auto"/>
        <w:jc w:val="center"/>
        <w:rPr>
          <w:rFonts w:hint="eastAsia" w:ascii="宋体" w:hAnsi="宋体" w:eastAsia="宋体" w:cs="宋体"/>
          <w:spacing w:val="2"/>
          <w:sz w:val="24"/>
          <w:szCs w:val="24"/>
          <w:lang w:eastAsia="zh-CN"/>
        </w:rPr>
      </w:pPr>
      <w:r>
        <w:rPr>
          <w:rFonts w:ascii="宋体" w:hAnsi="宋体" w:eastAsia="宋体" w:cs="宋体"/>
          <w:spacing w:val="2"/>
          <w:sz w:val="24"/>
          <w:szCs w:val="24"/>
        </w:rPr>
        <w:t>评价人签字:</w:t>
      </w:r>
      <w:r>
        <w:rPr>
          <w:rFonts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 xml:space="preserve">         </w:t>
      </w:r>
      <w:r>
        <w:rPr>
          <w:rFonts w:ascii="宋体" w:hAnsi="宋体" w:eastAsia="宋体" w:cs="宋体"/>
          <w:spacing w:val="2"/>
          <w:sz w:val="24"/>
          <w:szCs w:val="24"/>
        </w:rPr>
        <w:t>被评价人签字</w:t>
      </w:r>
      <w:r>
        <w:rPr>
          <w:rFonts w:hint="eastAsia" w:ascii="宋体" w:hAnsi="宋体" w:eastAsia="宋体" w:cs="宋体"/>
          <w:spacing w:val="2"/>
          <w:sz w:val="24"/>
          <w:szCs w:val="24"/>
          <w:lang w:eastAsia="zh-CN"/>
        </w:rPr>
        <w:t>：</w:t>
      </w:r>
    </w:p>
    <w:p w14:paraId="472C295E">
      <w:pPr>
        <w:spacing w:before="28" w:line="218" w:lineRule="auto"/>
        <w:ind w:left="964"/>
        <w:rPr>
          <w:rFonts w:ascii="宋体" w:hAnsi="宋体" w:eastAsia="宋体" w:cs="宋体"/>
          <w:spacing w:val="2"/>
          <w:sz w:val="24"/>
          <w:szCs w:val="24"/>
        </w:rPr>
      </w:pPr>
    </w:p>
    <w:p w14:paraId="475EA825">
      <w:pPr>
        <w:spacing w:before="28" w:line="360" w:lineRule="auto"/>
        <w:rPr>
          <w:rFonts w:hint="eastAsia" w:ascii="宋体" w:hAnsi="宋体" w:eastAsia="宋体" w:cs="宋体"/>
          <w:spacing w:val="2"/>
          <w:sz w:val="24"/>
          <w:szCs w:val="24"/>
        </w:rPr>
      </w:pPr>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7BA12">
    <w:pPr>
      <w:spacing w:line="209" w:lineRule="auto"/>
      <w:ind w:left="3814"/>
      <w:rPr>
        <w:rFonts w:ascii="宋体" w:hAnsi="宋体" w:eastAsia="宋体" w:cs="宋体"/>
        <w:sz w:val="18"/>
        <w:szCs w:val="18"/>
      </w:rPr>
    </w:pPr>
  </w:p>
  <w:p w14:paraId="628C68A2">
    <w:pPr>
      <w:spacing w:line="209" w:lineRule="auto"/>
      <w:ind w:left="3814"/>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55D6F">
    <w:pPr>
      <w:spacing w:line="209" w:lineRule="auto"/>
      <w:ind w:left="3834"/>
      <w:rPr>
        <w:rFonts w:ascii="宋体" w:hAnsi="宋体" w:eastAsia="宋体" w:cs="宋体"/>
        <w:sz w:val="18"/>
        <w:szCs w:val="18"/>
      </w:rPr>
    </w:pPr>
  </w:p>
  <w:p w14:paraId="1BA7C5FE">
    <w:pPr>
      <w:spacing w:line="209" w:lineRule="auto"/>
      <w:ind w:left="3834"/>
      <w:rPr>
        <w:rFonts w:ascii="宋体" w:hAnsi="宋体" w:eastAsia="宋体" w:cs="宋体"/>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38DB3">
    <w:pPr>
      <w:spacing w:line="209" w:lineRule="auto"/>
      <w:ind w:left="4521"/>
      <w:rPr>
        <w:rFonts w:hint="eastAsia" w:ascii="宋体" w:hAnsi="宋体" w:eastAsia="宋体" w:cs="宋体"/>
        <w:sz w:val="18"/>
        <w:szCs w:val="18"/>
        <w:lang w:val="en-US" w:eastAsia="zh-CN"/>
      </w:rPr>
    </w:pPr>
    <w:r>
      <w:rPr>
        <w:rFonts w:hint="eastAsia" w:ascii="宋体" w:hAnsi="宋体" w:eastAsia="宋体" w:cs="宋体"/>
        <w:spacing w:val="-2"/>
        <w:sz w:val="18"/>
        <w:szCs w:val="18"/>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B69D7">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5DF79">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75FA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8C3CB">
    <w:pPr>
      <w:pStyle w:val="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90EB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247AC8"/>
    <w:rsid w:val="22247AC8"/>
    <w:rsid w:val="5CF60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列表段落1"/>
    <w:basedOn w:val="1"/>
    <w:qFormat/>
    <w:uiPriority w:val="99"/>
    <w:pPr>
      <w:ind w:firstLine="420" w:firstLineChars="200"/>
    </w:pPr>
    <w:rPr>
      <w:szCs w:val="21"/>
    </w:rPr>
  </w:style>
  <w:style w:type="paragraph" w:customStyle="1" w:styleId="10">
    <w:name w:val="Body Text First Indent 21"/>
    <w:basedOn w:val="11"/>
    <w:qFormat/>
    <w:uiPriority w:val="0"/>
    <w:pPr>
      <w:spacing w:after="120" w:afterLines="0" w:line="240" w:lineRule="auto"/>
      <w:ind w:left="420" w:leftChars="200" w:firstLine="200" w:firstLineChars="200"/>
    </w:pPr>
    <w:rPr>
      <w:rFonts w:ascii="宋体" w:hAnsi="宋体" w:eastAsia="Times New Roman"/>
      <w:spacing w:val="2"/>
      <w:szCs w:val="24"/>
    </w:rPr>
  </w:style>
  <w:style w:type="paragraph" w:customStyle="1" w:styleId="11">
    <w:name w:val="Body Text Indent1"/>
    <w:basedOn w:val="1"/>
    <w:qFormat/>
    <w:uiPriority w:val="0"/>
    <w:pPr>
      <w:spacing w:line="360" w:lineRule="atLeast"/>
      <w:ind w:left="1680" w:firstLine="42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3</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2026-04-27T07:36:00Z</dcterms:created>
  <dc:creator>权晓</dc:creator>
  <cp:lastModifiedBy>权晓</cp:lastModifiedBy>
  <dcterms:modified xsi:type="dcterms:W3CDTF">2026-04-27T08:22:56Z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5B563688807C4028BDF7226E06366563_11</vt:lpwstr>
  </property>
  <property fmtid="{D5CDD505-2E9C-101B-9397-08002B2CF9AE}" pid="4" name="KSOTemplateDocerSaveRecord">
    <vt:lpwstr>eyJoZGlkIjoiMzJkZjNmNDY4MWJjNDMxNjY3NTg3NTM4ZmRjYWQzNDEiLCJ1c2VySWQiOiI0MjAwODYzNjMifQ==</vt:lpwstr>
  </property>
</Properties>
</file>