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版本号：YC260010090(CGO).1B220260731001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呼吸与肺功能检测仪采购项目(三次)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YC260010090(CGO).1B2</w:t>
      </w:r>
      <w:r>
        <w:br/>
      </w:r>
      <w:r>
        <w:br/>
      </w:r>
      <w:r>
        <w:br/>
      </w:r>
    </w:p>
    <w:p>
      <w:pPr>
        <w:pStyle w:val="null3"/>
        <w:jc w:val="center"/>
        <w:outlineLvl w:val="2"/>
      </w:pPr>
      <w:r>
        <w:rPr>
          <w:rFonts w:ascii="仿宋_GB2312" w:hAnsi="仿宋_GB2312" w:cs="仿宋_GB2312" w:eastAsia="仿宋_GB2312"/>
          <w:sz w:val="28"/>
          <w:b/>
        </w:rPr>
        <w:t>陕西省中医药研究院</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陕西省中医药研究院</w:t>
      </w:r>
      <w:r>
        <w:rPr>
          <w:rFonts w:ascii="仿宋_GB2312" w:hAnsi="仿宋_GB2312" w:cs="仿宋_GB2312" w:eastAsia="仿宋_GB2312"/>
        </w:rPr>
        <w:t>委托，拟对</w:t>
      </w:r>
      <w:r>
        <w:rPr>
          <w:rFonts w:ascii="仿宋_GB2312" w:hAnsi="仿宋_GB2312" w:cs="仿宋_GB2312" w:eastAsia="仿宋_GB2312"/>
        </w:rPr>
        <w:t>呼吸与肺功能检测仪采购项目(三次)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YC260010090(CGO).1B2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呼吸与肺功能检测仪采购项目(三次)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陕西省中医药研究院呼吸与肺功能检测仪采购项目（三次）等，具体内容详见采购文件。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采购包1（陕西省中医药研究院呼吸与肺功能检测仪采购项目（二次））：属于专门面向中小企业采购。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1、投标人资格要求：投标人的营业执照等证明文件，自然人的身份证明。</w:t>
      </w:r>
    </w:p>
    <w:p>
      <w:pPr>
        <w:pStyle w:val="null3"/>
      </w:pPr>
      <w:r>
        <w:rPr>
          <w:rFonts w:ascii="仿宋_GB2312" w:hAnsi="仿宋_GB2312" w:cs="仿宋_GB2312" w:eastAsia="仿宋_GB2312"/>
        </w:rPr>
        <w:t>2、投标人资格要求：法定代表人（单位负责人）参加投标的，提供法定代表人（单位负责人）身份证明；法定代表人（单位负责人）授权他人参加投标的，提供法定代表人委托授权书（须附授权代表截止开标时间前六个月内任意一个月的社保缴纳证明）。</w:t>
      </w:r>
    </w:p>
    <w:p>
      <w:pPr>
        <w:pStyle w:val="null3"/>
      </w:pPr>
      <w:r>
        <w:rPr>
          <w:rFonts w:ascii="仿宋_GB2312" w:hAnsi="仿宋_GB2312" w:cs="仿宋_GB2312" w:eastAsia="仿宋_GB2312"/>
        </w:rPr>
        <w:t>3、财务状况报告：提供2024年度或2025年度经第三方审计的审计报告，至少包括三表一注，即资产负债表、利润表、现金流量表及其附注（成立时间至提交投标文件截止时间不足一年的可提供成立后任意时段的资产负债表）；或投标文件递交截止时间前六个月内其基本存款账户开户银行出具的资信证明及开户银行许可证（或开户行出具的基本户证明材料）；或信用担保机构出具的投标担保函（复印件或扫描件加盖申请人公章）。（以上三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4、税收缴纳证明：提供投标人自投标前6个月以来已缴纳任意时段完税凭证或税务机关开具的完税证明（任意税种）；依法免税的应提供相关文件证明。</w:t>
      </w:r>
    </w:p>
    <w:p>
      <w:pPr>
        <w:pStyle w:val="null3"/>
      </w:pPr>
      <w:r>
        <w:rPr>
          <w:rFonts w:ascii="仿宋_GB2312" w:hAnsi="仿宋_GB2312" w:cs="仿宋_GB2312" w:eastAsia="仿宋_GB2312"/>
        </w:rPr>
        <w:t>5、社会保障资金缴纳证明：提供投标人自投标前6个月以来已缴存的任意时段的社会保障资金缴存单据或社保机构开具的社会保险参保缴费情况证明；依法不需要缴纳社会保障资金的投标人应提供相关文件证明。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6、承诺函：投标人提供具备履行合同所必需的设备和专业技术能力的承诺函。</w:t>
      </w:r>
    </w:p>
    <w:p>
      <w:pPr>
        <w:pStyle w:val="null3"/>
      </w:pPr>
      <w:r>
        <w:rPr>
          <w:rFonts w:ascii="仿宋_GB2312" w:hAnsi="仿宋_GB2312" w:cs="仿宋_GB2312" w:eastAsia="仿宋_GB2312"/>
        </w:rPr>
        <w:t>7、没有重大违法记录的书面声明：投标人参加本次采购前3年内，在经营活动中没有重大违法记录的书面声明。</w:t>
      </w:r>
    </w:p>
    <w:p>
      <w:pPr>
        <w:pStyle w:val="null3"/>
      </w:pPr>
      <w:r>
        <w:rPr>
          <w:rFonts w:ascii="仿宋_GB2312" w:hAnsi="仿宋_GB2312" w:cs="仿宋_GB2312" w:eastAsia="仿宋_GB2312"/>
        </w:rPr>
        <w:t>8、投标人信用要求：截止至投标文件递交截止时间之前，投标人不得在“信用中国”网站（www.creditchina.gov.cn）中被列入严重失信主体名单查询、未在“中国执行信息公开网”（http：/zxgk.court.gov.cn/shixin/）中被列入失信被执行人、“中国政府采购网(www.ccgp.gov.cn)” 不得被列入政府采购严重违法失信行为记录名单。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陕西省中医药研究院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陕西省西安市西华门2号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029-87252581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康迎、赵醒文、张耀峰、赵利科、李楠、董海龙、屈小军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19929058987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招标代理服务收费管理暂行办法的通知》（计价格〔2002〕1980号）和国家发改委办公厅《关于招标代理服务收费有关问题的通知》（发改办价格〔2003〕857号）文件规定标准下浮30%收取。具体收费金额将在中标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陕西省中医药研究院</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陕西省中医药研究院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陕西省中医药研究院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联系人：康迎、赵醒文、张耀峰</w:t>
      </w:r>
    </w:p>
    <w:p>
      <w:pPr>
        <w:pStyle w:val="null3"/>
      </w:pPr>
      <w:r>
        <w:rPr>
          <w:rFonts w:ascii="仿宋_GB2312" w:hAnsi="仿宋_GB2312" w:cs="仿宋_GB2312" w:eastAsia="仿宋_GB2312"/>
        </w:rPr>
        <w:t>联系电话：19929058987</w:t>
      </w:r>
    </w:p>
    <w:p>
      <w:pPr>
        <w:pStyle w:val="null3"/>
      </w:pPr>
      <w:r>
        <w:rPr>
          <w:rFonts w:ascii="仿宋_GB2312" w:hAnsi="仿宋_GB2312" w:cs="仿宋_GB2312" w:eastAsia="仿宋_GB2312"/>
        </w:rPr>
        <w:t>地址：陕西省西安市雁塔区陕西省西安市高新区丈八五路高科尚都ONE尚城A座10F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陕西省中医药研究院呼吸与肺功能检测仪采购项目（三次），具体详见招标文件。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陕西省中医药研究院呼吸与肺功能检测仪采购项目（三次）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标的名称：陕西省中医药研究院呼吸与肺功能检测仪采购项目（三次）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60"/>
            </w:pPr>
            <w:r>
              <w:rPr>
                <w:rFonts w:ascii="仿宋_GB2312" w:hAnsi="仿宋_GB2312" w:cs="仿宋_GB2312" w:eastAsia="仿宋_GB2312"/>
                <w:sz w:val="18"/>
              </w:rPr>
              <w:t>用途：无创方式，测量小动物，呼吸频率</w:t>
            </w:r>
            <w:r>
              <w:rPr>
                <w:rFonts w:ascii="仿宋_GB2312" w:hAnsi="仿宋_GB2312" w:cs="仿宋_GB2312" w:eastAsia="仿宋_GB2312"/>
                <w:sz w:val="18"/>
              </w:rPr>
              <w:t>(f)，特殊气道阻力(sRaw)，潮气量(TV)，每分钟通气量、sGaw特殊气道导率、最大呼/吸气流速(PEF/PIF)，50%潮气量呼气流量(EF50)等参数，并可以同时雾化给药。</w:t>
            </w:r>
          </w:p>
          <w:p>
            <w:pPr>
              <w:pStyle w:val="null3"/>
              <w:ind w:firstLine="360"/>
            </w:pPr>
            <w:r>
              <w:rPr>
                <w:rFonts w:ascii="仿宋_GB2312" w:hAnsi="仿宋_GB2312" w:cs="仿宋_GB2312" w:eastAsia="仿宋_GB2312"/>
                <w:sz w:val="18"/>
              </w:rPr>
              <w:t>1、</w:t>
            </w:r>
            <w:r>
              <w:rPr>
                <w:rFonts w:ascii="仿宋_GB2312" w:hAnsi="仿宋_GB2312" w:cs="仿宋_GB2312" w:eastAsia="仿宋_GB2312"/>
                <w:sz w:val="18"/>
              </w:rPr>
              <w:t>支持</w:t>
            </w:r>
            <w:r>
              <w:rPr>
                <w:rFonts w:ascii="仿宋_GB2312" w:hAnsi="仿宋_GB2312" w:cs="仿宋_GB2312" w:eastAsia="仿宋_GB2312"/>
                <w:sz w:val="18"/>
              </w:rPr>
              <w:t>动物鼻部和胸部分置于两个隔绝腔体，同时检测两个腔体内的呼吸波形，通过鼻部和胸部波形的相位差来计算得到气道阻力大小。</w:t>
            </w:r>
          </w:p>
          <w:p>
            <w:pPr>
              <w:pStyle w:val="null3"/>
              <w:ind w:firstLine="360"/>
            </w:pPr>
            <w:r>
              <w:rPr>
                <w:rFonts w:ascii="仿宋_GB2312" w:hAnsi="仿宋_GB2312" w:cs="仿宋_GB2312" w:eastAsia="仿宋_GB2312"/>
                <w:sz w:val="18"/>
              </w:rPr>
              <w:t>2、实验过程中动物处于清醒状态，可连续监测动物呼吸数据，按照实验研究需要可对动物进行雾化给药，研究动物吸入化合物后的呼吸状态的变化。</w:t>
            </w:r>
          </w:p>
          <w:p>
            <w:pPr>
              <w:pStyle w:val="null3"/>
              <w:ind w:firstLine="180"/>
            </w:pPr>
            <w:r>
              <w:rPr>
                <w:rFonts w:ascii="仿宋_GB2312" w:hAnsi="仿宋_GB2312" w:cs="仿宋_GB2312" w:eastAsia="仿宋_GB2312"/>
                <w:sz w:val="18"/>
              </w:rPr>
              <w:t xml:space="preserve"> 3、动物固定腔体信噪比：</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18"/>
              </w:rPr>
              <w:t>3.1腔体在安静环境下信噪比≥ 55:1</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18"/>
              </w:rPr>
              <w:t>3.2腔体在嘈杂环境下噪音比≥7:1</w:t>
            </w:r>
          </w:p>
          <w:p>
            <w:pPr>
              <w:pStyle w:val="null3"/>
              <w:ind w:firstLine="360"/>
            </w:pPr>
            <w:r>
              <w:rPr>
                <w:rFonts w:ascii="仿宋_GB2312" w:hAnsi="仿宋_GB2312" w:cs="仿宋_GB2312" w:eastAsia="仿宋_GB2312"/>
                <w:sz w:val="18"/>
              </w:rPr>
              <w:t>4、</w:t>
            </w:r>
            <w:r>
              <w:rPr>
                <w:rFonts w:ascii="仿宋_GB2312" w:hAnsi="仿宋_GB2312" w:cs="仿宋_GB2312" w:eastAsia="仿宋_GB2312"/>
                <w:sz w:val="18"/>
              </w:rPr>
              <w:t>支持</w:t>
            </w:r>
            <w:r>
              <w:rPr>
                <w:rFonts w:ascii="仿宋_GB2312" w:hAnsi="仿宋_GB2312" w:cs="仿宋_GB2312" w:eastAsia="仿宋_GB2312"/>
                <w:sz w:val="18"/>
              </w:rPr>
              <w:t>鼻部和胸部腔体大小不同进行了参数补偿，去除由于腔体大小不同而导致的系统误差</w:t>
            </w:r>
            <w:r>
              <w:rPr>
                <w:rFonts w:ascii="仿宋_GB2312" w:hAnsi="仿宋_GB2312" w:cs="仿宋_GB2312" w:eastAsia="仿宋_GB2312"/>
                <w:sz w:val="18"/>
              </w:rPr>
              <w:t>。</w:t>
            </w:r>
          </w:p>
          <w:p>
            <w:pPr>
              <w:pStyle w:val="null3"/>
              <w:ind w:firstLine="360"/>
            </w:pPr>
            <w:r>
              <w:rPr>
                <w:rFonts w:ascii="仿宋_GB2312" w:hAnsi="仿宋_GB2312" w:cs="仿宋_GB2312" w:eastAsia="仿宋_GB2312"/>
                <w:sz w:val="18"/>
              </w:rPr>
              <w:t>5、整合设计，工作台内整合偏流仪，传感器，信号放大器，雾化控制器</w:t>
            </w:r>
            <w:r>
              <w:rPr>
                <w:rFonts w:ascii="仿宋_GB2312" w:hAnsi="仿宋_GB2312" w:cs="仿宋_GB2312" w:eastAsia="仿宋_GB2312"/>
                <w:sz w:val="18"/>
              </w:rPr>
              <w:t>等。</w:t>
            </w:r>
          </w:p>
          <w:p>
            <w:pPr>
              <w:pStyle w:val="null3"/>
              <w:ind w:firstLine="360"/>
            </w:pPr>
            <w:r>
              <w:rPr>
                <w:rFonts w:ascii="仿宋_GB2312" w:hAnsi="仿宋_GB2312" w:cs="仿宋_GB2312" w:eastAsia="仿宋_GB2312"/>
                <w:sz w:val="18"/>
              </w:rPr>
              <w:t>6、检测呼吸频率(f)，特殊气道阻力(sRaw)，潮气量(TV)，每分钟通气量、sGaw特殊气道导率、最大呼/吸气流速(PEF/PIF)，50%潮气量呼气流量(EF50)等。</w:t>
            </w:r>
          </w:p>
          <w:p>
            <w:pPr>
              <w:pStyle w:val="null3"/>
              <w:ind w:firstLine="360"/>
            </w:pPr>
            <w:r>
              <w:rPr>
                <w:rFonts w:ascii="仿宋_GB2312" w:hAnsi="仿宋_GB2312" w:cs="仿宋_GB2312" w:eastAsia="仿宋_GB2312"/>
                <w:sz w:val="18"/>
              </w:rPr>
              <w:t>7、</w:t>
            </w:r>
            <w:r>
              <w:rPr>
                <w:rFonts w:ascii="仿宋_GB2312" w:hAnsi="仿宋_GB2312" w:cs="仿宋_GB2312" w:eastAsia="仿宋_GB2312"/>
                <w:sz w:val="18"/>
              </w:rPr>
              <w:t>具备</w:t>
            </w:r>
            <w:r>
              <w:rPr>
                <w:rFonts w:ascii="仿宋_GB2312" w:hAnsi="仿宋_GB2312" w:cs="仿宋_GB2312" w:eastAsia="仿宋_GB2312"/>
                <w:sz w:val="18"/>
              </w:rPr>
              <w:t>气溶胶给药</w:t>
            </w:r>
            <w:r>
              <w:rPr>
                <w:rFonts w:ascii="仿宋_GB2312" w:hAnsi="仿宋_GB2312" w:cs="仿宋_GB2312" w:eastAsia="仿宋_GB2312"/>
                <w:sz w:val="18"/>
              </w:rPr>
              <w:t>及</w:t>
            </w:r>
            <w:r>
              <w:rPr>
                <w:rFonts w:ascii="仿宋_GB2312" w:hAnsi="仿宋_GB2312" w:cs="仿宋_GB2312" w:eastAsia="仿宋_GB2312"/>
                <w:sz w:val="18"/>
              </w:rPr>
              <w:t>电脑控制给药程序、雾化速率和持续时间。气溶胶颗粒范围：</w:t>
            </w:r>
            <w:r>
              <w:rPr>
                <w:rFonts w:ascii="仿宋_GB2312" w:hAnsi="仿宋_GB2312" w:cs="仿宋_GB2312" w:eastAsia="仿宋_GB2312"/>
                <w:sz w:val="18"/>
              </w:rPr>
              <w:t>2.5-4μm或者4-6μm</w:t>
            </w:r>
            <w:r>
              <w:rPr>
                <w:rFonts w:ascii="仿宋_GB2312" w:hAnsi="仿宋_GB2312" w:cs="仿宋_GB2312" w:eastAsia="仿宋_GB2312"/>
                <w:sz w:val="18"/>
              </w:rPr>
              <w:t>。</w:t>
            </w:r>
          </w:p>
          <w:p>
            <w:pPr>
              <w:pStyle w:val="null3"/>
              <w:ind w:firstLine="210"/>
            </w:pPr>
            <w:r>
              <w:rPr>
                <w:rFonts w:ascii="仿宋_GB2312" w:hAnsi="仿宋_GB2312" w:cs="仿宋_GB2312" w:eastAsia="仿宋_GB2312"/>
                <w:sz w:val="21"/>
              </w:rPr>
              <w:t>▲</w:t>
            </w:r>
            <w:r>
              <w:rPr>
                <w:rFonts w:ascii="仿宋_GB2312" w:hAnsi="仿宋_GB2312" w:cs="仿宋_GB2312" w:eastAsia="仿宋_GB2312"/>
                <w:sz w:val="18"/>
              </w:rPr>
              <w:t>8、系统直接连接校准水柱，一键校准</w:t>
            </w:r>
            <w:r>
              <w:rPr>
                <w:rFonts w:ascii="仿宋_GB2312" w:hAnsi="仿宋_GB2312" w:cs="仿宋_GB2312" w:eastAsia="仿宋_GB2312"/>
                <w:sz w:val="18"/>
              </w:rPr>
              <w:t>。</w:t>
            </w:r>
          </w:p>
          <w:p>
            <w:pPr>
              <w:pStyle w:val="null3"/>
              <w:ind w:firstLine="360"/>
            </w:pPr>
            <w:r>
              <w:rPr>
                <w:rFonts w:ascii="仿宋_GB2312" w:hAnsi="仿宋_GB2312" w:cs="仿宋_GB2312" w:eastAsia="仿宋_GB2312"/>
                <w:sz w:val="18"/>
              </w:rPr>
              <w:t>9、控制软件中可以管理用户数据、用户信息，可以针对不同动物腔体配置添加不同的腔体模板，一次添加，所有用户永久共用。</w:t>
            </w:r>
          </w:p>
          <w:p>
            <w:pPr>
              <w:pStyle w:val="null3"/>
              <w:ind w:firstLine="360"/>
            </w:pPr>
            <w:r>
              <w:rPr>
                <w:rFonts w:ascii="仿宋_GB2312" w:hAnsi="仿宋_GB2312" w:cs="仿宋_GB2312" w:eastAsia="仿宋_GB2312"/>
                <w:sz w:val="18"/>
              </w:rPr>
              <w:t>10、软件使用SQL数据库作为后台存储数据。</w:t>
            </w:r>
          </w:p>
          <w:p>
            <w:pPr>
              <w:pStyle w:val="null3"/>
              <w:ind w:firstLine="360"/>
            </w:pPr>
            <w:r>
              <w:rPr>
                <w:rFonts w:ascii="仿宋_GB2312" w:hAnsi="仿宋_GB2312" w:cs="仿宋_GB2312" w:eastAsia="仿宋_GB2312"/>
                <w:sz w:val="18"/>
              </w:rPr>
              <w:t>11、采集分析软件中校准全程自动进行，且自动判断校准结果，并且校准不通过时自动给出调整建议。</w:t>
            </w:r>
          </w:p>
          <w:p>
            <w:pPr>
              <w:pStyle w:val="null3"/>
              <w:ind w:firstLine="360"/>
            </w:pPr>
            <w:r>
              <w:rPr>
                <w:rFonts w:ascii="仿宋_GB2312" w:hAnsi="仿宋_GB2312" w:cs="仿宋_GB2312" w:eastAsia="仿宋_GB2312"/>
                <w:sz w:val="18"/>
              </w:rPr>
              <w:t>12、软件添加动物时可以输入动物的编号ID、体重，可以输入当前环境数据，包括温度、湿度</w:t>
            </w:r>
            <w:r>
              <w:rPr>
                <w:rFonts w:ascii="仿宋_GB2312" w:hAnsi="仿宋_GB2312" w:cs="仿宋_GB2312" w:eastAsia="仿宋_GB2312"/>
                <w:sz w:val="18"/>
              </w:rPr>
              <w:t>等</w:t>
            </w:r>
            <w:r>
              <w:rPr>
                <w:rFonts w:ascii="仿宋_GB2312" w:hAnsi="仿宋_GB2312" w:cs="仿宋_GB2312" w:eastAsia="仿宋_GB2312"/>
                <w:sz w:val="18"/>
              </w:rPr>
              <w:t>。</w:t>
            </w:r>
          </w:p>
          <w:p>
            <w:pPr>
              <w:pStyle w:val="null3"/>
              <w:ind w:firstLine="360"/>
            </w:pPr>
            <w:r>
              <w:rPr>
                <w:rFonts w:ascii="仿宋_GB2312" w:hAnsi="仿宋_GB2312" w:cs="仿宋_GB2312" w:eastAsia="仿宋_GB2312"/>
                <w:sz w:val="18"/>
              </w:rPr>
              <w:t>13、波形界面支持横坐标标尺快速切换</w:t>
            </w:r>
            <w:r>
              <w:rPr>
                <w:rFonts w:ascii="仿宋_GB2312" w:hAnsi="仿宋_GB2312" w:cs="仿宋_GB2312" w:eastAsia="仿宋_GB2312"/>
                <w:sz w:val="18"/>
              </w:rPr>
              <w:t>，</w:t>
            </w:r>
            <w:r>
              <w:rPr>
                <w:rFonts w:ascii="仿宋_GB2312" w:hAnsi="仿宋_GB2312" w:cs="仿宋_GB2312" w:eastAsia="仿宋_GB2312"/>
                <w:sz w:val="18"/>
              </w:rPr>
              <w:t>有</w:t>
            </w:r>
            <w:r>
              <w:rPr>
                <w:rFonts w:ascii="仿宋_GB2312" w:hAnsi="仿宋_GB2312" w:cs="仿宋_GB2312" w:eastAsia="仿宋_GB2312"/>
                <w:sz w:val="18"/>
              </w:rPr>
              <w:t>2</w:t>
            </w:r>
            <w:r>
              <w:rPr>
                <w:rFonts w:ascii="仿宋_GB2312" w:hAnsi="仿宋_GB2312" w:cs="仿宋_GB2312" w:eastAsia="仿宋_GB2312"/>
                <w:sz w:val="18"/>
              </w:rPr>
              <w:t>sec</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sec</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sec</w:t>
            </w:r>
            <w:r>
              <w:rPr>
                <w:rFonts w:ascii="仿宋_GB2312" w:hAnsi="仿宋_GB2312" w:cs="仿宋_GB2312" w:eastAsia="仿宋_GB2312"/>
                <w:sz w:val="18"/>
              </w:rPr>
              <w:t>、</w:t>
            </w:r>
            <w:r>
              <w:rPr>
                <w:rFonts w:ascii="仿宋_GB2312" w:hAnsi="仿宋_GB2312" w:cs="仿宋_GB2312" w:eastAsia="仿宋_GB2312"/>
                <w:sz w:val="18"/>
              </w:rPr>
              <w:t>30</w:t>
            </w:r>
            <w:r>
              <w:rPr>
                <w:rFonts w:ascii="仿宋_GB2312" w:hAnsi="仿宋_GB2312" w:cs="仿宋_GB2312" w:eastAsia="仿宋_GB2312"/>
                <w:sz w:val="18"/>
              </w:rPr>
              <w:t>sec</w:t>
            </w:r>
            <w:r>
              <w:rPr>
                <w:rFonts w:ascii="仿宋_GB2312" w:hAnsi="仿宋_GB2312" w:cs="仿宋_GB2312" w:eastAsia="仿宋_GB2312"/>
                <w:sz w:val="18"/>
              </w:rPr>
              <w:t>、</w:t>
            </w:r>
            <w:r>
              <w:rPr>
                <w:rFonts w:ascii="仿宋_GB2312" w:hAnsi="仿宋_GB2312" w:cs="仿宋_GB2312" w:eastAsia="仿宋_GB2312"/>
                <w:sz w:val="18"/>
              </w:rPr>
              <w:t>1min</w:t>
            </w:r>
            <w:r>
              <w:rPr>
                <w:rFonts w:ascii="仿宋_GB2312" w:hAnsi="仿宋_GB2312" w:cs="仿宋_GB2312" w:eastAsia="仿宋_GB2312"/>
                <w:sz w:val="18"/>
              </w:rPr>
              <w:t>等</w:t>
            </w:r>
            <w:r>
              <w:rPr>
                <w:rFonts w:ascii="仿宋_GB2312" w:hAnsi="仿宋_GB2312" w:cs="仿宋_GB2312" w:eastAsia="仿宋_GB2312"/>
                <w:sz w:val="18"/>
              </w:rPr>
              <w:t>按键可供快速切换。</w:t>
            </w:r>
          </w:p>
          <w:p>
            <w:pPr>
              <w:pStyle w:val="null3"/>
              <w:ind w:firstLine="360"/>
            </w:pPr>
            <w:r>
              <w:rPr>
                <w:rFonts w:ascii="仿宋_GB2312" w:hAnsi="仿宋_GB2312" w:cs="仿宋_GB2312" w:eastAsia="仿宋_GB2312"/>
                <w:sz w:val="18"/>
              </w:rPr>
              <w:t>14、波形界面具有快速截图按键，保存图像结果。</w:t>
            </w:r>
          </w:p>
          <w:p>
            <w:pPr>
              <w:pStyle w:val="null3"/>
              <w:ind w:firstLine="360"/>
            </w:pPr>
            <w:r>
              <w:rPr>
                <w:rFonts w:ascii="仿宋_GB2312" w:hAnsi="仿宋_GB2312" w:cs="仿宋_GB2312" w:eastAsia="仿宋_GB2312"/>
                <w:sz w:val="18"/>
              </w:rPr>
              <w:t>15、数据呈现方式</w:t>
            </w:r>
            <w:r>
              <w:rPr>
                <w:rFonts w:ascii="仿宋_GB2312" w:hAnsi="仿宋_GB2312" w:cs="仿宋_GB2312" w:eastAsia="仿宋_GB2312"/>
                <w:sz w:val="18"/>
              </w:rPr>
              <w:t>≥两种模式（包括：</w:t>
            </w:r>
            <w:r>
              <w:rPr>
                <w:rFonts w:ascii="仿宋_GB2312" w:hAnsi="仿宋_GB2312" w:cs="仿宋_GB2312" w:eastAsia="仿宋_GB2312"/>
                <w:sz w:val="18"/>
              </w:rPr>
              <w:t>可设置基于时间间隔和呼吸次数</w:t>
            </w:r>
            <w:r>
              <w:rPr>
                <w:rFonts w:ascii="仿宋_GB2312" w:hAnsi="仿宋_GB2312" w:cs="仿宋_GB2312" w:eastAsia="仿宋_GB2312"/>
                <w:sz w:val="18"/>
              </w:rPr>
              <w:t>等）</w:t>
            </w:r>
            <w:r>
              <w:rPr>
                <w:rFonts w:ascii="仿宋_GB2312" w:hAnsi="仿宋_GB2312" w:cs="仿宋_GB2312" w:eastAsia="仿宋_GB2312"/>
                <w:sz w:val="18"/>
              </w:rPr>
              <w:t>，时间间隔模式，最低设置间隔</w:t>
            </w:r>
            <w:r>
              <w:rPr>
                <w:rFonts w:ascii="仿宋_GB2312" w:hAnsi="仿宋_GB2312" w:cs="仿宋_GB2312" w:eastAsia="仿宋_GB2312"/>
                <w:sz w:val="18"/>
              </w:rPr>
              <w:t>0.01s；呼吸间隔模式，最低设置间隔1个呼吸周期。软件默认以2秒时间间隔模式呈现数据。</w:t>
            </w:r>
          </w:p>
          <w:p>
            <w:pPr>
              <w:pStyle w:val="null3"/>
              <w:ind w:firstLine="360"/>
            </w:pPr>
            <w:r>
              <w:rPr>
                <w:rFonts w:ascii="仿宋_GB2312" w:hAnsi="仿宋_GB2312" w:cs="仿宋_GB2312" w:eastAsia="仿宋_GB2312"/>
                <w:sz w:val="18"/>
              </w:rPr>
              <w:t>16、实验过后随时点开每一只实验动物的数据，查看整个实验结果，包括波形图和参数表格</w:t>
            </w:r>
            <w:r>
              <w:rPr>
                <w:rFonts w:ascii="仿宋_GB2312" w:hAnsi="仿宋_GB2312" w:cs="仿宋_GB2312" w:eastAsia="仿宋_GB2312"/>
                <w:sz w:val="18"/>
              </w:rPr>
              <w:t>等</w:t>
            </w:r>
            <w:r>
              <w:rPr>
                <w:rFonts w:ascii="仿宋_GB2312" w:hAnsi="仿宋_GB2312" w:cs="仿宋_GB2312" w:eastAsia="仿宋_GB2312"/>
                <w:sz w:val="18"/>
              </w:rPr>
              <w:t>。</w:t>
            </w:r>
          </w:p>
          <w:p>
            <w:pPr>
              <w:pStyle w:val="null3"/>
              <w:ind w:firstLine="210"/>
            </w:pPr>
            <w:r>
              <w:rPr>
                <w:rFonts w:ascii="仿宋_GB2312" w:hAnsi="仿宋_GB2312" w:cs="仿宋_GB2312" w:eastAsia="仿宋_GB2312"/>
                <w:sz w:val="21"/>
              </w:rPr>
              <w:t>▲</w:t>
            </w:r>
            <w:r>
              <w:rPr>
                <w:rFonts w:ascii="仿宋_GB2312" w:hAnsi="仿宋_GB2312" w:cs="仿宋_GB2312" w:eastAsia="仿宋_GB2312"/>
                <w:sz w:val="18"/>
              </w:rPr>
              <w:t>17、报告中支持选择多个组进行对比，可随时修改选择不同的组，报告会自动进行组间对比、组内成员对比，并以图表和数据显示出来。组间对比会自动计算F value、Significance，组内对比会自动计算Mean、Std Dev、Std Error、95%Cl-、95%Cl+、T test、P value等统计学意义参数。报告结果可以导出为Excel、GraphPad Prism、SPSS、Delimited Text格式。</w:t>
            </w:r>
          </w:p>
          <w:p>
            <w:pPr>
              <w:pStyle w:val="null3"/>
              <w:ind w:firstLine="360"/>
            </w:pPr>
            <w:r>
              <w:rPr>
                <w:rFonts w:ascii="仿宋_GB2312" w:hAnsi="仿宋_GB2312" w:cs="仿宋_GB2312" w:eastAsia="仿宋_GB2312"/>
                <w:sz w:val="18"/>
              </w:rPr>
              <w:t>18、实验结果中的参数列表支持导出全部或自定义部分到Excel中，支持不同Study中数据复制传输。</w:t>
            </w:r>
          </w:p>
          <w:p>
            <w:pPr>
              <w:pStyle w:val="null3"/>
              <w:ind w:firstLine="360"/>
            </w:pPr>
            <w:r>
              <w:rPr>
                <w:rFonts w:ascii="仿宋_GB2312" w:hAnsi="仿宋_GB2312" w:cs="仿宋_GB2312" w:eastAsia="仿宋_GB2312"/>
                <w:sz w:val="18"/>
              </w:rPr>
              <w:t>19、</w:t>
            </w:r>
            <w:r>
              <w:rPr>
                <w:rFonts w:ascii="仿宋_GB2312" w:hAnsi="仿宋_GB2312" w:cs="仿宋_GB2312" w:eastAsia="仿宋_GB2312"/>
                <w:sz w:val="18"/>
              </w:rPr>
              <w:t>配置大、小鼠腔体</w:t>
            </w:r>
            <w:r>
              <w:rPr>
                <w:rFonts w:ascii="仿宋_GB2312" w:hAnsi="仿宋_GB2312" w:cs="仿宋_GB2312" w:eastAsia="仿宋_GB2312"/>
                <w:sz w:val="18"/>
              </w:rPr>
              <w:t>（各</w:t>
            </w:r>
            <w:r>
              <w:rPr>
                <w:rFonts w:ascii="仿宋_GB2312" w:hAnsi="仿宋_GB2312" w:cs="仿宋_GB2312" w:eastAsia="仿宋_GB2312"/>
                <w:sz w:val="18"/>
              </w:rPr>
              <w:t>≥2</w:t>
            </w:r>
            <w:r>
              <w:rPr>
                <w:rFonts w:ascii="仿宋_GB2312" w:hAnsi="仿宋_GB2312" w:cs="仿宋_GB2312" w:eastAsia="仿宋_GB2312"/>
                <w:sz w:val="18"/>
              </w:rPr>
              <w:t>个）</w:t>
            </w:r>
            <w:r>
              <w:rPr>
                <w:rFonts w:ascii="仿宋_GB2312" w:hAnsi="仿宋_GB2312" w:cs="仿宋_GB2312" w:eastAsia="仿宋_GB2312"/>
                <w:sz w:val="18"/>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陕西省中医药研究院指定地点。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预付款，采购合同签订后，达到付款条件起30个工作日内，支付合同总金额的40.0%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进度款，货物全部交付、安装完毕并运行正常，经验收合格，达到付款条件起30个工作日内，支付合同总金额的60.0%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自验收合格之日起，质保1年，终身维护且每半年进行一次设备巡检。</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二）争议解决1.在执行本合同中发生的或与本合同有关的争端，双方应通过友好协商解决，经协商在XX 天内不能达成协议时，则采取以下第1种方式解决争议： （1）向甲方所在地有管辖权的人民法院提起诉讼； （2）向/ 仲裁委员会按其仲裁规则申请仲裁。2.在仲裁期间，本合同应继续履行。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（1）中标人在领取中标通知书时须提供一套正本一套副本纸质投标文件，两套电子文件（光盘），应通过专用制作软件直接打印，确保与电子投标文件保持一致，不得修改和补充。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法定代表人（单位负责人）参加投标的，提供法定代表人（单位负责人）身份证明；法定代表人（单位负责人）授权他人参加投标的，提供法定代表人委托授权书（须附授权代表截止开标时间前六个月内任意一个月的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或投标文件递交截止时间前六个月内其基本存款账户开户银行出具的资信证明及开户银行许可证（或开户行出具的基本户证明材料）；或信用担保机构出具的投标担保函（复印件或扫描件加盖申请人公章）。（以上三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提供投标人自投标前6个月以来已缴纳任意时段完税凭证或税务机关开具的完税证明（任意税种）；依法免税的应提供相关文件证明。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提供投标人自投标前6个月以来已缴存的任意时段的社会保障资金缴存单据或社保机构开具的社会保险参保缴费情况证明；依法不需要缴纳社会保障资金的投标人应提供相关文件证明。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投标人提供具备履行合同所必需的设备和专业技术能力的承诺函。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投标人参加本次采购前3年内，在经营活动中没有重大违法记录的书面声明。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投标人信用要求</w:t>
            </w:r>
          </w:p>
        </w:tc>
        <w:tc>
          <w:tcPr>
            <w:tcW w:type="dxa" w:w="3322"/>
          </w:tcPr>
          <w:p>
            <w:pPr>
              <w:pStyle w:val="null3"/>
            </w:pPr>
            <w:r>
              <w:rPr>
                <w:rFonts w:ascii="仿宋_GB2312" w:hAnsi="仿宋_GB2312" w:cs="仿宋_GB2312" w:eastAsia="仿宋_GB2312"/>
              </w:rPr>
              <w:t>截止至投标文件递交截止时间之前，投标人不得在“信用中国”网站（www.creditchina.gov.cn）中被列入严重失信主体名单查询、未在“中国执行信息公开网”（http：/zxgk.court.gov.cn/shixin/）中被列入失信被执行人、“中国政府采购网(www.ccgp.gov.cn)” 不得被列入政府采购严重违法失信行为记录名单。</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投标人名称是否与营业执照、资质证书一致</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投标报价是否超过预算或最高限价</w:t>
            </w:r>
          </w:p>
        </w:tc>
        <w:tc>
          <w:tcPr>
            <w:tcW w:type="dxa" w:w="3322"/>
          </w:tcPr>
          <w:p>
            <w:pPr>
              <w:pStyle w:val="null3"/>
            </w:pPr>
            <w:r>
              <w:rPr>
                <w:rFonts w:ascii="仿宋_GB2312" w:hAnsi="仿宋_GB2312" w:cs="仿宋_GB2312" w:eastAsia="仿宋_GB2312"/>
              </w:rPr>
              <w:t>投标报价未超过预算或最高限价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均符合招标文件要求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所投内容是否完整</w:t>
            </w:r>
          </w:p>
        </w:tc>
        <w:tc>
          <w:tcPr>
            <w:tcW w:type="dxa" w:w="3322"/>
          </w:tcPr>
          <w:p>
            <w:pPr>
              <w:pStyle w:val="null3"/>
            </w:pPr>
            <w:r>
              <w:rPr>
                <w:rFonts w:ascii="仿宋_GB2312" w:hAnsi="仿宋_GB2312" w:cs="仿宋_GB2312" w:eastAsia="仿宋_GB2312"/>
              </w:rPr>
              <w:t>所投内容完整</w:t>
            </w:r>
          </w:p>
        </w:tc>
        <w:tc>
          <w:tcPr>
            <w:tcW w:type="dxa" w:w="1661"/>
          </w:tcPr>
          <w:p>
            <w:pPr>
              <w:pStyle w:val="null3"/>
            </w:pPr>
            <w:r>
              <w:rPr>
                <w:rFonts w:ascii="仿宋_GB2312" w:hAnsi="仿宋_GB2312" w:cs="仿宋_GB2312" w:eastAsia="仿宋_GB2312"/>
              </w:rPr>
              <w:t>开标一览表 业绩.docx 中小企业声明函 商务应答表 资格证明文件.docx 投标人应提交的相关资格证明材料 产品技术参数表 分项报价表.docx 详细评审.docx 投标函 拒绝政府采购领域商业贿赂承诺书.docx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一、评审内容：所投设备（产品）技术参数。 二、评审标准：性能满足或优于招标文件要求，且稳定可靠，能够保证整体项目顺利实施，根据各投标人对其所投设备（产品）数量准确、规格进行描述，并提供生产厂家确认的、相应的功能证明材料（包括但不限于检测报告或测试报告或官网和功能截图或产品说明书或技术白皮书等），描述无缺漏详细具体且证明材料完整。 三、赋分标准：全部满足得36分，每负偏离一项“▲”指标减3分，每负偏离一项非“▲”指标减1.5分，扣完为止。(正偏离不加分)。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投标人认为需要提供的其他资料（若有）.docx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一、评审内容：1、所投设备（产品）及备品备件符合国内、国际相关标准且无产权纠纷，无假货、水货、翻新货。2、提供原厂质保承诺函。3、提供质保期年限承诺函。 二、评审标准：1、提供所投产品来源渠道合法证明文件（包括但不限于销售协议、代理协议、原厂授权等）等。2、提供所投设备（产品）的原厂质保承诺函。3、提供质保期年限承诺函。 三、赋分标准：1、产品提供任意一项证明文件得3分，未提供不得分。2、提供所投设备（产品）的原厂质保承诺函得1分，未提供不得分。3、质保期年限承诺函中在满足项目质保期（1年）要求基础上，每增加1年，得1分，最高得2分，质保期仅1年或未提供质保期年限承诺函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投标人认为需要提供的其他资料（若有）.docx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一、评审内容：1、产品性能、使用寿命及效果；2、质量保证措施。 二、评审标准：1、完整性：方案全面，对评审内容中的各项要求有详细描述；2、可实施性：切合本项目实际情况，实施步骤清晰，方法科学；3、针对性：方案能够紧扣项目实际情况，内容科学合理。 三、赋分标准：1、产品性能、使用寿命及效果提供详细具体可行的有针对性的内容：每完全满足一个评审标准得0.5分，满分1.5分；2、质量保证提供详细具体可行的有针对性的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投标人认为需要提供的其他资料（若有）.docx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1、针对本项目及使用单位实际需求提供详细具体可行的有针对性的实施方案；2、由专业的技术人员提供设备（产品）安装服务，帮助使用单位将设备（产品）调试到最佳使用状态，保证项目的顺利运行。 二、评审标准：1、完整性：方案全面，对评审内容中的各项要求有详细描述；2、可实施性：切合本项目实际情况，实施步骤清晰，方法科学；3、针对性：方案能够紧扣项目实际情况，内容科学合理。 三、赋分标准：1、针对本项目及使用单位实际需求提供详细具体可行的有针对性的实施方案：每完全满足一个评审标准得1分，满分3分； 2、由专业的技术人员提供设备（产品）安装服务，帮助使用单位将设备（产品）调试到最佳使用状态，保证项目的顺利运行：每完全满足一个评审标准得1分，满分3分。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投标人认为需要提供的其他资料（若有）.docx</w:t>
            </w:r>
          </w:p>
        </w:tc>
      </w:tr>
      <w:tr>
        <w:tc>
          <w:tcPr>
            <w:tcW w:type="dxa" w:w="831"/>
            <w:vMerge/>
          </w:tcPr>
          <w:p/>
        </w:tc>
        <w:tc>
          <w:tcPr>
            <w:tcW w:type="dxa" w:w="1661"/>
          </w:tcPr>
          <w:p>
            <w:pPr>
              <w:pStyle w:val="null3"/>
            </w:pPr>
            <w:r>
              <w:rPr>
                <w:rFonts w:ascii="仿宋_GB2312" w:hAnsi="仿宋_GB2312" w:cs="仿宋_GB2312" w:eastAsia="仿宋_GB2312"/>
              </w:rPr>
              <w:t>交货组织安排</w:t>
            </w:r>
          </w:p>
        </w:tc>
        <w:tc>
          <w:tcPr>
            <w:tcW w:type="dxa" w:w="2492"/>
          </w:tcPr>
          <w:p>
            <w:pPr>
              <w:pStyle w:val="null3"/>
            </w:pPr>
            <w:r>
              <w:rPr>
                <w:rFonts w:ascii="仿宋_GB2312" w:hAnsi="仿宋_GB2312" w:cs="仿宋_GB2312" w:eastAsia="仿宋_GB2312"/>
              </w:rPr>
              <w:t>一、评审内容：投标人针对本项目有具体的交货组织安排，详细的人员、财力调配、运输、派送措施。 二、评审标准：1、完整性：方案全面，对评审内容中的各项要求有详细描述；2、可实施性：切合本项目实际情况，实施步骤清晰，方法科学；3、针对性：方案能够紧扣项目实际情况，内容科学合理。 三、赋分标准：投标人针对本项目有具体的交货组织安排，详细的人员、财力调配、运输、派送措施：每完全满足一个评审标准得1分，满分3分。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投标人认为需要提供的其他资料（若有）.docx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一、评审内容：投标人提供的培训方案（包括但不限于培训人数、培训时间、培训及考核办法等），保证使用方能熟练操作。 二、评审标准：1、完整性：方案全面，对评审内容中的各项要求有详细描述；2、可实施性：切合本项目实际情况，实施步骤清晰，方法科学；3、针对性：方案能够紧扣项目实际情况，内容科学合理。 三、赋分标准：投标人提供的培训方案（包括但不限于培训人数、培训时间、培训及考核办法等），保证使用方能熟练操作：每完全满足一个评审标准得1分，满分3分。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投标人认为需要提供的其他资料（若有）.docx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1、售后服务机构健全，能够提供本地化服务；2、具有相应的物力、人力保障，能够保证产、供、销，服务正常运转，有详细的在产品发生不同类型故障后的到达现场时间、解决故障时间、补救措施等方面的措施或方案，同时具有明确的承诺且符合实际需求。 二、评审标准：1、完整性：方案全面，对评审内容中的各项要求有详细描述；2、可实施性：切合本项目实际情况，实施步骤清晰，方法科学；3、针对性：方案能够紧扣项目实际情况，内容科学合理。 三、赋分标准：1、售后服务机构健全，能够提供本地化服务：每完全满足一个评审标准得0.5分，满分1.5分。2、具有相应的物力、人力保障，能够保证产、供、销，服务正常运转，有详细的在产品发生不同类型故障后的到达现场时间、解决故障时间、补救措施等方面的措施或方案，同时具有明确的承诺且符合实际需求：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投标人认为需要提供的其他资料（若有）.docx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提供自2023年6月1日至今所投产品的业绩，每份业绩得2分，满分10分。未提供有效业绩的不得分。 注：以合同签订时间为准，同产品详情页及签字盖章页等重要部分须清晰可见。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价格分=(评标基准价／投标报价)×报价分值 注：1、计算分数时四舍五入取小数点后两位； 2、落实政府采购政策：参见投标人须知前附表。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详见附件：投标人认为需要提供的其他资料（若有）.docx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