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C9271">
      <w:pPr>
        <w:widowControl/>
        <w:spacing w:after="240" w:afterLines="100" w:line="400" w:lineRule="atLeast"/>
        <w:ind w:firstLine="663" w:firstLineChars="150"/>
        <w:jc w:val="center"/>
        <w:outlineLvl w:val="0"/>
        <w:rPr>
          <w:rFonts w:hint="eastAsia" w:ascii="宋体" w:hAnsi="宋体" w:eastAsia="宋体" w:cs="宋体"/>
          <w:b/>
          <w:bCs/>
          <w:color w:val="auto"/>
          <w:kern w:val="44"/>
          <w:sz w:val="44"/>
          <w:szCs w:val="44"/>
          <w:lang w:val="en-US" w:eastAsia="zh-CN" w:bidi="ar-SA"/>
        </w:rPr>
      </w:pPr>
      <w:r>
        <w:rPr>
          <w:rFonts w:hint="eastAsia" w:ascii="宋体" w:hAnsi="宋体" w:eastAsia="宋体" w:cs="宋体"/>
          <w:b/>
          <w:bCs/>
          <w:color w:val="auto"/>
          <w:kern w:val="44"/>
          <w:sz w:val="44"/>
          <w:szCs w:val="44"/>
          <w:lang w:val="en-US" w:eastAsia="zh-CN" w:bidi="ar-SA"/>
        </w:rPr>
        <w:t>拟签订的采购合同文本</w:t>
      </w:r>
    </w:p>
    <w:p w14:paraId="5DFC9921">
      <w:pPr>
        <w:pStyle w:val="7"/>
        <w:spacing w:before="240" w:beforeLines="100"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合同编号： </w:t>
      </w:r>
    </w:p>
    <w:p w14:paraId="6F6E95D8">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签订地点： </w:t>
      </w:r>
    </w:p>
    <w:p w14:paraId="5AB5E667">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签订时间:</w:t>
      </w:r>
    </w:p>
    <w:p w14:paraId="6DE4441A">
      <w:pPr>
        <w:pStyle w:val="7"/>
        <w:spacing w:line="240" w:lineRule="auto"/>
        <w:ind w:firstLine="420"/>
        <w:rPr>
          <w:rFonts w:hint="eastAsia" w:ascii="宋体" w:hAnsi="宋体" w:eastAsia="宋体" w:cs="宋体"/>
          <w:color w:val="auto"/>
          <w:sz w:val="2"/>
          <w:szCs w:val="2"/>
        </w:rPr>
      </w:pPr>
    </w:p>
    <w:p w14:paraId="04000540">
      <w:pPr>
        <w:pStyle w:val="7"/>
        <w:spacing w:line="360" w:lineRule="auto"/>
        <w:ind w:firstLine="42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采购人（甲方）：</w:t>
      </w:r>
      <w:r>
        <w:rPr>
          <w:rFonts w:hint="eastAsia" w:ascii="宋体" w:hAnsi="宋体" w:eastAsia="宋体" w:cs="宋体"/>
          <w:color w:val="auto"/>
          <w:sz w:val="21"/>
          <w:szCs w:val="21"/>
          <w:lang w:val="en-US" w:eastAsia="zh-CN"/>
        </w:rPr>
        <w:t>陕西省中医药研究院</w:t>
      </w:r>
    </w:p>
    <w:p w14:paraId="5476C776">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（乙方）：</w:t>
      </w:r>
    </w:p>
    <w:p w14:paraId="4B83051D">
      <w:pPr>
        <w:pStyle w:val="7"/>
        <w:spacing w:before="120" w:beforeLines="50"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根据《中华人民共和国政府采购法》及实施条例、《中华人民共和国民法典》和甲方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陕西省中医药研究院呼吸与肺功能检测仪采购项目（</w:t>
      </w:r>
      <w:r>
        <w:rPr>
          <w:rFonts w:hint="eastAsia" w:ascii="宋体" w:hAnsi="宋体" w:eastAsia="宋体" w:cs="宋体"/>
          <w:color w:val="auto"/>
          <w:sz w:val="21"/>
          <w:szCs w:val="21"/>
          <w:u w:val="single"/>
          <w:lang w:val="en-US" w:eastAsia="zh-CN"/>
        </w:rPr>
        <w:t>三次）</w:t>
      </w:r>
      <w:bookmarkStart w:id="0" w:name="_GoBack"/>
      <w:bookmarkEnd w:id="0"/>
      <w:r>
        <w:rPr>
          <w:rFonts w:hint="eastAsia" w:ascii="宋体" w:hAnsi="宋体" w:eastAsia="宋体" w:cs="宋体"/>
          <w:color w:val="auto"/>
          <w:sz w:val="21"/>
          <w:szCs w:val="21"/>
        </w:rPr>
        <w:t>（项目编号：</w:t>
      </w:r>
      <w:r>
        <w:rPr>
          <w:rFonts w:hint="eastAsia" w:ascii="宋体" w:hAnsi="宋体" w:eastAsia="宋体" w:cs="宋体"/>
          <w:color w:val="auto"/>
          <w:sz w:val="21"/>
          <w:szCs w:val="21"/>
          <w:lang w:val="en-US" w:eastAsia="zh-CN"/>
        </w:rPr>
        <w:t>xxxxx</w:t>
      </w:r>
      <w:r>
        <w:rPr>
          <w:rFonts w:hint="eastAsia" w:ascii="宋体" w:hAnsi="宋体" w:eastAsia="宋体" w:cs="宋体"/>
          <w:color w:val="auto"/>
          <w:sz w:val="21"/>
          <w:szCs w:val="21"/>
        </w:rPr>
        <w:t>）的招标文件、投标文件等有关规定，为确保甲方采购项目的顺利实施，甲、乙双方在平等自愿原则下签订本合同，并共同遵守如下条款：</w:t>
      </w:r>
    </w:p>
    <w:p w14:paraId="5243F743">
      <w:pPr>
        <w:pStyle w:val="7"/>
        <w:spacing w:before="120" w:beforeLines="50" w:line="360" w:lineRule="auto"/>
        <w:ind w:firstLine="452" w:firstLineChars="150"/>
        <w:rPr>
          <w:rFonts w:hint="eastAsia" w:ascii="宋体" w:hAnsi="宋体" w:eastAsia="宋体" w:cs="宋体"/>
          <w:b/>
          <w:color w:val="auto"/>
          <w:sz w:val="30"/>
          <w:szCs w:val="30"/>
        </w:rPr>
      </w:pPr>
      <w:r>
        <w:rPr>
          <w:rFonts w:hint="eastAsia" w:ascii="宋体" w:hAnsi="宋体" w:eastAsia="宋体" w:cs="宋体"/>
          <w:b/>
          <w:color w:val="auto"/>
          <w:sz w:val="30"/>
          <w:szCs w:val="30"/>
        </w:rPr>
        <w:t>第一条 合同标的及数量</w:t>
      </w:r>
    </w:p>
    <w:p w14:paraId="0E2E08D8">
      <w:pPr>
        <w:pStyle w:val="7"/>
        <w:spacing w:before="120" w:beforeLines="50" w:line="360" w:lineRule="auto"/>
        <w:ind w:firstLine="525" w:firstLineChars="250"/>
        <w:rPr>
          <w:rFonts w:hint="eastAsia" w:ascii="宋体" w:hAnsi="宋体" w:eastAsia="宋体" w:cs="宋体"/>
          <w:b/>
          <w:color w:val="auto"/>
          <w:sz w:val="21"/>
          <w:szCs w:val="21"/>
        </w:rPr>
      </w:pPr>
      <w:r>
        <w:rPr>
          <w:rFonts w:hint="eastAsia" w:ascii="宋体" w:hAnsi="宋体" w:eastAsia="宋体" w:cs="宋体"/>
          <w:color w:val="auto"/>
          <w:sz w:val="21"/>
          <w:szCs w:val="21"/>
        </w:rPr>
        <w:t>乙方向甲方提供下列货物（产品）：</w:t>
      </w:r>
    </w:p>
    <w:p w14:paraId="1F485BDA">
      <w:pPr>
        <w:pStyle w:val="4"/>
        <w:spacing w:before="120" w:beforeLines="50" w:after="120" w:afterLines="50"/>
        <w:ind w:firstLine="0"/>
        <w:jc w:val="center"/>
        <w:rPr>
          <w:rFonts w:hint="eastAsia" w:ascii="宋体" w:hAnsi="宋体" w:eastAsia="宋体" w:cs="宋体"/>
          <w:b/>
          <w:color w:val="auto"/>
          <w:sz w:val="30"/>
          <w:szCs w:val="30"/>
        </w:rPr>
      </w:pPr>
      <w:r>
        <w:rPr>
          <w:rFonts w:hint="eastAsia" w:ascii="宋体" w:hAnsi="宋体" w:eastAsia="宋体" w:cs="宋体"/>
          <w:b/>
          <w:color w:val="auto"/>
          <w:sz w:val="30"/>
          <w:szCs w:val="30"/>
          <w:lang w:eastAsia="zh-CN"/>
        </w:rPr>
        <w:t>交货</w:t>
      </w:r>
      <w:r>
        <w:rPr>
          <w:rFonts w:hint="eastAsia" w:ascii="宋体" w:hAnsi="宋体" w:eastAsia="宋体" w:cs="宋体"/>
          <w:b/>
          <w:color w:val="auto"/>
          <w:sz w:val="30"/>
          <w:szCs w:val="30"/>
        </w:rPr>
        <w:t>一览表</w:t>
      </w:r>
    </w:p>
    <w:tbl>
      <w:tblPr>
        <w:tblStyle w:val="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4C1723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B41423B">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389" w:type="dxa"/>
            <w:vAlign w:val="center"/>
          </w:tcPr>
          <w:p w14:paraId="7657F51F">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588" w:type="dxa"/>
            <w:vAlign w:val="center"/>
          </w:tcPr>
          <w:p w14:paraId="6D725201">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品牌/商号</w:t>
            </w:r>
          </w:p>
        </w:tc>
        <w:tc>
          <w:tcPr>
            <w:tcW w:w="1418" w:type="dxa"/>
            <w:vAlign w:val="center"/>
          </w:tcPr>
          <w:p w14:paraId="7DB5109D">
            <w:pPr>
              <w:pStyle w:val="3"/>
              <w:spacing w:before="0" w:after="0"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型号规格</w:t>
            </w:r>
          </w:p>
        </w:tc>
        <w:tc>
          <w:tcPr>
            <w:tcW w:w="708" w:type="dxa"/>
            <w:vAlign w:val="center"/>
          </w:tcPr>
          <w:p w14:paraId="495A2C25">
            <w:pPr>
              <w:pStyle w:val="3"/>
              <w:spacing w:before="0" w:after="0"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计量单位</w:t>
            </w:r>
          </w:p>
        </w:tc>
        <w:tc>
          <w:tcPr>
            <w:tcW w:w="709" w:type="dxa"/>
            <w:vAlign w:val="center"/>
          </w:tcPr>
          <w:p w14:paraId="45E05537">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1134" w:type="dxa"/>
            <w:vAlign w:val="center"/>
          </w:tcPr>
          <w:p w14:paraId="0BBAA87E">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1559" w:type="dxa"/>
            <w:vAlign w:val="center"/>
          </w:tcPr>
          <w:p w14:paraId="5AA9F2D2">
            <w:pPr>
              <w:pStyle w:val="3"/>
              <w:spacing w:before="0" w:after="0"/>
              <w:ind w:left="207" w:hanging="207" w:hangingChars="98"/>
              <w:jc w:val="center"/>
              <w:rPr>
                <w:rFonts w:hint="eastAsia" w:ascii="宋体" w:hAnsi="宋体" w:eastAsia="宋体" w:cs="宋体"/>
                <w:color w:val="auto"/>
                <w:sz w:val="21"/>
                <w:szCs w:val="21"/>
              </w:rPr>
            </w:pPr>
            <w:r>
              <w:rPr>
                <w:rFonts w:hint="eastAsia" w:ascii="宋体" w:hAnsi="宋体" w:eastAsia="宋体" w:cs="宋体"/>
                <w:color w:val="auto"/>
                <w:sz w:val="21"/>
                <w:szCs w:val="21"/>
              </w:rPr>
              <w:t>金额 (元)</w:t>
            </w:r>
          </w:p>
        </w:tc>
      </w:tr>
      <w:tr w14:paraId="49AED5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vAlign w:val="top"/>
          </w:tcPr>
          <w:p w14:paraId="6EC16916">
            <w:pPr>
              <w:pStyle w:val="3"/>
              <w:spacing w:before="0" w:after="0" w:line="360" w:lineRule="auto"/>
              <w:outlineLvl w:val="9"/>
              <w:rPr>
                <w:rFonts w:hint="eastAsia" w:ascii="宋体" w:hAnsi="宋体" w:eastAsia="宋体" w:cs="宋体"/>
                <w:color w:val="auto"/>
                <w:sz w:val="24"/>
                <w:szCs w:val="24"/>
                <w:lang w:val="en-US" w:eastAsia="zh-CN"/>
              </w:rPr>
            </w:pPr>
          </w:p>
        </w:tc>
        <w:tc>
          <w:tcPr>
            <w:tcW w:w="1389" w:type="dxa"/>
            <w:vAlign w:val="top"/>
          </w:tcPr>
          <w:p w14:paraId="5F205575">
            <w:pPr>
              <w:pStyle w:val="3"/>
              <w:spacing w:before="0" w:after="0" w:line="360" w:lineRule="auto"/>
              <w:outlineLvl w:val="9"/>
              <w:rPr>
                <w:rFonts w:hint="eastAsia" w:ascii="宋体" w:hAnsi="宋体" w:eastAsia="宋体" w:cs="宋体"/>
                <w:color w:val="auto"/>
                <w:sz w:val="24"/>
                <w:szCs w:val="24"/>
              </w:rPr>
            </w:pPr>
          </w:p>
        </w:tc>
        <w:tc>
          <w:tcPr>
            <w:tcW w:w="1588" w:type="dxa"/>
            <w:vAlign w:val="top"/>
          </w:tcPr>
          <w:p w14:paraId="60138D9C">
            <w:pPr>
              <w:pStyle w:val="3"/>
              <w:spacing w:before="0" w:after="0" w:line="360" w:lineRule="auto"/>
              <w:outlineLvl w:val="9"/>
              <w:rPr>
                <w:rFonts w:hint="eastAsia" w:ascii="宋体" w:hAnsi="宋体" w:eastAsia="宋体" w:cs="宋体"/>
                <w:color w:val="auto"/>
                <w:sz w:val="24"/>
                <w:szCs w:val="24"/>
              </w:rPr>
            </w:pPr>
          </w:p>
        </w:tc>
        <w:tc>
          <w:tcPr>
            <w:tcW w:w="1418" w:type="dxa"/>
            <w:vAlign w:val="top"/>
          </w:tcPr>
          <w:p w14:paraId="1D3CCF40">
            <w:pPr>
              <w:pStyle w:val="3"/>
              <w:spacing w:before="0" w:after="0" w:line="360" w:lineRule="auto"/>
              <w:outlineLvl w:val="9"/>
              <w:rPr>
                <w:rFonts w:hint="eastAsia" w:ascii="宋体" w:hAnsi="宋体" w:eastAsia="宋体" w:cs="宋体"/>
                <w:color w:val="auto"/>
                <w:sz w:val="24"/>
                <w:szCs w:val="24"/>
                <w:lang w:val="en-US" w:eastAsia="zh-CN"/>
              </w:rPr>
            </w:pPr>
          </w:p>
        </w:tc>
        <w:tc>
          <w:tcPr>
            <w:tcW w:w="708" w:type="dxa"/>
            <w:vAlign w:val="top"/>
          </w:tcPr>
          <w:p w14:paraId="3F939F51">
            <w:pPr>
              <w:pStyle w:val="3"/>
              <w:spacing w:before="0" w:after="0" w:line="360" w:lineRule="auto"/>
              <w:outlineLvl w:val="9"/>
              <w:rPr>
                <w:rFonts w:hint="default" w:ascii="宋体" w:hAnsi="宋体" w:eastAsia="宋体" w:cs="宋体"/>
                <w:color w:val="auto"/>
                <w:sz w:val="24"/>
                <w:szCs w:val="24"/>
                <w:lang w:val="en-US" w:eastAsia="zh-CN"/>
              </w:rPr>
            </w:pPr>
          </w:p>
        </w:tc>
        <w:tc>
          <w:tcPr>
            <w:tcW w:w="709" w:type="dxa"/>
            <w:vAlign w:val="top"/>
          </w:tcPr>
          <w:p w14:paraId="4610B8D5">
            <w:pPr>
              <w:pStyle w:val="3"/>
              <w:spacing w:before="0" w:after="0" w:line="360" w:lineRule="auto"/>
              <w:outlineLvl w:val="9"/>
              <w:rPr>
                <w:rFonts w:hint="default" w:ascii="宋体" w:hAnsi="宋体" w:eastAsia="宋体" w:cs="宋体"/>
                <w:color w:val="auto"/>
                <w:sz w:val="24"/>
                <w:szCs w:val="24"/>
                <w:lang w:val="en-US" w:eastAsia="zh-CN"/>
              </w:rPr>
            </w:pPr>
          </w:p>
        </w:tc>
        <w:tc>
          <w:tcPr>
            <w:tcW w:w="1134" w:type="dxa"/>
            <w:vAlign w:val="top"/>
          </w:tcPr>
          <w:p w14:paraId="3AAE11AA">
            <w:pPr>
              <w:pStyle w:val="3"/>
              <w:spacing w:before="0" w:after="0" w:line="360" w:lineRule="auto"/>
              <w:outlineLvl w:val="9"/>
              <w:rPr>
                <w:rFonts w:hint="eastAsia" w:ascii="宋体" w:hAnsi="宋体" w:eastAsia="宋体" w:cs="宋体"/>
                <w:color w:val="auto"/>
                <w:sz w:val="24"/>
                <w:szCs w:val="24"/>
              </w:rPr>
            </w:pPr>
          </w:p>
        </w:tc>
        <w:tc>
          <w:tcPr>
            <w:tcW w:w="1559" w:type="dxa"/>
            <w:vAlign w:val="top"/>
          </w:tcPr>
          <w:p w14:paraId="16F40A9E">
            <w:pPr>
              <w:pStyle w:val="3"/>
              <w:spacing w:before="0" w:after="0" w:line="360" w:lineRule="auto"/>
              <w:outlineLvl w:val="9"/>
              <w:rPr>
                <w:rFonts w:hint="eastAsia" w:ascii="宋体" w:hAnsi="宋体" w:eastAsia="宋体" w:cs="宋体"/>
                <w:color w:val="auto"/>
                <w:sz w:val="24"/>
                <w:szCs w:val="24"/>
              </w:rPr>
            </w:pPr>
          </w:p>
        </w:tc>
      </w:tr>
      <w:tr w14:paraId="7D905A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vAlign w:val="top"/>
          </w:tcPr>
          <w:p w14:paraId="06D3C8F0">
            <w:pPr>
              <w:pStyle w:val="3"/>
              <w:spacing w:before="0" w:after="0" w:line="360" w:lineRule="auto"/>
              <w:rPr>
                <w:rFonts w:hint="default" w:ascii="宋体" w:hAnsi="宋体" w:eastAsia="宋体" w:cs="宋体"/>
                <w:color w:val="auto"/>
                <w:sz w:val="24"/>
                <w:szCs w:val="24"/>
                <w:lang w:val="en-US" w:eastAsia="zh-CN"/>
              </w:rPr>
            </w:pPr>
            <w:r>
              <w:rPr>
                <w:rFonts w:hint="default" w:ascii="Arial" w:hAnsi="Arial" w:eastAsia="宋体" w:cs="Arial"/>
                <w:color w:val="auto"/>
                <w:sz w:val="24"/>
                <w:szCs w:val="24"/>
                <w:lang w:val="en-US" w:eastAsia="zh-CN"/>
              </w:rPr>
              <w:t>…</w:t>
            </w:r>
            <w:r>
              <w:rPr>
                <w:rFonts w:hint="eastAsia" w:ascii="宋体" w:hAnsi="宋体" w:eastAsia="宋体" w:cs="宋体"/>
                <w:color w:val="auto"/>
                <w:sz w:val="24"/>
                <w:szCs w:val="24"/>
                <w:lang w:val="en-US" w:eastAsia="zh-CN"/>
              </w:rPr>
              <w:t xml:space="preserve"> </w:t>
            </w:r>
          </w:p>
        </w:tc>
        <w:tc>
          <w:tcPr>
            <w:tcW w:w="1389" w:type="dxa"/>
            <w:vAlign w:val="top"/>
          </w:tcPr>
          <w:p w14:paraId="7D3026EE">
            <w:pPr>
              <w:pStyle w:val="3"/>
              <w:spacing w:before="0" w:after="0" w:line="360" w:lineRule="auto"/>
              <w:outlineLvl w:val="9"/>
              <w:rPr>
                <w:rFonts w:hint="eastAsia" w:ascii="宋体" w:hAnsi="宋体" w:eastAsia="宋体" w:cs="宋体"/>
                <w:color w:val="auto"/>
                <w:sz w:val="24"/>
                <w:szCs w:val="24"/>
              </w:rPr>
            </w:pPr>
          </w:p>
        </w:tc>
        <w:tc>
          <w:tcPr>
            <w:tcW w:w="1588" w:type="dxa"/>
            <w:vAlign w:val="top"/>
          </w:tcPr>
          <w:p w14:paraId="6C4571AB">
            <w:pPr>
              <w:pStyle w:val="3"/>
              <w:spacing w:before="0" w:after="0" w:line="360" w:lineRule="auto"/>
              <w:outlineLvl w:val="9"/>
              <w:rPr>
                <w:rFonts w:hint="eastAsia" w:ascii="宋体" w:hAnsi="宋体" w:eastAsia="宋体" w:cs="宋体"/>
                <w:color w:val="auto"/>
                <w:sz w:val="24"/>
                <w:szCs w:val="24"/>
              </w:rPr>
            </w:pPr>
          </w:p>
        </w:tc>
        <w:tc>
          <w:tcPr>
            <w:tcW w:w="1418" w:type="dxa"/>
            <w:vAlign w:val="top"/>
          </w:tcPr>
          <w:p w14:paraId="3277DBD9">
            <w:pPr>
              <w:pStyle w:val="3"/>
              <w:spacing w:before="0" w:after="0" w:line="360" w:lineRule="auto"/>
              <w:outlineLvl w:val="9"/>
              <w:rPr>
                <w:rFonts w:hint="eastAsia" w:ascii="宋体" w:hAnsi="宋体" w:eastAsia="宋体" w:cs="宋体"/>
                <w:color w:val="auto"/>
                <w:sz w:val="24"/>
                <w:szCs w:val="24"/>
              </w:rPr>
            </w:pPr>
          </w:p>
        </w:tc>
        <w:tc>
          <w:tcPr>
            <w:tcW w:w="708" w:type="dxa"/>
            <w:vAlign w:val="top"/>
          </w:tcPr>
          <w:p w14:paraId="43DCEB6E">
            <w:pPr>
              <w:pStyle w:val="3"/>
              <w:spacing w:before="0" w:after="0" w:line="360" w:lineRule="auto"/>
              <w:outlineLvl w:val="9"/>
              <w:rPr>
                <w:rFonts w:hint="eastAsia" w:ascii="宋体" w:hAnsi="宋体" w:eastAsia="宋体" w:cs="宋体"/>
                <w:color w:val="auto"/>
                <w:sz w:val="24"/>
                <w:szCs w:val="24"/>
              </w:rPr>
            </w:pPr>
          </w:p>
        </w:tc>
        <w:tc>
          <w:tcPr>
            <w:tcW w:w="709" w:type="dxa"/>
            <w:vAlign w:val="top"/>
          </w:tcPr>
          <w:p w14:paraId="58A7F36B">
            <w:pPr>
              <w:pStyle w:val="3"/>
              <w:spacing w:before="0" w:after="0" w:line="360" w:lineRule="auto"/>
              <w:outlineLvl w:val="9"/>
              <w:rPr>
                <w:rFonts w:hint="eastAsia" w:ascii="宋体" w:hAnsi="宋体" w:eastAsia="宋体" w:cs="宋体"/>
                <w:color w:val="auto"/>
                <w:sz w:val="24"/>
                <w:szCs w:val="24"/>
              </w:rPr>
            </w:pPr>
          </w:p>
        </w:tc>
        <w:tc>
          <w:tcPr>
            <w:tcW w:w="1134" w:type="dxa"/>
            <w:vAlign w:val="top"/>
          </w:tcPr>
          <w:p w14:paraId="113EA92E">
            <w:pPr>
              <w:pStyle w:val="3"/>
              <w:spacing w:before="0" w:after="0" w:line="360" w:lineRule="auto"/>
              <w:outlineLvl w:val="9"/>
              <w:rPr>
                <w:rFonts w:hint="eastAsia" w:ascii="宋体" w:hAnsi="宋体" w:eastAsia="宋体" w:cs="宋体"/>
                <w:color w:val="auto"/>
                <w:sz w:val="24"/>
                <w:szCs w:val="24"/>
              </w:rPr>
            </w:pPr>
          </w:p>
        </w:tc>
        <w:tc>
          <w:tcPr>
            <w:tcW w:w="1559" w:type="dxa"/>
            <w:vAlign w:val="top"/>
          </w:tcPr>
          <w:p w14:paraId="048F0371">
            <w:pPr>
              <w:pStyle w:val="3"/>
              <w:spacing w:before="0" w:after="0" w:line="360" w:lineRule="auto"/>
              <w:outlineLvl w:val="9"/>
              <w:rPr>
                <w:rFonts w:hint="eastAsia" w:ascii="宋体" w:hAnsi="宋体" w:eastAsia="宋体" w:cs="宋体"/>
                <w:color w:val="auto"/>
                <w:sz w:val="24"/>
                <w:szCs w:val="24"/>
              </w:rPr>
            </w:pPr>
          </w:p>
        </w:tc>
      </w:tr>
      <w:tr w14:paraId="3F8197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75" w:type="dxa"/>
            <w:vAlign w:val="top"/>
          </w:tcPr>
          <w:p w14:paraId="7C86C419">
            <w:pPr>
              <w:pStyle w:val="3"/>
              <w:spacing w:before="0" w:after="0" w:line="360" w:lineRule="auto"/>
              <w:outlineLvl w:val="9"/>
              <w:rPr>
                <w:rFonts w:hint="eastAsia" w:ascii="宋体" w:hAnsi="宋体" w:eastAsia="宋体" w:cs="宋体"/>
                <w:color w:val="auto"/>
                <w:sz w:val="24"/>
                <w:szCs w:val="24"/>
              </w:rPr>
            </w:pPr>
          </w:p>
        </w:tc>
        <w:tc>
          <w:tcPr>
            <w:tcW w:w="1389" w:type="dxa"/>
            <w:vAlign w:val="center"/>
          </w:tcPr>
          <w:p w14:paraId="26ADDB45">
            <w:pPr>
              <w:pStyle w:val="3"/>
              <w:spacing w:before="0" w:after="0" w:line="240" w:lineRule="auto"/>
              <w:ind w:firstLine="310" w:firstLineChars="147"/>
              <w:rPr>
                <w:rFonts w:hint="eastAsia" w:ascii="宋体" w:hAnsi="宋体" w:eastAsia="宋体" w:cs="宋体"/>
                <w:color w:val="auto"/>
                <w:sz w:val="21"/>
                <w:szCs w:val="21"/>
              </w:rPr>
            </w:pPr>
            <w:r>
              <w:rPr>
                <w:rFonts w:hint="eastAsia" w:ascii="宋体" w:hAnsi="宋体" w:eastAsia="宋体" w:cs="宋体"/>
                <w:color w:val="auto"/>
                <w:sz w:val="21"/>
                <w:szCs w:val="21"/>
              </w:rPr>
              <w:t>合计</w:t>
            </w:r>
          </w:p>
        </w:tc>
        <w:tc>
          <w:tcPr>
            <w:tcW w:w="4423" w:type="dxa"/>
            <w:gridSpan w:val="4"/>
            <w:vAlign w:val="center"/>
          </w:tcPr>
          <w:p w14:paraId="326A0042">
            <w:pPr>
              <w:pStyle w:val="3"/>
              <w:spacing w:before="0" w:after="0"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大写</w:t>
            </w:r>
          </w:p>
        </w:tc>
        <w:tc>
          <w:tcPr>
            <w:tcW w:w="2693" w:type="dxa"/>
            <w:gridSpan w:val="2"/>
            <w:vAlign w:val="center"/>
          </w:tcPr>
          <w:p w14:paraId="5004502F">
            <w:pPr>
              <w:pStyle w:val="3"/>
              <w:spacing w:before="0" w:after="0"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w:t>
            </w:r>
          </w:p>
        </w:tc>
      </w:tr>
    </w:tbl>
    <w:p w14:paraId="5A58F583">
      <w:pPr>
        <w:keepNext/>
        <w:keepLines/>
        <w:pageBreakBefore w:val="0"/>
        <w:widowControl w:val="0"/>
        <w:kinsoku/>
        <w:wordWrap/>
        <w:overflowPunct/>
        <w:topLinePunct w:val="0"/>
        <w:autoSpaceDE/>
        <w:autoSpaceDN/>
        <w:bidi w:val="0"/>
        <w:adjustRightInd/>
        <w:snapToGrid/>
        <w:spacing w:before="0" w:beforeLines="100" w:after="120" w:afterLines="50" w:line="360" w:lineRule="auto"/>
        <w:ind w:firstLine="590" w:firstLineChars="196"/>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第二条 合同价款</w:t>
      </w:r>
    </w:p>
    <w:p w14:paraId="5CF5C710">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1.合同总价：人民币（大写）</w:t>
      </w:r>
      <w:r>
        <w:rPr>
          <w:rFonts w:hint="eastAsia" w:ascii="宋体" w:hAnsi="宋体" w:eastAsia="宋体" w:cs="宋体"/>
          <w:b w:val="0"/>
          <w:bCs/>
          <w:color w:val="auto"/>
          <w:sz w:val="21"/>
          <w:szCs w:val="21"/>
          <w:u w:val="single"/>
        </w:rPr>
        <w:t xml:space="preserve">                 </w:t>
      </w:r>
      <w:r>
        <w:rPr>
          <w:rFonts w:hint="eastAsia" w:ascii="宋体" w:hAnsi="宋体" w:eastAsia="宋体" w:cs="宋体"/>
          <w:b w:val="0"/>
          <w:bCs/>
          <w:color w:val="auto"/>
          <w:sz w:val="21"/>
          <w:szCs w:val="21"/>
        </w:rPr>
        <w:t xml:space="preserve"> 元，（￥</w:t>
      </w:r>
      <w:r>
        <w:rPr>
          <w:rFonts w:hint="eastAsia" w:ascii="宋体" w:hAnsi="宋体" w:eastAsia="宋体" w:cs="宋体"/>
          <w:b w:val="0"/>
          <w:bCs/>
          <w:color w:val="auto"/>
          <w:sz w:val="21"/>
          <w:szCs w:val="21"/>
          <w:u w:val="single"/>
        </w:rPr>
        <w:t xml:space="preserve">           </w:t>
      </w:r>
      <w:r>
        <w:rPr>
          <w:rFonts w:hint="eastAsia" w:ascii="宋体" w:hAnsi="宋体" w:eastAsia="宋体" w:cs="宋体"/>
          <w:b w:val="0"/>
          <w:bCs/>
          <w:color w:val="auto"/>
          <w:sz w:val="21"/>
          <w:szCs w:val="21"/>
        </w:rPr>
        <w:t xml:space="preserve"> ）。</w:t>
      </w:r>
    </w:p>
    <w:p w14:paraId="79901B63">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本合同总价是货物（产品）设计、材料、制造、包装、运输、安装、调试、检测、验收合格交付使用之前及保修期内保修服务与备用物件等其他有关各项的含税费用（涉及提供进口产品的，不含进口环节增值税）。</w:t>
      </w:r>
    </w:p>
    <w:p w14:paraId="5143CE4A">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3.本合同总价还包含乙方应当提供的伴随服务和售后服务费用。</w:t>
      </w:r>
    </w:p>
    <w:p w14:paraId="64976276">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4.本合同执行期间合同总价不变，甲方无须另向乙方支付本合同规定之外的其他任何费用。</w:t>
      </w:r>
    </w:p>
    <w:p w14:paraId="0706C560">
      <w:pPr>
        <w:spacing w:before="120" w:beforeLines="50" w:after="120" w:afterLines="50" w:line="360" w:lineRule="auto"/>
        <w:ind w:firstLine="452" w:firstLineChars="150"/>
        <w:outlineLvl w:val="9"/>
        <w:rPr>
          <w:rFonts w:hint="eastAsia" w:ascii="宋体" w:hAnsi="宋体" w:eastAsia="宋体" w:cs="宋体"/>
          <w:color w:val="auto"/>
          <w:sz w:val="30"/>
          <w:szCs w:val="30"/>
        </w:rPr>
      </w:pPr>
      <w:r>
        <w:rPr>
          <w:rFonts w:hint="eastAsia" w:ascii="宋体" w:hAnsi="宋体" w:eastAsia="宋体" w:cs="宋体"/>
          <w:b/>
          <w:bCs/>
          <w:color w:val="auto"/>
          <w:sz w:val="30"/>
          <w:szCs w:val="30"/>
        </w:rPr>
        <w:t>第三条 货款支付</w:t>
      </w:r>
    </w:p>
    <w:p w14:paraId="699E9B12">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1.货物（产品）按以下方式支付价款：</w:t>
      </w:r>
    </w:p>
    <w:p w14:paraId="1ABDDC8E">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2.乙方须向甲方出具合法有效的完税发票，甲方进行支付结算。</w:t>
      </w:r>
    </w:p>
    <w:p w14:paraId="1DE368F2">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3.结算方式：银行转账。</w:t>
      </w:r>
    </w:p>
    <w:p w14:paraId="342875A6">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第四条 交货时间与地点</w:t>
      </w:r>
    </w:p>
    <w:p w14:paraId="42242F35">
      <w:pPr>
        <w:pStyle w:val="7"/>
        <w:spacing w:line="360" w:lineRule="auto"/>
        <w:ind w:firstLine="561" w:firstLineChars="0"/>
        <w:rPr>
          <w:rFonts w:hint="eastAsia" w:ascii="宋体" w:hAnsi="宋体" w:eastAsia="宋体" w:cs="宋体"/>
          <w:color w:val="auto"/>
          <w:sz w:val="21"/>
          <w:szCs w:val="21"/>
        </w:rPr>
      </w:pPr>
      <w:r>
        <w:rPr>
          <w:rFonts w:hint="eastAsia" w:ascii="宋体" w:hAnsi="宋体" w:eastAsia="宋体" w:cs="宋体"/>
          <w:color w:val="auto"/>
          <w:sz w:val="21"/>
          <w:szCs w:val="21"/>
        </w:rPr>
        <w:t>乙方在合同签订生效之日起，按甲方指定时间、地点交货。</w:t>
      </w:r>
    </w:p>
    <w:p w14:paraId="544BBF02">
      <w:pPr>
        <w:pStyle w:val="7"/>
        <w:spacing w:line="36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1.交货时间（期限）：</w:t>
      </w:r>
    </w:p>
    <w:p w14:paraId="590692A5">
      <w:pPr>
        <w:pStyle w:val="7"/>
        <w:spacing w:line="360" w:lineRule="auto"/>
        <w:ind w:firstLine="561"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2.交货地点：</w:t>
      </w:r>
    </w:p>
    <w:p w14:paraId="6E55831E">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第五条 质量保证</w:t>
      </w:r>
    </w:p>
    <w:p w14:paraId="03A68D08">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1.乙方须提供全新的、未使用过的合格正品货物（含零部件、配件等），完全符合合同规定的质量、规格和性能的要求。</w:t>
      </w:r>
    </w:p>
    <w:p w14:paraId="1D5BB4F0">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2.乙方提供的节能和环保产品必须是列入节能、环保标志产品品目清单中的产品。</w:t>
      </w:r>
    </w:p>
    <w:p w14:paraId="5D71BA6F">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3.质量标准按照最新颁布的国家标准、行业标准或制造商企业标准确定，上述标准不一致的，以严格标准为准。</w:t>
      </w:r>
    </w:p>
    <w:p w14:paraId="1B773A62">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4.乙方所提供货物还应符合国家和陕西省有关安全、环保、节能之规定，“3C”认证的货物（产品）应加贴“3C”认证标志。</w:t>
      </w:r>
    </w:p>
    <w:p w14:paraId="7407C9BE">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5.货物制造质量出现问题，乙方应负责三包（包修、包换、包退），费用由乙方负担，甲方有权到乙方生产场地检查货物质量和生产进度。</w:t>
      </w:r>
    </w:p>
    <w:p w14:paraId="54FF2EE6">
      <w:pPr>
        <w:pStyle w:val="7"/>
        <w:spacing w:before="120" w:beforeLines="50" w:after="120" w:afterLines="50" w:line="360" w:lineRule="auto"/>
        <w:ind w:firstLine="602"/>
        <w:rPr>
          <w:rFonts w:hint="eastAsia" w:ascii="宋体" w:hAnsi="宋体" w:eastAsia="宋体" w:cs="宋体"/>
          <w:b/>
          <w:color w:val="auto"/>
          <w:sz w:val="30"/>
          <w:szCs w:val="30"/>
        </w:rPr>
      </w:pPr>
      <w:r>
        <w:rPr>
          <w:rFonts w:hint="eastAsia" w:ascii="宋体" w:hAnsi="宋体" w:eastAsia="宋体" w:cs="宋体"/>
          <w:b/>
          <w:color w:val="auto"/>
          <w:sz w:val="30"/>
          <w:szCs w:val="30"/>
        </w:rPr>
        <w:t>第六条 权利保证</w:t>
      </w:r>
    </w:p>
    <w:p w14:paraId="3EBCAC54">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1.乙方保证对其出售的货物享有合法的权利。</w:t>
      </w:r>
    </w:p>
    <w:p w14:paraId="08E96F1D">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2.乙方保证对其出售的货物上不存在任何未曾向甲方透露的担保物权，如抵押权、质押权、留置权。</w:t>
      </w:r>
    </w:p>
    <w:p w14:paraId="22A7B8AE">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3.乙方保证对其出售的货物或其任何一部分没有侵犯第三方的专利权、版权、商标权或其他权利。</w:t>
      </w:r>
    </w:p>
    <w:p w14:paraId="65B68C9A">
      <w:pPr>
        <w:pStyle w:val="7"/>
        <w:spacing w:line="360" w:lineRule="auto"/>
        <w:ind w:left="141" w:leftChars="67" w:firstLine="420"/>
        <w:rPr>
          <w:rFonts w:hint="eastAsia" w:ascii="宋体" w:hAnsi="宋体" w:eastAsia="宋体" w:cs="宋体"/>
          <w:b/>
          <w:color w:val="auto"/>
          <w:sz w:val="21"/>
          <w:szCs w:val="21"/>
        </w:rPr>
      </w:pPr>
      <w:r>
        <w:rPr>
          <w:rFonts w:hint="eastAsia" w:ascii="宋体" w:hAnsi="宋体" w:eastAsia="宋体" w:cs="宋体"/>
          <w:color w:val="auto"/>
          <w:sz w:val="21"/>
          <w:szCs w:val="21"/>
        </w:rPr>
        <w:t>4.如甲方在使用该货物构成上述侵权的，则由乙方承担全部责任。</w:t>
      </w:r>
    </w:p>
    <w:p w14:paraId="6BAFCB75">
      <w:pPr>
        <w:pStyle w:val="7"/>
        <w:spacing w:before="120" w:beforeLines="50" w:after="120" w:afterLines="50" w:line="360" w:lineRule="auto"/>
        <w:ind w:firstLine="500" w:firstLineChars="166"/>
        <w:rPr>
          <w:rFonts w:hint="eastAsia" w:ascii="宋体" w:hAnsi="宋体" w:eastAsia="宋体" w:cs="宋体"/>
          <w:color w:val="auto"/>
          <w:sz w:val="30"/>
          <w:szCs w:val="30"/>
        </w:rPr>
      </w:pPr>
      <w:r>
        <w:rPr>
          <w:rFonts w:hint="eastAsia" w:ascii="宋体" w:hAnsi="宋体" w:eastAsia="宋体" w:cs="宋体"/>
          <w:b/>
          <w:color w:val="auto"/>
          <w:sz w:val="30"/>
          <w:szCs w:val="30"/>
        </w:rPr>
        <w:t xml:space="preserve">第七条 包装要求与运输方式  </w:t>
      </w:r>
      <w:r>
        <w:rPr>
          <w:rFonts w:hint="eastAsia" w:ascii="宋体" w:hAnsi="宋体" w:eastAsia="宋体" w:cs="宋体"/>
          <w:color w:val="auto"/>
          <w:sz w:val="30"/>
          <w:szCs w:val="30"/>
        </w:rPr>
        <w:t xml:space="preserve"> </w:t>
      </w:r>
    </w:p>
    <w:p w14:paraId="4EF909FC">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1.除合同另有规定外，乙方提供的全部货物均应按标准保护措施进行包装，该包装应适应于远距离运输、防潮、防震、防锈和防野蛮装卸，以确保货物安全运抵指定地点。</w:t>
      </w:r>
    </w:p>
    <w:p w14:paraId="5216B5BA">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2.每一包装单元应附详细的装箱单和质量合格证。</w:t>
      </w:r>
    </w:p>
    <w:p w14:paraId="588D57FB">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3.货物（产品）运输方式：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9B8013A">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4.乙方负责货物（产品）运输，货物运输的合理损耗及计算方法</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26AD1D1D">
      <w:pPr>
        <w:pStyle w:val="7"/>
        <w:spacing w:before="120" w:beforeLines="50" w:after="120" w:afterLines="50" w:line="360" w:lineRule="auto"/>
        <w:ind w:firstLine="349" w:firstLineChars="116"/>
        <w:rPr>
          <w:rFonts w:hint="eastAsia" w:ascii="宋体" w:hAnsi="宋体" w:eastAsia="宋体" w:cs="宋体"/>
          <w:color w:val="auto"/>
          <w:sz w:val="30"/>
          <w:szCs w:val="30"/>
        </w:rPr>
      </w:pPr>
      <w:r>
        <w:rPr>
          <w:rFonts w:hint="eastAsia" w:ascii="宋体" w:hAnsi="宋体" w:eastAsia="宋体" w:cs="宋体"/>
          <w:b/>
          <w:color w:val="auto"/>
          <w:sz w:val="30"/>
          <w:szCs w:val="30"/>
        </w:rPr>
        <w:t>第八条 货物验收</w:t>
      </w:r>
    </w:p>
    <w:p w14:paraId="1EFEFBCE">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1.货物验收由甲方组织，乙方配合，并按下列程序进行：</w:t>
      </w:r>
    </w:p>
    <w:p w14:paraId="4941535E">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4E26A5E2">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（2）到货验收 ：货物到达后，按合同第一条款的货物清单和装箱单经行逐一核对，同时检查货物外观，是否有划痕或破损的，并做好相应记录；</w:t>
      </w:r>
    </w:p>
    <w:p w14:paraId="3127C12D">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按乙方承诺的产品包装环保材料进行验收，必要时乙方需提供检测报告，甲方发现虚假承诺时，将扣除总货款的5%作为处罚。</w:t>
      </w:r>
    </w:p>
    <w:p w14:paraId="27CAAB1A">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（3）质量验收合格，双方签署质量验收报告。</w:t>
      </w:r>
    </w:p>
    <w:p w14:paraId="026C88EE">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2.货物验收依据：</w:t>
      </w:r>
    </w:p>
    <w:p w14:paraId="0C1438FE">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（1）招标文件；</w:t>
      </w:r>
    </w:p>
    <w:p w14:paraId="0726D98F">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（2）投标文件；</w:t>
      </w:r>
    </w:p>
    <w:p w14:paraId="7B468D27">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（3）采购合同及补充协议；</w:t>
      </w:r>
    </w:p>
    <w:p w14:paraId="52E16FA0">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（4）质检部门抽样检查货物（产品）合格的检测报告。</w:t>
      </w:r>
    </w:p>
    <w:p w14:paraId="13379DC9">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3.货物验收时发现问题的处理办法：</w:t>
      </w:r>
    </w:p>
    <w:p w14:paraId="6CF34EEA">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（1）乙方提供不符合招标文件和本合同规定的货物（产品），甲方有权拒绝接受；</w:t>
      </w:r>
    </w:p>
    <w:p w14:paraId="57CDE057">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782AC621">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（3）如货物经乙方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次维修仍不能达到合同约定的质量标准，甲方有权退货，并视作乙方不能交付货物而须支付违约赔偿金给甲方，甲方还可依法追究乙方的违约责任； </w:t>
      </w:r>
    </w:p>
    <w:p w14:paraId="43067924">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（4）货物安装完成后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日内，甲方无故不进行验收工作并已使用货物的，视同已安装调试完成并验收合格；</w:t>
      </w:r>
    </w:p>
    <w:p w14:paraId="067F6AF6">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（5）乙方不能完整交付货物及本条第一款规定的单证和工具的，必须负责补齐，否则视为未按合同约定交货；</w:t>
      </w:r>
    </w:p>
    <w:p w14:paraId="16909235">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11ED5D7">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第九条 售后服务</w:t>
      </w:r>
    </w:p>
    <w:p w14:paraId="682F0269">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乙方应按照国家有关法律法规和“三包”规定以及招标文件要求和投标文件的“服务承诺”提供服务。</w:t>
      </w:r>
    </w:p>
    <w:p w14:paraId="0E60E28F">
      <w:pPr>
        <w:pStyle w:val="7"/>
        <w:spacing w:before="120" w:beforeLines="50" w:after="120" w:afterLines="50" w:line="360" w:lineRule="auto"/>
        <w:ind w:firstLine="500" w:firstLineChars="166"/>
        <w:rPr>
          <w:rFonts w:hint="eastAsia" w:ascii="宋体" w:hAnsi="宋体" w:eastAsia="宋体" w:cs="宋体"/>
          <w:color w:val="auto"/>
          <w:sz w:val="30"/>
          <w:szCs w:val="30"/>
        </w:rPr>
      </w:pPr>
      <w:r>
        <w:rPr>
          <w:rFonts w:hint="eastAsia" w:ascii="宋体" w:hAnsi="宋体" w:eastAsia="宋体" w:cs="宋体"/>
          <w:b/>
          <w:color w:val="auto"/>
          <w:kern w:val="0"/>
          <w:sz w:val="30"/>
          <w:szCs w:val="30"/>
        </w:rPr>
        <w:t xml:space="preserve">第十条 </w:t>
      </w:r>
      <w:r>
        <w:rPr>
          <w:rFonts w:hint="eastAsia" w:ascii="宋体" w:hAnsi="宋体" w:eastAsia="宋体" w:cs="宋体"/>
          <w:b/>
          <w:color w:val="auto"/>
          <w:sz w:val="30"/>
          <w:szCs w:val="30"/>
        </w:rPr>
        <w:t xml:space="preserve"> 违约责任</w:t>
      </w:r>
    </w:p>
    <w:p w14:paraId="39AFC9FB">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1.甲方违约责任</w:t>
      </w:r>
    </w:p>
    <w:p w14:paraId="4137F462">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（1）甲方无正当理由拒收货物的，甲方应偿付合同总价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%的违约金；</w:t>
      </w:r>
    </w:p>
    <w:p w14:paraId="115DFCA1">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（2）甲方逾期支付货款的，除应及时付足货款外，应向乙方每天支付欠款总额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‰的滞纳金；但累计滞纳金总额不超过欠款总额的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DF454C7">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2.乙方违约责任</w:t>
      </w:r>
    </w:p>
    <w:p w14:paraId="6DD9D3A7">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（1）如乙方不能交付货物，甲方有权扣留全部履约保证金；同时乙方应向甲方支付合同总价</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％的违约金；</w:t>
      </w:r>
    </w:p>
    <w:p w14:paraId="79ABF3C2">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（2）乙方逾期交付货物的，每逾期1天，乙方向甲方偿付逾期交货部分货款总额的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‰的滞纳金。如乙方逾期交货达___天，甲方有权解除合同，解除合同的通知自到达乙方时生效；</w:t>
      </w:r>
    </w:p>
    <w:p w14:paraId="245B3910">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 xml:space="preserve">（3）乙方所交付的货物品种、型号、规格不符合合同规定的，甲方有权拒收。甲方拒收的，乙方应向甲方支付货款总额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%的违约金；</w:t>
      </w:r>
    </w:p>
    <w:p w14:paraId="53ABACBB">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天内无条件更换合格的货物，如逾期不能更换合格的货物，甲方有权终止本合同，乙方应另向甲方支付货款总额的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%的违约金；</w:t>
      </w:r>
    </w:p>
    <w:p w14:paraId="10150A9F">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46802D36">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（6）乙方未按本合同第十条的规定向甲方交付履约保证金的，应按应交付履约保证金的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%向甲方支付违约金，该违约金的支付不影响乙方应承担的其他违约责任；</w:t>
      </w:r>
    </w:p>
    <w:p w14:paraId="4B5EB2FA">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（7）乙方未按本合同的规定和“服务承诺”提供伴随服务/售后服务的，应按合同总价款的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%向甲方承担违约责任；</w:t>
      </w:r>
    </w:p>
    <w:p w14:paraId="24C7394D">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47A41590">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（9）乙方偿付的违约金不足以弥补甲方损失的，还应按甲方损失尚未弥补的部分，支付赔偿金给甲方。</w:t>
      </w:r>
    </w:p>
    <w:p w14:paraId="23CBCE23">
      <w:pPr>
        <w:widowControl/>
        <w:spacing w:before="120" w:beforeLines="50" w:after="120" w:afterLines="50" w:line="360" w:lineRule="auto"/>
        <w:ind w:firstLine="452" w:firstLineChars="150"/>
        <w:jc w:val="left"/>
        <w:rPr>
          <w:rFonts w:hint="eastAsia" w:ascii="宋体" w:hAnsi="宋体" w:eastAsia="宋体" w:cs="宋体"/>
          <w:color w:val="auto"/>
          <w:kern w:val="0"/>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一</w:t>
      </w:r>
      <w:r>
        <w:rPr>
          <w:rFonts w:hint="eastAsia" w:ascii="宋体" w:hAnsi="宋体" w:eastAsia="宋体" w:cs="宋体"/>
          <w:b/>
          <w:color w:val="auto"/>
          <w:sz w:val="30"/>
          <w:szCs w:val="30"/>
        </w:rPr>
        <w:t xml:space="preserve">条 </w:t>
      </w:r>
      <w:r>
        <w:rPr>
          <w:rFonts w:hint="eastAsia" w:ascii="宋体" w:hAnsi="宋体" w:eastAsia="宋体" w:cs="宋体"/>
          <w:b/>
          <w:color w:val="auto"/>
          <w:kern w:val="0"/>
          <w:sz w:val="30"/>
          <w:szCs w:val="30"/>
        </w:rPr>
        <w:t>合同的变更和终止</w:t>
      </w:r>
    </w:p>
    <w:p w14:paraId="2E28F536">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除《中华人民共和国政府采购法》第49条、第50条第二款规定的情形外，本合同一经签订，甲乙双方不得擅自变更、中止或终止合同。</w:t>
      </w:r>
    </w:p>
    <w:p w14:paraId="0C558A5C">
      <w:pPr>
        <w:widowControl/>
        <w:spacing w:before="120" w:beforeLines="50" w:after="120" w:afterLines="50" w:line="360" w:lineRule="auto"/>
        <w:ind w:firstLine="452" w:firstLineChars="150"/>
        <w:jc w:val="left"/>
        <w:rPr>
          <w:rFonts w:hint="eastAsia" w:ascii="宋体" w:hAnsi="宋体" w:eastAsia="宋体" w:cs="宋体"/>
          <w:b/>
          <w:color w:val="auto"/>
          <w:kern w:val="0"/>
          <w:sz w:val="30"/>
          <w:szCs w:val="30"/>
        </w:rPr>
      </w:pPr>
      <w:r>
        <w:rPr>
          <w:rFonts w:hint="eastAsia" w:ascii="宋体" w:hAnsi="宋体" w:eastAsia="宋体" w:cs="宋体"/>
          <w:b/>
          <w:color w:val="auto"/>
          <w:kern w:val="0"/>
          <w:sz w:val="30"/>
          <w:szCs w:val="30"/>
        </w:rPr>
        <w:t>第十</w:t>
      </w:r>
      <w:r>
        <w:rPr>
          <w:rFonts w:hint="eastAsia" w:ascii="宋体" w:hAnsi="宋体" w:eastAsia="宋体" w:cs="宋体"/>
          <w:b/>
          <w:color w:val="auto"/>
          <w:kern w:val="0"/>
          <w:sz w:val="30"/>
          <w:szCs w:val="30"/>
          <w:lang w:val="en-US" w:eastAsia="zh-CN"/>
        </w:rPr>
        <w:t>二</w:t>
      </w:r>
      <w:r>
        <w:rPr>
          <w:rFonts w:hint="eastAsia" w:ascii="宋体" w:hAnsi="宋体" w:eastAsia="宋体" w:cs="宋体"/>
          <w:b/>
          <w:color w:val="auto"/>
          <w:kern w:val="0"/>
          <w:sz w:val="30"/>
          <w:szCs w:val="30"/>
        </w:rPr>
        <w:t>条 争议的解决</w:t>
      </w:r>
    </w:p>
    <w:p w14:paraId="16947971">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1.因货物的质量问题发生争议，由质量技术监督部门或其指定的质量鉴定机构进行质量鉴定。货物符合标准的，鉴定费由甲方承担；货物不符合质量标准的，鉴定费由乙方承担。</w:t>
      </w:r>
    </w:p>
    <w:p w14:paraId="5A5C09A0">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2.因履行本合同引起的或与本合同有关的争议，甲、乙双方应首先通过友好协商解决，如果协商不成，则采取以下第</w:t>
      </w:r>
      <w:r>
        <w:rPr>
          <w:rFonts w:hint="eastAsia" w:ascii="宋体" w:hAnsi="宋体" w:eastAsia="宋体" w:cs="宋体"/>
          <w:color w:val="auto"/>
          <w:kern w:val="0"/>
          <w:sz w:val="21"/>
          <w:szCs w:val="21"/>
          <w:u w:val="single"/>
          <w:lang w:val="en-US" w:eastAsia="zh-CN"/>
        </w:rPr>
        <w:t xml:space="preserve"> （1） </w:t>
      </w:r>
      <w:r>
        <w:rPr>
          <w:rFonts w:hint="eastAsia" w:ascii="宋体" w:hAnsi="宋体" w:eastAsia="宋体" w:cs="宋体"/>
          <w:color w:val="auto"/>
          <w:kern w:val="0"/>
          <w:sz w:val="21"/>
          <w:szCs w:val="21"/>
        </w:rPr>
        <w:t>种方式解决争议：</w:t>
      </w:r>
    </w:p>
    <w:p w14:paraId="5A312ED2">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（1）向甲方所在地有管辖权的人民法院提起诉讼；</w:t>
      </w:r>
    </w:p>
    <w:p w14:paraId="71056642">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（2）向____________仲裁委员会按其仲裁规则申请仲裁。</w:t>
      </w:r>
    </w:p>
    <w:p w14:paraId="553E5B3A">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3.在仲裁期间，本合同应继续履行。</w:t>
      </w:r>
    </w:p>
    <w:p w14:paraId="53230B8A">
      <w:pPr>
        <w:snapToGrid w:val="0"/>
        <w:spacing w:before="120" w:beforeLines="50" w:after="120" w:afterLines="50" w:line="360" w:lineRule="auto"/>
        <w:ind w:firstLine="602" w:firstLineChars="200"/>
        <w:textAlignment w:val="baseline"/>
        <w:rPr>
          <w:rFonts w:hint="eastAsia" w:ascii="宋体" w:hAnsi="宋体" w:eastAsia="宋体" w:cs="宋体"/>
          <w:b/>
          <w:color w:val="auto"/>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三</w:t>
      </w:r>
      <w:r>
        <w:rPr>
          <w:rFonts w:hint="eastAsia" w:ascii="宋体" w:hAnsi="宋体" w:eastAsia="宋体" w:cs="宋体"/>
          <w:b/>
          <w:color w:val="auto"/>
          <w:sz w:val="30"/>
          <w:szCs w:val="30"/>
        </w:rPr>
        <w:t>条</w:t>
      </w:r>
      <w:r>
        <w:rPr>
          <w:rFonts w:hint="eastAsia" w:ascii="宋体" w:hAnsi="宋体" w:eastAsia="宋体" w:cs="宋体"/>
          <w:color w:val="auto"/>
          <w:sz w:val="30"/>
          <w:szCs w:val="30"/>
        </w:rPr>
        <w:t xml:space="preserve"> </w:t>
      </w:r>
      <w:r>
        <w:rPr>
          <w:rFonts w:hint="eastAsia" w:ascii="宋体" w:hAnsi="宋体" w:eastAsia="宋体" w:cs="宋体"/>
          <w:b/>
          <w:color w:val="auto"/>
          <w:sz w:val="30"/>
          <w:szCs w:val="30"/>
        </w:rPr>
        <w:t>合同文件</w:t>
      </w:r>
    </w:p>
    <w:p w14:paraId="6477CE73">
      <w:pPr>
        <w:snapToGrid w:val="0"/>
        <w:spacing w:before="120" w:beforeLines="50" w:after="120" w:afterLines="50"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174983C1">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1.本合同书</w:t>
      </w:r>
    </w:p>
    <w:p w14:paraId="5517895B">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2.中标通知书</w:t>
      </w:r>
      <w:r>
        <w:rPr>
          <w:rFonts w:hint="eastAsia" w:ascii="宋体" w:hAnsi="宋体" w:eastAsia="宋体" w:cs="宋体"/>
          <w:color w:val="auto"/>
          <w:szCs w:val="21"/>
        </w:rPr>
        <w:tab/>
      </w:r>
    </w:p>
    <w:p w14:paraId="76F5AA9B">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3.协议</w:t>
      </w:r>
    </w:p>
    <w:p w14:paraId="05659443">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4.招标文件(含澄清或者修改文件)</w:t>
      </w:r>
    </w:p>
    <w:p w14:paraId="4DE2120B">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5.投标文件</w:t>
      </w:r>
    </w:p>
    <w:p w14:paraId="55561976">
      <w:pPr>
        <w:snapToGrid w:val="0"/>
        <w:spacing w:before="120" w:beforeLines="50" w:after="120" w:afterLines="50" w:line="360" w:lineRule="auto"/>
        <w:ind w:firstLine="452" w:firstLineChars="150"/>
        <w:rPr>
          <w:rFonts w:hint="eastAsia" w:ascii="宋体" w:hAnsi="宋体" w:eastAsia="宋体" w:cs="宋体"/>
          <w:b/>
          <w:color w:val="auto"/>
          <w:kern w:val="0"/>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四</w:t>
      </w:r>
      <w:r>
        <w:rPr>
          <w:rFonts w:hint="eastAsia" w:ascii="宋体" w:hAnsi="宋体" w:eastAsia="宋体" w:cs="宋体"/>
          <w:b/>
          <w:color w:val="auto"/>
          <w:sz w:val="30"/>
          <w:szCs w:val="30"/>
        </w:rPr>
        <w:t xml:space="preserve">条 </w:t>
      </w:r>
      <w:r>
        <w:rPr>
          <w:rFonts w:hint="eastAsia" w:ascii="宋体" w:hAnsi="宋体" w:eastAsia="宋体" w:cs="宋体"/>
          <w:b/>
          <w:color w:val="auto"/>
          <w:kern w:val="0"/>
          <w:sz w:val="30"/>
          <w:szCs w:val="30"/>
        </w:rPr>
        <w:t>合同生效及其他</w:t>
      </w:r>
    </w:p>
    <w:p w14:paraId="4BED5A16">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kern w:val="0"/>
          <w:szCs w:val="21"/>
        </w:rPr>
        <w:t>1.</w:t>
      </w:r>
      <w:r>
        <w:rPr>
          <w:rFonts w:hint="eastAsia" w:ascii="宋体" w:hAnsi="宋体" w:eastAsia="宋体" w:cs="宋体"/>
          <w:color w:val="auto"/>
          <w:szCs w:val="21"/>
        </w:rPr>
        <w:t>如有未尽事宜，由双方依法订立补充合同。</w:t>
      </w:r>
    </w:p>
    <w:p w14:paraId="60BB178E">
      <w:pPr>
        <w:snapToGrid w:val="0"/>
        <w:spacing w:line="360" w:lineRule="auto"/>
        <w:ind w:firstLine="539"/>
        <w:rPr>
          <w:rFonts w:hint="eastAsia" w:ascii="宋体" w:hAnsi="宋体" w:eastAsia="宋体" w:cs="宋体"/>
          <w:color w:val="auto"/>
          <w:kern w:val="0"/>
          <w:szCs w:val="21"/>
        </w:rPr>
      </w:pPr>
      <w:r>
        <w:rPr>
          <w:rFonts w:hint="eastAsia" w:ascii="宋体" w:hAnsi="宋体" w:eastAsia="宋体" w:cs="宋体"/>
          <w:color w:val="auto"/>
          <w:kern w:val="0"/>
          <w:szCs w:val="21"/>
        </w:rPr>
        <w:t>2.本合同自签订之日起生效。</w:t>
      </w:r>
    </w:p>
    <w:p w14:paraId="49E352F0">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kern w:val="0"/>
          <w:szCs w:val="21"/>
        </w:rPr>
        <w:t>3.本合同一式___份，具有同等法律效力，其中，甲____份，乙方</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份，见证方一份，政府采购监督管理部门备案一份。</w:t>
      </w:r>
    </w:p>
    <w:p w14:paraId="519BC990">
      <w:pPr>
        <w:spacing w:line="360" w:lineRule="auto"/>
        <w:rPr>
          <w:rFonts w:hint="eastAsia" w:ascii="宋体" w:hAnsi="宋体" w:eastAsia="宋体" w:cs="宋体"/>
          <w:color w:val="auto"/>
          <w:szCs w:val="21"/>
        </w:rPr>
      </w:pPr>
    </w:p>
    <w:p w14:paraId="0DC79736">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甲方：   （盖章）   </w:t>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 xml:space="preserve">    乙方：   （盖章）</w:t>
      </w:r>
    </w:p>
    <w:p w14:paraId="16DA95F1">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负责人/委托代理人：                 法定代表人/委托代理人：</w:t>
      </w:r>
    </w:p>
    <w:p w14:paraId="07FF284B">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地    址：                          地    址：</w:t>
      </w:r>
    </w:p>
    <w:p w14:paraId="0CC3BFF9">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开户银行：                          开户银行：</w:t>
      </w:r>
    </w:p>
    <w:p w14:paraId="51E9F364">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账    号：                          账    号：</w:t>
      </w:r>
    </w:p>
    <w:p w14:paraId="3C9E2499">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电    话：                          电    话：</w:t>
      </w:r>
    </w:p>
    <w:p w14:paraId="4D24FBF7">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传    真：                          传    真：</w:t>
      </w:r>
    </w:p>
    <w:p w14:paraId="7A02F75D">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签约日期：    年  月  日            签约日期：    年  月  日</w:t>
      </w:r>
    </w:p>
    <w:p w14:paraId="56A0FF97">
      <w:pPr>
        <w:spacing w:line="360" w:lineRule="auto"/>
      </w:pPr>
    </w:p>
    <w:sectPr>
      <w:pgSz w:w="11906" w:h="16838"/>
      <w:pgMar w:top="1440" w:right="1474" w:bottom="1440"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3003B"/>
    <w:rsid w:val="12A30B38"/>
    <w:rsid w:val="169F7D03"/>
    <w:rsid w:val="24A27D5B"/>
    <w:rsid w:val="3E33003B"/>
    <w:rsid w:val="59C255B0"/>
    <w:rsid w:val="70183547"/>
    <w:rsid w:val="73B305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2"/>
    <w:basedOn w:val="1"/>
    <w:next w:val="4"/>
    <w:unhideWhenUsed/>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3248</Words>
  <Characters>3315</Characters>
  <Lines>0</Lines>
  <Paragraphs>0</Paragraphs>
  <TotalTime>1</TotalTime>
  <ScaleCrop>false</ScaleCrop>
  <LinksUpToDate>false</LinksUpToDate>
  <CharactersWithSpaces>3681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2023-09-08T05:42:00Z</dcterms:created>
  <dc:creator>不要乱动电脑</dc:creator>
  <cp:lastModifiedBy>M. ICARDI</cp:lastModifiedBy>
  <dcterms:modified xsi:type="dcterms:W3CDTF">2026-07-31T05:01:07Z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34A999921C5749F5B295953E28AC9B9E_12</vt:lpwstr>
  </property>
  <property fmtid="{D5CDD505-2E9C-101B-9397-08002B2CF9AE}" pid="4" name="KSOTemplateDocerSaveRecord">
    <vt:lpwstr>eyJoZGlkIjoiZDY0OTc5ZDcwNjI2YTYyMmRkZTI4NTAwM2ExZWI3YzUiLCJ1c2VySWQiOiIzNDkyMDI2MDgifQ==</vt:lpwstr>
  </property>
</Properties>
</file>