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版本号：PLRH2026-GP-016F.1B120260520001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莲湖区助残产业发展服务中心运营服务项目(二次)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PLRH2026-GP-016F.1B1</w:t>
      </w:r>
      <w:r>
        <w:br/>
      </w:r>
      <w:r>
        <w:br/>
      </w:r>
      <w:r>
        <w:br/>
      </w:r>
    </w:p>
    <w:p>
      <w:pPr>
        <w:pStyle w:val="null3"/>
        <w:jc w:val="center"/>
        <w:outlineLvl w:val="2"/>
      </w:pPr>
      <w:r>
        <w:rPr>
          <w:rFonts w:ascii="仿宋_GB2312" w:hAnsi="仿宋_GB2312" w:cs="仿宋_GB2312" w:eastAsia="仿宋_GB2312"/>
          <w:sz w:val="28"/>
          <w:b/>
        </w:rPr>
        <w:t>西安市莲湖区残疾人联合会</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西安市莲湖区残疾人联合会</w:t>
      </w:r>
      <w:r>
        <w:rPr>
          <w:rFonts w:ascii="仿宋_GB2312" w:hAnsi="仿宋_GB2312" w:cs="仿宋_GB2312" w:eastAsia="仿宋_GB2312"/>
        </w:rPr>
        <w:t>委托，拟对</w:t>
      </w:r>
      <w:r>
        <w:rPr>
          <w:rFonts w:ascii="仿宋_GB2312" w:hAnsi="仿宋_GB2312" w:cs="仿宋_GB2312" w:eastAsia="仿宋_GB2312"/>
        </w:rPr>
        <w:t>莲湖区助残产业发展服务中心运营服务项目(二次)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PLRH2026-GP-016F.1B1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莲湖区助残产业发展服务中心运营服务项目(二次)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促使残障人士更好的社会融入感和自我价值的实现，提升服务残疾人就业创业专业化水平，保障残疾人劳动权益，促进残疾人稳定就业等，建设莲湖区助残产业发展服务中心运营项目。根据《中华人民共和国民法典》等相关法律法规，甲乙双方本着“平等自愿、权责统一、公平公正”的原则，就莲湖区助残产业发展服务中心的运营服务管理，委托运营方打造并全权运营管理等事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采购包1（莲湖区助残产业发展服务中心运营服务项目）：属于专门面向中小企业采购。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3、税收缴纳证明：提供2025年11月至今已缴纳的至少一个月的纳税证明或完税证明（任意税种），依法免税的单位应提供相关证明材料；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投标，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西安市莲湖区残疾人联合会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西安市莲湖区莲湖路57号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13119123165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西安市经济技术开发区元鼎路明丰伯马都A座1707室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17691153580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代理服务费收费标准：1.固定金额，人民币贰万叁仟元整（23000.00元）。 2.由中标单位承担招标代理服务费，中标单位在领取中标通知书前，须向采购代理机构一次性支付招标代理服务费。 开户名称：鹏领睿恒(陕西)项目管理有限公司； 开户银行：129911262210701； 账 号：招商银行西安枫林绿洲支行；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西安市莲湖区残疾人联合会</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西安市莲湖区残疾人联合会</w:t>
      </w:r>
      <w:r>
        <w:rPr>
          <w:rFonts w:ascii="仿宋_GB2312" w:hAnsi="仿宋_GB2312" w:cs="仿宋_GB2312" w:eastAsia="仿宋_GB2312"/>
        </w:rPr>
        <w:t>负责解释。除上述招标文件内容，其他内容由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西安市莲湖区残疾人联合会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鹏领睿恒（陕西）项目管理有限公司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联系电话：17691153580</w:t>
      </w:r>
    </w:p>
    <w:p>
      <w:pPr>
        <w:pStyle w:val="null3"/>
      </w:pPr>
      <w:r>
        <w:rPr>
          <w:rFonts w:ascii="仿宋_GB2312" w:hAnsi="仿宋_GB2312" w:cs="仿宋_GB2312" w:eastAsia="仿宋_GB2312"/>
        </w:rPr>
        <w:t>地址：西安市经济技术开发区元鼎路明丰伯马都A座1707室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促使残障人士更好的社会融入感和自我价值的实现，提升服务残疾人就业创业专业化水平，保障残疾人劳动权益，促进残疾人稳定就业等，建设莲湖区助残产业发展服务中心运营项目。根据《中华人民共和国民法典》等相关法律法规，甲乙双方本着“平等自愿、权责统一、公平公正”的原则，就莲湖区助残产业发展服务中心的运营服务管理，委托运营方打造并全权运营管理等事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w:t>
      </w:r>
    </w:p>
    <w:p>
      <w:pPr>
        <w:pStyle w:val="null3"/>
      </w:pPr>
      <w:r>
        <w:rPr>
          <w:rFonts w:ascii="仿宋_GB2312" w:hAnsi="仿宋_GB2312" w:cs="仿宋_GB2312" w:eastAsia="仿宋_GB2312"/>
        </w:rPr>
        <w:t>采购包最高限价（元）: 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建设莲湖区残疾人创业发展服务中心全新模式的残障人士赋能的平台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标的名称：建设莲湖区残疾人创业发展服务中心全新模式的残障人士赋能的平台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（一）服务对象：莲湖区内残疾人群体；</w:t>
            </w:r>
          </w:p>
          <w:p>
            <w:pPr>
              <w:pStyle w:val="null3"/>
            </w:pPr>
            <w:r>
              <w:rPr>
                <w:rFonts w:ascii="仿宋_GB2312" w:hAnsi="仿宋_GB2312" w:cs="仿宋_GB2312" w:eastAsia="仿宋_GB2312"/>
              </w:rPr>
              <w:t>（二）服务地点：莲湖区助残产业发展服务中心（西安市莲湖区金曹路华府西城港湾18号楼）</w:t>
            </w:r>
          </w:p>
          <w:p>
            <w:pPr>
              <w:pStyle w:val="null3"/>
            </w:pPr>
            <w:r>
              <w:rPr>
                <w:rFonts w:ascii="仿宋_GB2312" w:hAnsi="仿宋_GB2312" w:cs="仿宋_GB2312" w:eastAsia="仿宋_GB2312"/>
              </w:rPr>
              <w:t>（三）运营模式：采购方无偿提供场地，不支付运营经费，由中标运营单位实行自收自支、自主经营、自负盈亏；</w:t>
            </w:r>
          </w:p>
          <w:p>
            <w:pPr>
              <w:pStyle w:val="null3"/>
            </w:pPr>
            <w:r>
              <w:rPr>
                <w:rFonts w:ascii="仿宋_GB2312" w:hAnsi="仿宋_GB2312" w:cs="仿宋_GB2312" w:eastAsia="仿宋_GB2312"/>
              </w:rPr>
              <w:t>（四）服务内容：</w:t>
            </w:r>
          </w:p>
          <w:p>
            <w:pPr>
              <w:pStyle w:val="null3"/>
            </w:pPr>
            <w:r>
              <w:rPr>
                <w:rFonts w:ascii="仿宋_GB2312" w:hAnsi="仿宋_GB2312" w:cs="仿宋_GB2312" w:eastAsia="仿宋_GB2312"/>
              </w:rPr>
              <w:t>1.中心基础运营管理服务</w:t>
            </w:r>
          </w:p>
          <w:p>
            <w:pPr>
              <w:pStyle w:val="null3"/>
            </w:pPr>
            <w:r>
              <w:rPr>
                <w:rFonts w:ascii="仿宋_GB2312" w:hAnsi="仿宋_GB2312" w:cs="仿宋_GB2312" w:eastAsia="仿宋_GB2312"/>
              </w:rPr>
              <w:t>（1）负责服务中心日常开放管理，保证服务中心每周开放不少于5天，每日开放不少于8小时（正常工作时间，9:00-17：30），重大活动按需延长，确保正常运营、环境整洁、秩序良好。</w:t>
            </w:r>
          </w:p>
          <w:p>
            <w:pPr>
              <w:pStyle w:val="null3"/>
            </w:pPr>
            <w:r>
              <w:rPr>
                <w:rFonts w:ascii="仿宋_GB2312" w:hAnsi="仿宋_GB2312" w:cs="仿宋_GB2312" w:eastAsia="仿宋_GB2312"/>
              </w:rPr>
              <w:t>（2）负责场地水电、消防、安防、办公设备等日常巡检、维护与报修。</w:t>
            </w:r>
          </w:p>
          <w:p>
            <w:pPr>
              <w:pStyle w:val="null3"/>
            </w:pPr>
            <w:r>
              <w:rPr>
                <w:rFonts w:ascii="仿宋_GB2312" w:hAnsi="仿宋_GB2312" w:cs="仿宋_GB2312" w:eastAsia="仿宋_GB2312"/>
              </w:rPr>
              <w:t>（3）建立健全服务中心日常管理、安全管理、档案管理、应急处置等制度，确保全年无重大安全责任事故。</w:t>
            </w:r>
          </w:p>
          <w:p>
            <w:pPr>
              <w:pStyle w:val="null3"/>
            </w:pPr>
            <w:r>
              <w:rPr>
                <w:rFonts w:ascii="仿宋_GB2312" w:hAnsi="仿宋_GB2312" w:cs="仿宋_GB2312" w:eastAsia="仿宋_GB2312"/>
              </w:rPr>
              <w:t>（4）建立服务台账、数据档案，定期向采购单位报送运营报表。</w:t>
            </w:r>
          </w:p>
          <w:p>
            <w:pPr>
              <w:pStyle w:val="null3"/>
            </w:pPr>
            <w:r>
              <w:rPr>
                <w:rFonts w:ascii="仿宋_GB2312" w:hAnsi="仿宋_GB2312" w:cs="仿宋_GB2312" w:eastAsia="仿宋_GB2312"/>
              </w:rPr>
              <w:t>（5）不得擅自转租、转借、改变场地用途，不得开展与残疾人服务无关的经营性活动。</w:t>
            </w:r>
          </w:p>
          <w:p>
            <w:pPr>
              <w:pStyle w:val="null3"/>
            </w:pPr>
            <w:r>
              <w:rPr>
                <w:rFonts w:ascii="仿宋_GB2312" w:hAnsi="仿宋_GB2312" w:cs="仿宋_GB2312" w:eastAsia="仿宋_GB2312"/>
              </w:rPr>
              <w:t>2.残疾人就业创业服务</w:t>
            </w:r>
          </w:p>
          <w:p>
            <w:pPr>
              <w:pStyle w:val="null3"/>
            </w:pPr>
            <w:r>
              <w:rPr>
                <w:rFonts w:ascii="仿宋_GB2312" w:hAnsi="仿宋_GB2312" w:cs="仿宋_GB2312" w:eastAsia="仿宋_GB2312"/>
              </w:rPr>
              <w:t>（1）政策对接：协助残疾人就业者对接相关扶持政策。</w:t>
            </w:r>
          </w:p>
          <w:p>
            <w:pPr>
              <w:pStyle w:val="null3"/>
            </w:pPr>
            <w:r>
              <w:rPr>
                <w:rFonts w:ascii="仿宋_GB2312" w:hAnsi="仿宋_GB2312" w:cs="仿宋_GB2312" w:eastAsia="仿宋_GB2312"/>
              </w:rPr>
              <w:t>（2）市场对接：提供产品展示、电商推广、直播带货、渠道对接等服务。</w:t>
            </w:r>
          </w:p>
          <w:p>
            <w:pPr>
              <w:pStyle w:val="null3"/>
            </w:pPr>
            <w:r>
              <w:rPr>
                <w:rFonts w:ascii="仿宋_GB2312" w:hAnsi="仿宋_GB2312" w:cs="仿宋_GB2312" w:eastAsia="仿宋_GB2312"/>
              </w:rPr>
              <w:t>（3）就业带动：年度通过多种途径，带动残疾人稳定就业不少于100人（含灵活就业人数）。</w:t>
            </w:r>
          </w:p>
          <w:p>
            <w:pPr>
              <w:pStyle w:val="null3"/>
            </w:pPr>
            <w:r>
              <w:rPr>
                <w:rFonts w:ascii="仿宋_GB2312" w:hAnsi="仿宋_GB2312" w:cs="仿宋_GB2312" w:eastAsia="仿宋_GB2312"/>
              </w:rPr>
              <w:t>（4）公益服务：对采购方指定的残疾人项目提供基础服务全免费，同时可对市场化增值服务按成本合理收费。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二、技术要求</w:t>
            </w:r>
          </w:p>
          <w:p>
            <w:pPr>
              <w:pStyle w:val="null3"/>
            </w:pPr>
            <w:r>
              <w:rPr>
                <w:rFonts w:ascii="仿宋_GB2312" w:hAnsi="仿宋_GB2312" w:cs="仿宋_GB2312" w:eastAsia="仿宋_GB2312"/>
              </w:rPr>
              <w:t>须接受采购人的业务管理、考评、监督，并由采购方依据国家确定费用标准及考核办法进行考核；具体参照《残疾人保障法》《中华人民共和国残疾人保障法实施条例》、《残疾人服务管理办法》、《建筑与市政工程无障碍通用规范》GB 55019-2021、《无障碍设施规范》（GB50763-2012）。</w:t>
            </w:r>
          </w:p>
          <w:p>
            <w:pPr>
              <w:pStyle w:val="null3"/>
            </w:pPr>
            <w:r>
              <w:rPr>
                <w:rFonts w:ascii="仿宋_GB2312" w:hAnsi="仿宋_GB2312" w:cs="仿宋_GB2312" w:eastAsia="仿宋_GB2312"/>
              </w:rPr>
              <w:t>1.装修改造清单（明确装修内容和设施设备）</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功能区域</w:t>
                  </w:r>
                </w:p>
              </w:tc>
              <w:tc>
                <w:tcPr>
                  <w:tcW w:type="dxa" w:w="851"/>
                </w:tcPr>
                <w:p>
                  <w:pPr>
                    <w:pStyle w:val="null3"/>
                  </w:pPr>
                  <w:r>
                    <w:rPr>
                      <w:rFonts w:ascii="仿宋_GB2312" w:hAnsi="仿宋_GB2312" w:cs="仿宋_GB2312" w:eastAsia="仿宋_GB2312"/>
                    </w:rPr>
                    <w:t>装修要求</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展示及服务大厅</w:t>
                  </w:r>
                </w:p>
                <w:p>
                  <w:pPr>
                    <w:pStyle w:val="null3"/>
                  </w:pPr>
                  <w:r>
                    <w:rPr>
                      <w:rFonts w:ascii="仿宋_GB2312" w:hAnsi="仿宋_GB2312" w:cs="仿宋_GB2312" w:eastAsia="仿宋_GB2312"/>
                    </w:rPr>
                    <w:t>300-500㎡</w:t>
                  </w:r>
                </w:p>
              </w:tc>
              <w:tc>
                <w:tcPr>
                  <w:tcW w:type="dxa" w:w="851"/>
                </w:tcPr>
                <w:p>
                  <w:pPr>
                    <w:pStyle w:val="null3"/>
                  </w:pPr>
                  <w:r>
                    <w:rPr>
                      <w:rFonts w:ascii="仿宋_GB2312" w:hAnsi="仿宋_GB2312" w:cs="仿宋_GB2312" w:eastAsia="仿宋_GB2312"/>
                    </w:rPr>
                    <w:t>1.无障碍设施部分遵循《无障碍设计规范》GB50763-2012标准；</w:t>
                  </w:r>
                </w:p>
                <w:p>
                  <w:pPr>
                    <w:pStyle w:val="null3"/>
                  </w:pPr>
                  <w:r>
                    <w:rPr>
                      <w:rFonts w:ascii="仿宋_GB2312" w:hAnsi="仿宋_GB2312" w:cs="仿宋_GB2312" w:eastAsia="仿宋_GB2312"/>
                    </w:rPr>
                    <w:t>2.地面铺设防滑、耐磨、易清洁材质（如防滑地砖等），墙面采用环保乳胶漆，顶部安装LED节能照明系统，需配置智能化导览屏与无障碍服务终端；</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成果展示及洽谈区</w:t>
                  </w:r>
                </w:p>
                <w:p>
                  <w:pPr>
                    <w:pStyle w:val="null3"/>
                  </w:pPr>
                  <w:r>
                    <w:rPr>
                      <w:rFonts w:ascii="仿宋_GB2312" w:hAnsi="仿宋_GB2312" w:cs="仿宋_GB2312" w:eastAsia="仿宋_GB2312"/>
                    </w:rPr>
                    <w:t>800-1000㎡</w:t>
                  </w:r>
                </w:p>
              </w:tc>
              <w:tc>
                <w:tcPr>
                  <w:tcW w:type="dxa" w:w="851"/>
                </w:tcPr>
                <w:p>
                  <w:pPr>
                    <w:pStyle w:val="null3"/>
                  </w:pPr>
                  <w:r>
                    <w:rPr>
                      <w:rFonts w:ascii="仿宋_GB2312" w:hAnsi="仿宋_GB2312" w:cs="仿宋_GB2312" w:eastAsia="仿宋_GB2312"/>
                    </w:rPr>
                    <w:t>1.无障碍设施部分遵循《无障碍设计规范》GB50763-2012标准；</w:t>
                  </w:r>
                </w:p>
                <w:p>
                  <w:pPr>
                    <w:pStyle w:val="null3"/>
                  </w:pPr>
                  <w:r>
                    <w:rPr>
                      <w:rFonts w:ascii="仿宋_GB2312" w:hAnsi="仿宋_GB2312" w:cs="仿宋_GB2312" w:eastAsia="仿宋_GB2312"/>
                    </w:rPr>
                    <w:t>2.展示区采用低位展示架，方便不同使用者参观；</w:t>
                  </w:r>
                </w:p>
                <w:p>
                  <w:pPr>
                    <w:pStyle w:val="null3"/>
                  </w:pPr>
                  <w:r>
                    <w:rPr>
                      <w:rFonts w:ascii="仿宋_GB2312" w:hAnsi="仿宋_GB2312" w:cs="仿宋_GB2312" w:eastAsia="仿宋_GB2312"/>
                    </w:rPr>
                    <w:t>3.洽谈区配置可移动座椅，灯光采用柔和光源，避免强光直射，适配视力障碍者使用。</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办公区</w:t>
                  </w:r>
                </w:p>
                <w:p>
                  <w:pPr>
                    <w:pStyle w:val="null3"/>
                  </w:pPr>
                  <w:r>
                    <w:rPr>
                      <w:rFonts w:ascii="仿宋_GB2312" w:hAnsi="仿宋_GB2312" w:cs="仿宋_GB2312" w:eastAsia="仿宋_GB2312"/>
                    </w:rPr>
                    <w:t>1000-1200㎡</w:t>
                  </w:r>
                </w:p>
              </w:tc>
              <w:tc>
                <w:tcPr>
                  <w:tcW w:type="dxa" w:w="851"/>
                </w:tcPr>
                <w:p>
                  <w:pPr>
                    <w:pStyle w:val="null3"/>
                  </w:pPr>
                  <w:r>
                    <w:rPr>
                      <w:rFonts w:ascii="仿宋_GB2312" w:hAnsi="仿宋_GB2312" w:cs="仿宋_GB2312" w:eastAsia="仿宋_GB2312"/>
                    </w:rPr>
                    <w:t>1.无障碍设施部分遵循《无障碍设计规范》GB50763-2012标准；</w:t>
                  </w:r>
                </w:p>
                <w:p>
                  <w:pPr>
                    <w:pStyle w:val="null3"/>
                  </w:pPr>
                  <w:r>
                    <w:rPr>
                      <w:rFonts w:ascii="仿宋_GB2312" w:hAnsi="仿宋_GB2312" w:cs="仿宋_GB2312" w:eastAsia="仿宋_GB2312"/>
                    </w:rPr>
                    <w:t>2.办公区域动线清晰，避免障碍物遮挡；</w:t>
                  </w:r>
                </w:p>
                <w:p>
                  <w:pPr>
                    <w:pStyle w:val="null3"/>
                  </w:pPr>
                  <w:r>
                    <w:rPr>
                      <w:rFonts w:ascii="仿宋_GB2312" w:hAnsi="仿宋_GB2312" w:cs="仿宋_GB2312" w:eastAsia="仿宋_GB2312"/>
                    </w:rPr>
                    <w:t>3.墙面预留公告栏、政策展示区空间。</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辅助功能区</w:t>
                  </w:r>
                </w:p>
                <w:p>
                  <w:pPr>
                    <w:pStyle w:val="null3"/>
                  </w:pPr>
                  <w:r>
                    <w:rPr>
                      <w:rFonts w:ascii="仿宋_GB2312" w:hAnsi="仿宋_GB2312" w:cs="仿宋_GB2312" w:eastAsia="仿宋_GB2312"/>
                    </w:rPr>
                    <w:t>800㎡</w:t>
                  </w:r>
                </w:p>
              </w:tc>
              <w:tc>
                <w:tcPr>
                  <w:tcW w:type="dxa" w:w="851"/>
                </w:tcPr>
                <w:p>
                  <w:pPr>
                    <w:pStyle w:val="null3"/>
                  </w:pPr>
                  <w:r>
                    <w:rPr>
                      <w:rFonts w:ascii="仿宋_GB2312" w:hAnsi="仿宋_GB2312" w:cs="仿宋_GB2312" w:eastAsia="仿宋_GB2312"/>
                    </w:rPr>
                    <w:t>1.无障碍设施部分遵循《无障碍设计规范》GB50763-2012标准；</w:t>
                  </w:r>
                </w:p>
                <w:p>
                  <w:pPr>
                    <w:pStyle w:val="null3"/>
                  </w:pPr>
                  <w:r>
                    <w:rPr>
                      <w:rFonts w:ascii="仿宋_GB2312" w:hAnsi="仿宋_GB2312" w:cs="仿宋_GB2312" w:eastAsia="仿宋_GB2312"/>
                    </w:rPr>
                    <w:t>2. 配备不低于四个公用卫生间；</w:t>
                  </w:r>
                </w:p>
                <w:p>
                  <w:pPr>
                    <w:pStyle w:val="null3"/>
                  </w:pPr>
                  <w:r>
                    <w:rPr>
                      <w:rFonts w:ascii="仿宋_GB2312" w:hAnsi="仿宋_GB2312" w:cs="仿宋_GB2312" w:eastAsia="仿宋_GB2312"/>
                    </w:rPr>
                    <w:t>3. 配置活动区域；</w:t>
                  </w:r>
                </w:p>
                <w:p>
                  <w:pPr>
                    <w:pStyle w:val="null3"/>
                  </w:pPr>
                  <w:r>
                    <w:rPr>
                      <w:rFonts w:ascii="仿宋_GB2312" w:hAnsi="仿宋_GB2312" w:cs="仿宋_GB2312" w:eastAsia="仿宋_GB2312"/>
                    </w:rPr>
                    <w:t>4. 配备会议室不低于150㎡。</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餐厅</w:t>
                  </w:r>
                </w:p>
                <w:p>
                  <w:pPr>
                    <w:pStyle w:val="null3"/>
                  </w:pPr>
                  <w:r>
                    <w:rPr>
                      <w:rFonts w:ascii="仿宋_GB2312" w:hAnsi="仿宋_GB2312" w:cs="仿宋_GB2312" w:eastAsia="仿宋_GB2312"/>
                    </w:rPr>
                    <w:t>150-200㎡</w:t>
                  </w:r>
                </w:p>
              </w:tc>
              <w:tc>
                <w:tcPr>
                  <w:tcW w:type="dxa" w:w="851"/>
                </w:tcPr>
                <w:p>
                  <w:pPr>
                    <w:pStyle w:val="null3"/>
                  </w:pPr>
                  <w:r>
                    <w:rPr>
                      <w:rFonts w:ascii="仿宋_GB2312" w:hAnsi="仿宋_GB2312" w:cs="仿宋_GB2312" w:eastAsia="仿宋_GB2312"/>
                    </w:rPr>
                    <w:t>1.无障碍设施部分遵循《无障碍设计规范》GB50763-2012标准；</w:t>
                  </w:r>
                </w:p>
                <w:p>
                  <w:pPr>
                    <w:pStyle w:val="null3"/>
                  </w:pPr>
                  <w:r>
                    <w:rPr>
                      <w:rFonts w:ascii="仿宋_GB2312" w:hAnsi="仿宋_GB2312" w:cs="仿宋_GB2312" w:eastAsia="仿宋_GB2312"/>
                    </w:rPr>
                    <w:t>2.设置不少于总餐位数的0.2%的轮椅席位；</w:t>
                  </w:r>
                </w:p>
                <w:p>
                  <w:pPr>
                    <w:pStyle w:val="null3"/>
                  </w:pPr>
                  <w:r>
                    <w:rPr>
                      <w:rFonts w:ascii="仿宋_GB2312" w:hAnsi="仿宋_GB2312" w:cs="仿宋_GB2312" w:eastAsia="仿宋_GB2312"/>
                    </w:rPr>
                    <w:t>3.走廊、楼梯等公共区域墙面做防撞、防磕碰处理，避免尖锐边角。</w:t>
                  </w:r>
                </w:p>
              </w:tc>
            </w:tr>
          </w:tbl>
          <w:p>
            <w:pPr>
              <w:pStyle w:val="null3"/>
            </w:pPr>
            <w:r>
              <w:rPr>
                <w:rFonts w:ascii="仿宋_GB2312" w:hAnsi="仿宋_GB2312" w:cs="仿宋_GB2312" w:eastAsia="仿宋_GB2312"/>
              </w:rPr>
              <w:t>2.无障碍专项装修要求</w:t>
            </w:r>
          </w:p>
          <w:p>
            <w:pPr>
              <w:pStyle w:val="null3"/>
            </w:pPr>
            <w:r>
              <w:rPr>
                <w:rFonts w:ascii="仿宋_GB2312" w:hAnsi="仿宋_GB2312" w:cs="仿宋_GB2312" w:eastAsia="仿宋_GB2312"/>
              </w:rPr>
              <w:t>场地内需设置2-4个无障碍马桶/每层，不低于100米的盲道/每层、无障碍通道不低于80米/每层、每层不低于10个紧急呼叫铃等无障碍设施装修需符合《建筑与市政工程无障碍通用规范》GB 55019-2021、《无障碍设施规范》（GB50763-2012）标准。</w:t>
            </w:r>
          </w:p>
          <w:p>
            <w:pPr>
              <w:pStyle w:val="null3"/>
            </w:pPr>
            <w:r>
              <w:rPr>
                <w:rFonts w:ascii="仿宋_GB2312" w:hAnsi="仿宋_GB2312" w:cs="仿宋_GB2312" w:eastAsia="仿宋_GB2312"/>
              </w:rPr>
              <w:t>3.验收与交付标准</w:t>
            </w:r>
          </w:p>
          <w:p>
            <w:pPr>
              <w:pStyle w:val="null3"/>
            </w:pPr>
            <w:r>
              <w:rPr>
                <w:rFonts w:ascii="仿宋_GB2312" w:hAnsi="仿宋_GB2312" w:cs="仿宋_GB2312" w:eastAsia="仿宋_GB2312"/>
              </w:rPr>
              <w:t>装修整改完成后，需通过以下验收方可交付使用：</w:t>
            </w:r>
          </w:p>
          <w:p>
            <w:pPr>
              <w:pStyle w:val="null3"/>
            </w:pPr>
            <w:r>
              <w:rPr>
                <w:rFonts w:ascii="仿宋_GB2312" w:hAnsi="仿宋_GB2312" w:cs="仿宋_GB2312" w:eastAsia="仿宋_GB2312"/>
              </w:rPr>
              <w:t>（1）专项验收：通用建筑规范：《建筑装饰装修工程质量验收标准》（GB 50210）、《建筑内部装修设计防火规范》（GB 50222），需满足消防验收、环保检测（室内空气质量符合GB 50325）、抗震及防水施工等基础标准。无障碍通用规范：《建筑与市政工程无障碍通用规范》（GB 55019-2021），其中涉及无障碍设施的条款为强制性条文，必须严格执行。</w:t>
            </w:r>
          </w:p>
          <w:p>
            <w:pPr>
              <w:pStyle w:val="null3"/>
            </w:pPr>
            <w:r>
              <w:rPr>
                <w:rFonts w:ascii="仿宋_GB2312" w:hAnsi="仿宋_GB2312" w:cs="仿宋_GB2312" w:eastAsia="仿宋_GB2312"/>
              </w:rPr>
              <w:t>（2）功能验收：由采购人及服务中心运营方确认功能分区、设施配置符合需求；</w:t>
            </w:r>
          </w:p>
          <w:p>
            <w:pPr>
              <w:pStyle w:val="null3"/>
            </w:pPr>
            <w:r>
              <w:rPr>
                <w:rFonts w:ascii="仿宋_GB2312" w:hAnsi="仿宋_GB2312" w:cs="仿宋_GB2312" w:eastAsia="仿宋_GB2312"/>
              </w:rPr>
              <w:t>（3）资料交付：整理完整的装修竣工图纸、验收记录等资料，归档留存。</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三、服务要求</w:t>
            </w:r>
          </w:p>
          <w:p>
            <w:pPr>
              <w:pStyle w:val="null3"/>
            </w:pPr>
            <w:r>
              <w:rPr>
                <w:rFonts w:ascii="仿宋_GB2312" w:hAnsi="仿宋_GB2312" w:cs="仿宋_GB2312" w:eastAsia="仿宋_GB2312"/>
              </w:rPr>
              <w:t>1.人员配置</w:t>
            </w:r>
          </w:p>
          <w:p>
            <w:pPr>
              <w:pStyle w:val="null3"/>
            </w:pPr>
            <w:r>
              <w:rPr>
                <w:rFonts w:ascii="仿宋_GB2312" w:hAnsi="仿宋_GB2312" w:cs="仿宋_GB2312" w:eastAsia="仿宋_GB2312"/>
              </w:rPr>
              <w:t>配备专职运营团队，驻场服务不少于5人，包含运营负责人、综合管理员等，关键岗位需具备残疾人服务、创业相关经验。</w:t>
            </w:r>
          </w:p>
          <w:p>
            <w:pPr>
              <w:pStyle w:val="null3"/>
            </w:pPr>
            <w:r>
              <w:rPr>
                <w:rFonts w:ascii="仿宋_GB2312" w:hAnsi="仿宋_GB2312" w:cs="仿宋_GB2312" w:eastAsia="仿宋_GB2312"/>
              </w:rPr>
              <w:t>2.考核与验收标准</w:t>
            </w:r>
          </w:p>
          <w:p>
            <w:pPr>
              <w:pStyle w:val="null3"/>
            </w:pPr>
            <w:r>
              <w:rPr>
                <w:rFonts w:ascii="仿宋_GB2312" w:hAnsi="仿宋_GB2312" w:cs="仿宋_GB2312" w:eastAsia="仿宋_GB2312"/>
              </w:rPr>
              <w:t>①.中心正常开放率（按规定时间开放）。</w:t>
            </w:r>
          </w:p>
          <w:p>
            <w:pPr>
              <w:pStyle w:val="null3"/>
            </w:pPr>
            <w:r>
              <w:rPr>
                <w:rFonts w:ascii="仿宋_GB2312" w:hAnsi="仿宋_GB2312" w:cs="仿宋_GB2312" w:eastAsia="仿宋_GB2312"/>
              </w:rPr>
              <w:t>②.年度服务残疾人总人次；</w:t>
            </w:r>
          </w:p>
          <w:p>
            <w:pPr>
              <w:pStyle w:val="null3"/>
            </w:pPr>
            <w:r>
              <w:rPr>
                <w:rFonts w:ascii="仿宋_GB2312" w:hAnsi="仿宋_GB2312" w:cs="仿宋_GB2312" w:eastAsia="仿宋_GB2312"/>
              </w:rPr>
              <w:t>③.创业服务、就业服务、公益服务等各项特色服务总场次。</w:t>
            </w:r>
          </w:p>
          <w:p>
            <w:pPr>
              <w:pStyle w:val="null3"/>
            </w:pPr>
            <w:r>
              <w:rPr>
                <w:rFonts w:ascii="仿宋_GB2312" w:hAnsi="仿宋_GB2312" w:cs="仿宋_GB2312" w:eastAsia="仿宋_GB2312"/>
              </w:rPr>
              <w:t>④.服务对象满意度。</w:t>
            </w:r>
          </w:p>
          <w:p>
            <w:pPr>
              <w:pStyle w:val="null3"/>
            </w:pPr>
            <w:r>
              <w:rPr>
                <w:rFonts w:ascii="仿宋_GB2312" w:hAnsi="仿宋_GB2312" w:cs="仿宋_GB2312" w:eastAsia="仿宋_GB2312"/>
              </w:rPr>
              <w:t>⑤.安全事故、各类投诉、运营情况达标度。</w:t>
            </w:r>
          </w:p>
          <w:p>
            <w:pPr>
              <w:pStyle w:val="null3"/>
            </w:pPr>
            <w:r>
              <w:rPr>
                <w:rFonts w:ascii="仿宋_GB2312" w:hAnsi="仿宋_GB2312" w:cs="仿宋_GB2312" w:eastAsia="仿宋_GB2312"/>
              </w:rPr>
              <w:t>3.验收要求</w:t>
            </w:r>
          </w:p>
          <w:p>
            <w:pPr>
              <w:pStyle w:val="null3"/>
            </w:pPr>
            <w:r>
              <w:rPr>
                <w:rFonts w:ascii="仿宋_GB2312" w:hAnsi="仿宋_GB2312" w:cs="仿宋_GB2312" w:eastAsia="仿宋_GB2312"/>
              </w:rPr>
              <w:t>①.采购方按年度对服务内容、指标完成情况进行考核验收。</w:t>
            </w:r>
          </w:p>
          <w:p>
            <w:pPr>
              <w:pStyle w:val="null3"/>
            </w:pPr>
            <w:r>
              <w:rPr>
                <w:rFonts w:ascii="仿宋_GB2312" w:hAnsi="仿宋_GB2312" w:cs="仿宋_GB2312" w:eastAsia="仿宋_GB2312"/>
              </w:rPr>
              <w:t>②.验收资料包括：运营报告、服务台账、活动资料、就业证明等。</w:t>
            </w:r>
          </w:p>
          <w:p>
            <w:pPr>
              <w:pStyle w:val="null3"/>
            </w:pPr>
            <w:r>
              <w:rPr>
                <w:rFonts w:ascii="仿宋_GB2312" w:hAnsi="仿宋_GB2312" w:cs="仿宋_GB2312" w:eastAsia="仿宋_GB2312"/>
              </w:rPr>
              <w:t>③.验收不合格的，限期整改；整改仍不合格的，终止合同。</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四、商务要求</w:t>
            </w:r>
          </w:p>
          <w:p>
            <w:pPr>
              <w:pStyle w:val="null3"/>
            </w:pPr>
            <w:r>
              <w:rPr>
                <w:rFonts w:ascii="仿宋_GB2312" w:hAnsi="仿宋_GB2312" w:cs="仿宋_GB2312" w:eastAsia="仿宋_GB2312"/>
              </w:rPr>
              <w:t>1.服务期：服务期五年（期间相关协议按每三年续签一次执行）</w:t>
            </w:r>
          </w:p>
          <w:p>
            <w:pPr>
              <w:pStyle w:val="null3"/>
            </w:pPr>
            <w:r>
              <w:rPr>
                <w:rFonts w:ascii="仿宋_GB2312" w:hAnsi="仿宋_GB2312" w:cs="仿宋_GB2312" w:eastAsia="仿宋_GB2312"/>
              </w:rPr>
              <w:t>2.服务地点：采购人指定地点。</w:t>
            </w:r>
          </w:p>
          <w:p>
            <w:pPr>
              <w:pStyle w:val="null3"/>
            </w:pPr>
            <w:r>
              <w:rPr>
                <w:rFonts w:ascii="仿宋_GB2312" w:hAnsi="仿宋_GB2312" w:cs="仿宋_GB2312" w:eastAsia="仿宋_GB2312"/>
              </w:rPr>
              <w:t>3.场地使用</w:t>
            </w:r>
          </w:p>
          <w:p>
            <w:pPr>
              <w:pStyle w:val="null3"/>
            </w:pPr>
            <w:r>
              <w:rPr>
                <w:rFonts w:ascii="仿宋_GB2312" w:hAnsi="仿宋_GB2312" w:cs="仿宋_GB2312" w:eastAsia="仿宋_GB2312"/>
              </w:rPr>
              <w:t>（1）采购人无偿提供运营场地。</w:t>
            </w:r>
          </w:p>
          <w:p>
            <w:pPr>
              <w:pStyle w:val="null3"/>
            </w:pPr>
            <w:r>
              <w:rPr>
                <w:rFonts w:ascii="仿宋_GB2312" w:hAnsi="仿宋_GB2312" w:cs="仿宋_GB2312" w:eastAsia="仿宋_GB2312"/>
              </w:rPr>
              <w:t>（2）场地仅用于助残、涉残相关项目展示、就业服务等“公益+商业+运营”用途。</w:t>
            </w:r>
          </w:p>
          <w:p>
            <w:pPr>
              <w:pStyle w:val="null3"/>
            </w:pPr>
            <w:r>
              <w:rPr>
                <w:rFonts w:ascii="仿宋_GB2312" w:hAnsi="仿宋_GB2312" w:cs="仿宋_GB2312" w:eastAsia="仿宋_GB2312"/>
              </w:rPr>
              <w:t>（3）场地日常运维、水电、物业、耗材等全部费用由运营单位承担。</w:t>
            </w:r>
          </w:p>
          <w:p>
            <w:pPr>
              <w:pStyle w:val="null3"/>
            </w:pPr>
            <w:r>
              <w:rPr>
                <w:rFonts w:ascii="仿宋_GB2312" w:hAnsi="仿宋_GB2312" w:cs="仿宋_GB2312" w:eastAsia="仿宋_GB2312"/>
              </w:rPr>
              <w:t>4.自收自支与收费管理</w:t>
            </w:r>
          </w:p>
          <w:p>
            <w:pPr>
              <w:pStyle w:val="null3"/>
            </w:pPr>
            <w:r>
              <w:rPr>
                <w:rFonts w:ascii="仿宋_GB2312" w:hAnsi="仿宋_GB2312" w:cs="仿宋_GB2312" w:eastAsia="仿宋_GB2312"/>
              </w:rPr>
              <w:t>（1）运营单位自主合法开展经营性服务，收入归运营单位所有，自负盈亏。</w:t>
            </w:r>
          </w:p>
          <w:p>
            <w:pPr>
              <w:pStyle w:val="null3"/>
            </w:pPr>
            <w:r>
              <w:rPr>
                <w:rFonts w:ascii="仿宋_GB2312" w:hAnsi="仿宋_GB2312" w:cs="仿宋_GB2312" w:eastAsia="仿宋_GB2312"/>
              </w:rPr>
              <w:t>（2）对采购方指定的残疾人项目提供基础服务全免费，市场化增值服务需公示收费标准，不得乱收费。</w:t>
            </w:r>
          </w:p>
          <w:p>
            <w:pPr>
              <w:pStyle w:val="null3"/>
            </w:pPr>
            <w:r>
              <w:rPr>
                <w:rFonts w:ascii="仿宋_GB2312" w:hAnsi="仿宋_GB2312" w:cs="仿宋_GB2312" w:eastAsia="仿宋_GB2312"/>
              </w:rPr>
              <w:t>（3）建立增值服务的规范管理制度，接受采购方及相关部门监督。</w:t>
            </w:r>
          </w:p>
          <w:p>
            <w:pPr>
              <w:pStyle w:val="null3"/>
            </w:pPr>
            <w:r>
              <w:rPr>
                <w:rFonts w:ascii="仿宋_GB2312" w:hAnsi="仿宋_GB2312" w:cs="仿宋_GB2312" w:eastAsia="仿宋_GB2312"/>
              </w:rPr>
              <w:t>（4）在合同约定范围内，对中心进行自付费装修整改（面积约4500㎡），运营单位投入的装修在合同终止时，将无偿归采购方所有。装修期限为120日，起算日为合同签署当日；服务期限自项目正式营业之日起开始计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服务期五年（期间相关协议按每三年续签一次执行）。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装修整改完成后，需通过以下验收方可交付使用： （1）专项验收：通用建筑规范：《建筑装饰装修工程质量验收标准》（GB 50210）、《建筑内部装修设计防火规范》（GB 50222），需满足消防验收、环保检测（室内空气质量符合GB 50325）、抗震及防水施工等基础标准。无障碍通用规范：《建筑与市政工程无障碍通用规范》（GB 55019-2021），其中涉及无障碍设施的条款为强制性条文，必须严格执行。 （2）功能验收：由采购人及服务中心运营方确认功能分区、设施配置符合需求； （3）资料交付：整理完整的装修竣工图纸、验收记录等资料，归档留存。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采购方无偿提供场地，不支付运营经费，由中标运营单位实行自收自支、自主经营、自负盈亏；</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甲乙双方均应认真履行合同所约定的职责，对执行合同中发生的问题，任何一方违约而造成合同不能继续履行或其他严重后果，违约方须承担责任并赔偿受害方的经济损失。包括但不限于直接经济损失、间接损失、律师费、调查取证费、差旅费等维权费用。 解决争议的方法：合同执行中发生争议的，当事人双方应协商解决。协商不一致时，向向有管辖权的人民法院提起诉讼。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1.本项目专门面向中小企业采购，供应商应为中小微企业或监狱企业或残疾人福利性单位。 2.本项目合同包1采购标的所属行业为：其他未列明行业； 3.本项目是否属于信用担保试点范围：否。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2.提供2025年11月至今已缴纳的至少一个月的纳税证明或完税证明（任意税种），依法免税的单位应提供相关证明材料； 3.提供2025年11月至今已缴存的至少一个月的社会保障资金缴存单据或社保机构开具的社会保险参保缴费情况证明，依法不需要缴纳社会保障资金的单位应提供相关证明材料； 4.提供具有履行合同所必需的设备和专业技术能力的承诺；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投标文件上法定代表人或其授权代表人的签字、盖章齐全并加盖供应商公章；</w:t>
            </w:r>
          </w:p>
        </w:tc>
        <w:tc>
          <w:tcPr>
            <w:tcW w:type="dxa" w:w="1661"/>
          </w:tcPr>
          <w:p>
            <w:pPr>
              <w:pStyle w:val="null3"/>
            </w:pPr>
            <w:r>
              <w:rPr>
                <w:rFonts w:ascii="仿宋_GB2312" w:hAnsi="仿宋_GB2312" w:cs="仿宋_GB2312" w:eastAsia="仿宋_GB2312"/>
              </w:rPr>
              <w:t>供应商参加政府采购活动承诺书.docx 开标一览表 投标方案.docx 业绩.docx 中小企业声明函 资格证明文件.docx 投标函 残疾人福利性单位声明函 其它说明.docx 标的清单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供应商参加政府采购活动承诺书.docx 开标一览表 投标方案.docx 业绩.docx 中小企业声明函 资格证明文件.docx 投标函 残疾人福利性单位声明函 其它说明.docx 标的清单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投标文件内容齐全、无遗漏（除评标因素外）；</w:t>
            </w:r>
          </w:p>
        </w:tc>
        <w:tc>
          <w:tcPr>
            <w:tcW w:type="dxa" w:w="1661"/>
          </w:tcPr>
          <w:p>
            <w:pPr>
              <w:pStyle w:val="null3"/>
            </w:pPr>
            <w:r>
              <w:rPr>
                <w:rFonts w:ascii="仿宋_GB2312" w:hAnsi="仿宋_GB2312" w:cs="仿宋_GB2312" w:eastAsia="仿宋_GB2312"/>
              </w:rPr>
              <w:t>投标方案.docx 投标函 其它说明.docx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投标方案.docx 投标函 其它说明.docx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投标方案.docx 投标函 其它说明.docx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投标方案.docx 投标函 其它说明.docx 商务条款偏离表.docx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项目定位及理解</w:t>
            </w:r>
          </w:p>
        </w:tc>
        <w:tc>
          <w:tcPr>
            <w:tcW w:type="dxa" w:w="2492"/>
          </w:tcPr>
          <w:p>
            <w:pPr>
              <w:pStyle w:val="null3"/>
            </w:pPr>
            <w:r>
              <w:rPr>
                <w:rFonts w:ascii="仿宋_GB2312" w:hAnsi="仿宋_GB2312" w:cs="仿宋_GB2312" w:eastAsia="仿宋_GB2312"/>
              </w:rPr>
              <w:t>一、评审内容 针对服务内容及要求提供关于：①对项目背景、目标了解及分析；②运营工作的整体思路；③宣传推广活动；④运营服务流程⑤对项目重点与难点的分析等。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15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针对服务内容及要求提供关于整体服务方案，包括但不限于：①服务目标、范围；②服务方案及策略；③服务标准；④进度安排及保证⑤培训计划、与企业对接方案等。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15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一、评审内容 针对服务内容及要求提供工作进度安排，包括但不限于：①工作流程；②工作进度及时间安排；③工作时效保证措施等。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针对服务内容及要求提供关于服务保障措施，包括但不限于：①服务质量保证承诺；②服务响应时限及人员到位安排情况；③保密措施；④安全保障措施；⑤服务期内团队稳定性等。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15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一、评审内容 针对服务内容及要求提供：①质量保证体系；②质量控制；③质量保证措施等。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针对服务内容及要求提供：①风险预测；②对突发事件快速响应的时间；③调动人员的数量；④组织协调能力；⑤合理的处理方案等。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15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针对服务内容及要求提供：①项目人团配置明细；②岗位分工及职责；③人员管理制度；④配置人员学历及工作经验等。 二、赋分标准 完整提供上述4项内容且具有针对性及可行性得20分，每有一项未提供扣5分，扣完为止；每有一处有缺陷扣0.5分，扣完为止。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供应商提供2022年01月01日至今类似项目业绩，每提供1份得1分，最高得2分； 业绩证明（以合同/协议或中标/成交通知书为准，须在投标文件中附合同/协议或中标/成交通知书的扫描件加盖单位公章）弄虚作假者，取消其中标资格。</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详见附件：莲湖区助残产业发展服务中心运营服务项目合同.docx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