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86EE9">
      <w:pPr>
        <w:pStyle w:val="7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5987C5A3">
      <w:pPr>
        <w:spacing w:line="520" w:lineRule="exact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</w:pPr>
      <w:bookmarkStart w:id="0" w:name="_Toc29551"/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  <w:t>需方（甲方）：西安市碑林区疾病预防控制中心</w:t>
      </w:r>
    </w:p>
    <w:p w14:paraId="603AD961">
      <w:pPr>
        <w:spacing w:line="520" w:lineRule="exact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  <w:t xml:space="preserve">供方（乙方）：                          </w:t>
      </w:r>
    </w:p>
    <w:p w14:paraId="47F4112C">
      <w:pPr>
        <w:spacing w:line="520" w:lineRule="exact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  <w:t>合同签订地点：西安市碑林区疾病预防控制中心</w:t>
      </w:r>
    </w:p>
    <w:p w14:paraId="0F183FEF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根据《中华人民共和国民法典》及其他有关法律、法规，就乙方向甲方供货事宜，双方本着平等自愿、友好协商的原则，在遵守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采购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文件、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文件所有条款规定基础上，经双方协商一致同意签订本合同。</w:t>
      </w:r>
    </w:p>
    <w:p w14:paraId="1FB451AC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一、供货清单</w:t>
      </w:r>
    </w:p>
    <w:tbl>
      <w:tblPr>
        <w:tblStyle w:val="5"/>
        <w:tblW w:w="60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2114"/>
        <w:gridCol w:w="922"/>
        <w:gridCol w:w="528"/>
        <w:gridCol w:w="715"/>
        <w:gridCol w:w="1341"/>
        <w:gridCol w:w="1280"/>
        <w:gridCol w:w="1368"/>
        <w:gridCol w:w="1399"/>
      </w:tblGrid>
      <w:tr w14:paraId="1377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" w:type="pct"/>
            <w:noWrap w:val="0"/>
            <w:vAlign w:val="center"/>
          </w:tcPr>
          <w:p w14:paraId="2D05CA60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  <w:t>序号</w:t>
            </w:r>
          </w:p>
        </w:tc>
        <w:tc>
          <w:tcPr>
            <w:tcW w:w="1029" w:type="pct"/>
            <w:noWrap w:val="0"/>
            <w:vAlign w:val="center"/>
          </w:tcPr>
          <w:p w14:paraId="563F9D1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设备名称</w:t>
            </w:r>
          </w:p>
        </w:tc>
        <w:tc>
          <w:tcPr>
            <w:tcW w:w="449" w:type="pct"/>
            <w:noWrap w:val="0"/>
            <w:vAlign w:val="center"/>
          </w:tcPr>
          <w:p w14:paraId="1C194CB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规格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型号</w:t>
            </w:r>
          </w:p>
        </w:tc>
        <w:tc>
          <w:tcPr>
            <w:tcW w:w="257" w:type="pct"/>
            <w:noWrap w:val="0"/>
            <w:vAlign w:val="center"/>
          </w:tcPr>
          <w:p w14:paraId="78741421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数量</w:t>
            </w:r>
          </w:p>
        </w:tc>
        <w:tc>
          <w:tcPr>
            <w:tcW w:w="348" w:type="pct"/>
            <w:noWrap w:val="0"/>
            <w:vAlign w:val="center"/>
          </w:tcPr>
          <w:p w14:paraId="5796D10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  <w:t>单位</w:t>
            </w:r>
          </w:p>
        </w:tc>
        <w:tc>
          <w:tcPr>
            <w:tcW w:w="653" w:type="pct"/>
            <w:noWrap w:val="0"/>
            <w:vAlign w:val="center"/>
          </w:tcPr>
          <w:p w14:paraId="63A8D7C3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单价</w:t>
            </w:r>
          </w:p>
          <w:p w14:paraId="3FCC3D9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（万元）</w:t>
            </w:r>
          </w:p>
        </w:tc>
        <w:tc>
          <w:tcPr>
            <w:tcW w:w="623" w:type="pct"/>
            <w:noWrap w:val="0"/>
            <w:vAlign w:val="center"/>
          </w:tcPr>
          <w:p w14:paraId="173F96E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总价</w:t>
            </w:r>
          </w:p>
          <w:p w14:paraId="1E5682E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（万元）</w:t>
            </w:r>
          </w:p>
        </w:tc>
        <w:tc>
          <w:tcPr>
            <w:tcW w:w="666" w:type="pct"/>
            <w:noWrap w:val="0"/>
            <w:vAlign w:val="center"/>
          </w:tcPr>
          <w:p w14:paraId="180100D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生产厂家</w:t>
            </w:r>
          </w:p>
        </w:tc>
        <w:tc>
          <w:tcPr>
            <w:tcW w:w="677" w:type="pct"/>
            <w:noWrap w:val="0"/>
            <w:vAlign w:val="center"/>
          </w:tcPr>
          <w:p w14:paraId="3E8537CD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备注</w:t>
            </w:r>
          </w:p>
        </w:tc>
      </w:tr>
      <w:tr w14:paraId="048D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4" w:type="pct"/>
            <w:noWrap w:val="0"/>
            <w:vAlign w:val="center"/>
          </w:tcPr>
          <w:p w14:paraId="7010FBD6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29" w:type="pct"/>
            <w:noWrap w:val="0"/>
            <w:vAlign w:val="center"/>
          </w:tcPr>
          <w:p w14:paraId="25A6A86B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39A3120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257" w:type="pct"/>
            <w:noWrap w:val="0"/>
            <w:vAlign w:val="center"/>
          </w:tcPr>
          <w:p w14:paraId="6325A77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6182DD51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53" w:type="pct"/>
            <w:noWrap w:val="0"/>
            <w:vAlign w:val="center"/>
          </w:tcPr>
          <w:p w14:paraId="6548E497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23" w:type="pct"/>
            <w:noWrap w:val="0"/>
            <w:vAlign w:val="center"/>
          </w:tcPr>
          <w:p w14:paraId="163F8831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noWrap w:val="0"/>
            <w:vAlign w:val="center"/>
          </w:tcPr>
          <w:p w14:paraId="4AC9A087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noWrap w:val="0"/>
            <w:vAlign w:val="center"/>
          </w:tcPr>
          <w:p w14:paraId="1507952D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</w:tr>
      <w:tr w14:paraId="5FBD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4" w:type="pct"/>
            <w:noWrap w:val="0"/>
            <w:vAlign w:val="center"/>
          </w:tcPr>
          <w:p w14:paraId="292C0A6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29" w:type="pct"/>
            <w:noWrap w:val="0"/>
            <w:vAlign w:val="center"/>
          </w:tcPr>
          <w:p w14:paraId="59E420A7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449" w:type="pct"/>
            <w:noWrap w:val="0"/>
            <w:vAlign w:val="center"/>
          </w:tcPr>
          <w:p w14:paraId="4ECDE1C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257" w:type="pct"/>
            <w:noWrap w:val="0"/>
            <w:vAlign w:val="center"/>
          </w:tcPr>
          <w:p w14:paraId="35F23B41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57B2FC4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53" w:type="pct"/>
            <w:noWrap w:val="0"/>
            <w:vAlign w:val="center"/>
          </w:tcPr>
          <w:p w14:paraId="4D108F8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23" w:type="pct"/>
            <w:noWrap w:val="0"/>
            <w:vAlign w:val="center"/>
          </w:tcPr>
          <w:p w14:paraId="19EB85E2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noWrap w:val="0"/>
            <w:vAlign w:val="center"/>
          </w:tcPr>
          <w:p w14:paraId="487869F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noWrap w:val="0"/>
            <w:vAlign w:val="center"/>
          </w:tcPr>
          <w:p w14:paraId="0BCF4F0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</w:tr>
      <w:tr w14:paraId="5C7E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4" w:type="pct"/>
            <w:noWrap w:val="0"/>
            <w:vAlign w:val="center"/>
          </w:tcPr>
          <w:p w14:paraId="0301EA0E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29" w:type="pct"/>
            <w:noWrap w:val="0"/>
            <w:vAlign w:val="center"/>
          </w:tcPr>
          <w:p w14:paraId="62A075B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449" w:type="pct"/>
            <w:noWrap w:val="0"/>
            <w:vAlign w:val="center"/>
          </w:tcPr>
          <w:p w14:paraId="5D176560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257" w:type="pct"/>
            <w:noWrap w:val="0"/>
            <w:vAlign w:val="center"/>
          </w:tcPr>
          <w:p w14:paraId="4ADF53A7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6B0266B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53" w:type="pct"/>
            <w:noWrap w:val="0"/>
            <w:vAlign w:val="center"/>
          </w:tcPr>
          <w:p w14:paraId="43B0525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23" w:type="pct"/>
            <w:noWrap w:val="0"/>
            <w:vAlign w:val="center"/>
          </w:tcPr>
          <w:p w14:paraId="5E927BF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noWrap w:val="0"/>
            <w:vAlign w:val="center"/>
          </w:tcPr>
          <w:p w14:paraId="3014A0F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noWrap w:val="0"/>
            <w:vAlign w:val="center"/>
          </w:tcPr>
          <w:p w14:paraId="600C13B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</w:tr>
      <w:tr w14:paraId="1A1B8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4" w:type="pct"/>
            <w:noWrap w:val="0"/>
            <w:vAlign w:val="center"/>
          </w:tcPr>
          <w:p w14:paraId="41D9952D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29" w:type="pct"/>
            <w:noWrap w:val="0"/>
            <w:vAlign w:val="center"/>
          </w:tcPr>
          <w:p w14:paraId="5EA2CFB9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449" w:type="pct"/>
            <w:noWrap w:val="0"/>
            <w:vAlign w:val="center"/>
          </w:tcPr>
          <w:p w14:paraId="3EA1E122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257" w:type="pct"/>
            <w:noWrap w:val="0"/>
            <w:vAlign w:val="center"/>
          </w:tcPr>
          <w:p w14:paraId="4454D2CF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6BCE603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53" w:type="pct"/>
            <w:noWrap w:val="0"/>
            <w:vAlign w:val="center"/>
          </w:tcPr>
          <w:p w14:paraId="6EE14788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23" w:type="pct"/>
            <w:noWrap w:val="0"/>
            <w:vAlign w:val="center"/>
          </w:tcPr>
          <w:p w14:paraId="4633C77F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noWrap w:val="0"/>
            <w:vAlign w:val="center"/>
          </w:tcPr>
          <w:p w14:paraId="5F1C6DDE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noWrap w:val="0"/>
            <w:vAlign w:val="center"/>
          </w:tcPr>
          <w:p w14:paraId="4B4B1723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</w:tr>
      <w:tr w14:paraId="04609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4" w:type="pct"/>
            <w:noWrap w:val="0"/>
            <w:vAlign w:val="center"/>
          </w:tcPr>
          <w:p w14:paraId="7060978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29" w:type="pct"/>
            <w:noWrap w:val="0"/>
            <w:vAlign w:val="center"/>
          </w:tcPr>
          <w:p w14:paraId="5C914374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449" w:type="pct"/>
            <w:noWrap w:val="0"/>
            <w:vAlign w:val="center"/>
          </w:tcPr>
          <w:p w14:paraId="671DE8B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257" w:type="pct"/>
            <w:noWrap w:val="0"/>
            <w:vAlign w:val="center"/>
          </w:tcPr>
          <w:p w14:paraId="4486EF98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40B1208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53" w:type="pct"/>
            <w:noWrap w:val="0"/>
            <w:vAlign w:val="center"/>
          </w:tcPr>
          <w:p w14:paraId="0B3AF98C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23" w:type="pct"/>
            <w:noWrap w:val="0"/>
            <w:vAlign w:val="center"/>
          </w:tcPr>
          <w:p w14:paraId="38448182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noWrap w:val="0"/>
            <w:vAlign w:val="center"/>
          </w:tcPr>
          <w:p w14:paraId="511C96F2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noWrap w:val="0"/>
            <w:vAlign w:val="center"/>
          </w:tcPr>
          <w:p w14:paraId="6F48C85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</w:tr>
      <w:tr w14:paraId="545AE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4" w:type="pct"/>
            <w:noWrap w:val="0"/>
            <w:vAlign w:val="center"/>
          </w:tcPr>
          <w:p w14:paraId="0ACC989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29" w:type="pct"/>
            <w:noWrap w:val="0"/>
            <w:vAlign w:val="center"/>
          </w:tcPr>
          <w:p w14:paraId="5A7062F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449" w:type="pct"/>
            <w:noWrap w:val="0"/>
            <w:vAlign w:val="center"/>
          </w:tcPr>
          <w:p w14:paraId="5B02F714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257" w:type="pct"/>
            <w:noWrap w:val="0"/>
            <w:vAlign w:val="center"/>
          </w:tcPr>
          <w:p w14:paraId="6DA5BF8A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2B72375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653" w:type="pct"/>
            <w:noWrap w:val="0"/>
            <w:vAlign w:val="center"/>
          </w:tcPr>
          <w:p w14:paraId="573874EB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23" w:type="pct"/>
            <w:noWrap w:val="0"/>
            <w:vAlign w:val="center"/>
          </w:tcPr>
          <w:p w14:paraId="1E2A0044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noWrap w:val="0"/>
            <w:vAlign w:val="center"/>
          </w:tcPr>
          <w:p w14:paraId="0241FD31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noWrap w:val="0"/>
            <w:vAlign w:val="center"/>
          </w:tcPr>
          <w:p w14:paraId="5B8551EF">
            <w:pPr>
              <w:tabs>
                <w:tab w:val="left" w:pos="1050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</w:p>
        </w:tc>
      </w:tr>
      <w:tr w14:paraId="12CF1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302CC5B2">
            <w:pPr>
              <w:tabs>
                <w:tab w:val="left" w:pos="1050"/>
              </w:tabs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 xml:space="preserve">总金额（大写）：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 xml:space="preserve">  (¥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2"/>
                <w:szCs w:val="22"/>
              </w:rPr>
              <w:t>元）（含税）</w:t>
            </w:r>
          </w:p>
        </w:tc>
      </w:tr>
    </w:tbl>
    <w:p w14:paraId="5FE1405D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二、1.交货地点：西安市碑林区疾病预防控制中心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新址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（设备安装点）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 </w:t>
      </w:r>
    </w:p>
    <w:p w14:paraId="4FE3CF72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2.交货注意事项：交货前与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甲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方主管科室等部门联系做好设备进场前期准备工作，进场时和进场后必须严格按照相关部门要求开展工作。</w:t>
      </w:r>
    </w:p>
    <w:p w14:paraId="4EE42CB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3.设备安装前需要主动与项目单位主管部门对接，协商安装事宜。</w:t>
      </w:r>
    </w:p>
    <w:p w14:paraId="2CB0DFD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4.设备安装后负责清理安装时所产生的垃圾及外包装。</w:t>
      </w:r>
    </w:p>
    <w:p w14:paraId="1014A0F2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三、1.交货期：合同签订后，在具备安装条件之日起30天（如若生产厂家或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成交供应商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在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文件内体现交货期＜30天的以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文件为准）。</w:t>
      </w:r>
    </w:p>
    <w:p w14:paraId="6AF2B76C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2.安装期：设备到场后，乙方需在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天内完成安装调试工作，并达到甲方要求的验收标准。</w:t>
      </w:r>
    </w:p>
    <w:p w14:paraId="1D29117C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四、合同价款</w:t>
      </w:r>
    </w:p>
    <w:p w14:paraId="268C657D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1.合同总价是产品在使用地点达到正常使用条件下所包含的所有费用，包括：新产品供应价、运杂费(含保险)、调试费、培训费及其它相关费用。</w:t>
      </w:r>
    </w:p>
    <w:p w14:paraId="475A308B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2.合同总价一次包死，在合同执行期间不受市场价变化的影响。</w:t>
      </w:r>
    </w:p>
    <w:p w14:paraId="7CC1C8BA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五、付款方式（按具体约定执行）</w:t>
      </w:r>
    </w:p>
    <w:p w14:paraId="610B31F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合同签订后10个工作日内，甲方向乙方支付合同总价款的60%；采购设备均安装调试完成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验收合格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后40个工作日内，甲方向乙方支付合同总价款的40%。</w:t>
      </w:r>
      <w:bookmarkStart w:id="1" w:name="_GoBack"/>
      <w:bookmarkEnd w:id="1"/>
    </w:p>
    <w:p w14:paraId="6B18834C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.乙方指定收款银行账户信息:</w:t>
      </w:r>
    </w:p>
    <w:p w14:paraId="4A29FFBE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1)公司名称：            </w:t>
      </w:r>
    </w:p>
    <w:p w14:paraId="52271DCD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2)开户行名称：  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zh-CN"/>
        </w:rPr>
        <w:t xml:space="preserve">  </w:t>
      </w:r>
    </w:p>
    <w:p w14:paraId="59D7A1F2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3)帐号：               </w:t>
      </w:r>
    </w:p>
    <w:p w14:paraId="74140CF8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.甲方付款前，乙方应当按照甲方要求提供正规等额税票，否则甲方付款时间相应顺延；同时甲方内部报账付款流程期限导致不能按期付款的，付款时间相应顺延，不属于违约，无需承担违约责任。</w:t>
      </w:r>
    </w:p>
    <w:p w14:paraId="375B3F33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六、运输</w:t>
      </w:r>
    </w:p>
    <w:p w14:paraId="22121ED1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1.运杂费：一次包死，已包含在合同总价内，包括从产品供应地点到交货地点所包含的运输费、保险费、装卸费、搬运费等全部费用。</w:t>
      </w:r>
    </w:p>
    <w:p w14:paraId="6638DBF8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2.运输方式：乙方自行选择。</w:t>
      </w:r>
    </w:p>
    <w:p w14:paraId="2276A3E8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七、售后服务</w:t>
      </w:r>
    </w:p>
    <w:p w14:paraId="3BBB7398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1.质保期:硬件1年硬件质保，软件系统5年（如生产厂家或成交供应商在响应文件内体现质保期＞前述要求的以响应文件为准）质保期内设备需要进行无偿的、定期的维护和保养。</w:t>
      </w:r>
    </w:p>
    <w:p w14:paraId="7ECCAADF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质保期内服务：在质保期内（质保期起始日期应为安装验收合格之日起），乙方在接到用户对所购设备进行维修的要求后，应在4小时内给予答复，并派出合格的维修人员在1个工作日内到用户现场进行维修服务。若因设备质量造成损害，全部费用由乙方自行支付；若需将产品送回生产厂维修，乙方还应支付维修设备所需的往返全部费用。</w:t>
      </w:r>
    </w:p>
    <w:p w14:paraId="62484EAD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3.质保期外服务：在质保期后设备终身维修，维修时只收取零配件成本价格费用，免收其余一切费用。</w:t>
      </w:r>
    </w:p>
    <w:p w14:paraId="48E97276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4.大型设备应当提供维修维护手册、常用备件（包括耗材）与易损零部件的清单及价格表。</w:t>
      </w:r>
    </w:p>
    <w:p w14:paraId="07A06089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5.有故障代码和维修密码的设备应提供故障代码表及维修密码，带有软件的设备应提供软件备份。</w:t>
      </w:r>
    </w:p>
    <w:p w14:paraId="1F54EF56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八、质量保证</w:t>
      </w:r>
    </w:p>
    <w:p w14:paraId="4898124F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1.乙方设备及材料必须保证质量可靠、进货渠道正常、配置合理，满足标书要求。</w:t>
      </w:r>
    </w:p>
    <w:p w14:paraId="3BD31314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2.所投产品必须是最新工艺生产的最新产品，产品因原材料或加工工艺造成的质量和内外观缺陷问题，由乙方负责解决并承担全部维修、更换费用，并赔偿因此给甲方造成的一切损失。</w:t>
      </w:r>
    </w:p>
    <w:p w14:paraId="2AD1BBA6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3.乙方应保证合同项下所供设备是合同规定厂家制造的、全新的、未使用过的，并完全符合合同规定的质量、规格和性能要求的合格产品。</w:t>
      </w:r>
    </w:p>
    <w:p w14:paraId="307C029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4.乙方应保证其设备在正确安装、正常使用和保养条件下，在其使用寿命期内应具有满意的性能。</w:t>
      </w:r>
    </w:p>
    <w:p w14:paraId="076E093F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5.根据检验结果或者在质量保证期内，如果设备的数量、质量或规格与合同不符，或证实设备是有缺陷的，包括潜在的缺陷，乙方应赔偿由此给甲方造成的一切损失。</w:t>
      </w:r>
    </w:p>
    <w:p w14:paraId="0107794A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6.乙方设备经过国家法定部门鉴定和注册。</w:t>
      </w:r>
    </w:p>
    <w:p w14:paraId="1D36CF7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7.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乙方设备必须性能稳定、具有较好的使用效果，质量保证措施完善，符合国家相关标准。</w:t>
      </w:r>
    </w:p>
    <w:p w14:paraId="1504F0A6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九、检验和测试</w:t>
      </w:r>
    </w:p>
    <w:p w14:paraId="0E9AEA1B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1.甲方或其代表应有权检验和测试产品及其部件，以确认所供产品是否符合合同规格的要求，并且不承担额外的费用。甲方要求进行的检验和测试，以及在何处进行这些检验和测试，以书面形式通知乙方。</w:t>
      </w:r>
    </w:p>
    <w:p w14:paraId="572AC83D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2.检验和测试在甲方指定的地点或单位进行，以出具合格的检测报告为准。</w:t>
      </w:r>
    </w:p>
    <w:p w14:paraId="18D79E7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十、技术服务</w:t>
      </w:r>
    </w:p>
    <w:p w14:paraId="5296D3EA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1.技术资料：提供产品合格证和使用说明书(中文)以及产品图纸。</w:t>
      </w:r>
    </w:p>
    <w:p w14:paraId="1F27BF72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2.技术培训：</w:t>
      </w:r>
    </w:p>
    <w:p w14:paraId="1821D46C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1)内容：应包括设备原理、使用操作、保养维修技术，使受训人员达到独立使用、熟练操作的程度。</w:t>
      </w:r>
    </w:p>
    <w:p w14:paraId="184562B3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2)地点：按照甲方要求。</w:t>
      </w:r>
    </w:p>
    <w:p w14:paraId="0CDD4C9E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3)人员：按照甲方要求。</w:t>
      </w:r>
    </w:p>
    <w:p w14:paraId="7FAE9554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4)费用：已包含在合同总价内，甲方不再另行支付。。</w:t>
      </w:r>
    </w:p>
    <w:p w14:paraId="2E348AA3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十一、验收  </w:t>
      </w:r>
    </w:p>
    <w:p w14:paraId="4B27337B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1.设备到货后，乙方负责安装调试，达到正常运行条件后通知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甲方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验收。</w:t>
      </w:r>
    </w:p>
    <w:p w14:paraId="621F9A9F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2.甲方根据合同要求对设备进行验收、确认设备产地、规格、型号和数量。如有必要可通知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采购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代理机构并邀请有关专家验收。</w:t>
      </w:r>
    </w:p>
    <w:p w14:paraId="6935A941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3.验收合格后，甲乙双方填写设备安装验收单，并向使用单位提交设备所包含的所有资料。以便使用单位日后管理和维护。</w:t>
      </w:r>
    </w:p>
    <w:p w14:paraId="3AECA220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4.验收依据：合同文本、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eastAsia="zh-CN"/>
        </w:rPr>
        <w:t>采购文件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eastAsia="zh-CN"/>
        </w:rPr>
        <w:t>响应文件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以及国内相应的标准、规范。</w:t>
      </w:r>
    </w:p>
    <w:p w14:paraId="656A5635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5.乙方提供《项目实施报告》且评价达到“满足”或“基本满足”。 </w:t>
      </w:r>
    </w:p>
    <w:p w14:paraId="1B545277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十二、安全责任</w:t>
      </w:r>
    </w:p>
    <w:p w14:paraId="702B456C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1.乙方在运输、装卸、安装调试设备时，应当注意严格按照安全规范操作，若发生人身损伤或者设备损坏等事件时，由乙方承担全部赔偿责任和法律责任。</w:t>
      </w:r>
    </w:p>
    <w:p w14:paraId="5F580778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2.本合同所约定的设备在交付甲方前，设备可能存在毁损、灭失等风险全部由乙方承担。</w:t>
      </w:r>
    </w:p>
    <w:p w14:paraId="410DF13A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十三、违约责任</w:t>
      </w:r>
    </w:p>
    <w:p w14:paraId="7D237C05">
      <w:pPr>
        <w:spacing w:line="520" w:lineRule="exact"/>
        <w:ind w:firstLine="440" w:firstLineChars="200"/>
        <w:jc w:val="both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本合同履行过程中，乙方违反本合同任一条款时视为违约，乙方应当赔偿甲方因此造成的一切损失，并向甲方支付本合同总价款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0%的违约金。乙方未按合同要求提供货品质量不能满足技术要求，甲方有权单方解除本合同，乙方应当赔偿甲方因此造成的一切损失，并向甲方支付本合同总价款30%的违约金。乙方逾期供货，每逾期一日，须向甲方承担合同总价款千分之一的违约责任，逾期供货超过3日的，甲方有权解除合同，并有权要求乙方承担合同价款30%的违约责任。乙方发生其他违约行为时，甲方可以按照《民法典》的规定要求乙方承担相应的违约责任。</w:t>
      </w:r>
    </w:p>
    <w:p w14:paraId="01338A46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十四、争议解决方式</w:t>
      </w:r>
    </w:p>
    <w:p w14:paraId="6FE76BDC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本合同在履行过程中若发生任何争议，双方均应友好协商解决，协商不成时，双方均同意向甲方所在地人民法院起诉解决。</w:t>
      </w:r>
    </w:p>
    <w:p w14:paraId="180ED9F4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十五、其他条款</w:t>
      </w:r>
    </w:p>
    <w:p w14:paraId="6ABF6625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1.本合同未尽事宜由甲乙双方另行协商签订书面补充协议，补充协议为本合同的组成部分，与本合同具有同等法律效力。</w:t>
      </w:r>
    </w:p>
    <w:p w14:paraId="19132188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2.本合同自甲乙双方签字并加盖公章之日起生效。</w:t>
      </w:r>
    </w:p>
    <w:p w14:paraId="634EC605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3.本合同一式伍份，甲方持肆份，乙方持壹份，均具有同等法律。</w:t>
      </w:r>
    </w:p>
    <w:p w14:paraId="08DCA6A5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</w:p>
    <w:p w14:paraId="01C4C30A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需方（盖章）：                供方（盖章）：</w:t>
      </w:r>
    </w:p>
    <w:p w14:paraId="04C5559C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单位名称：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单位名称：</w:t>
      </w:r>
    </w:p>
    <w:p w14:paraId="184EAE7E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联系电话：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联系电话：</w:t>
      </w:r>
    </w:p>
    <w:p w14:paraId="608E936E">
      <w:pPr>
        <w:spacing w:line="520" w:lineRule="exact"/>
        <w:ind w:firstLine="44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需方代表签字：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>供方代表签字：</w:t>
      </w:r>
    </w:p>
    <w:p w14:paraId="120B50C1">
      <w:pPr>
        <w:spacing w:line="520" w:lineRule="exact"/>
        <w:ind w:firstLine="440" w:firstLineChars="200"/>
        <w:jc w:val="right"/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</w:rPr>
        <w:t xml:space="preserve">签订日期：    年   月   日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szCs w:val="22"/>
          <w:u w:val="single"/>
        </w:rPr>
        <w:t xml:space="preserve"> </w:t>
      </w:r>
    </w:p>
    <w:p w14:paraId="608389D5">
      <w:pPr>
        <w:spacing w:line="480" w:lineRule="auto"/>
        <w:ind w:right="-1"/>
        <w:outlineLvl w:val="0"/>
        <w:rPr>
          <w:rFonts w:hint="eastAsia" w:ascii="方正仿宋_GB2312" w:hAnsi="方正仿宋_GB2312" w:eastAsia="方正仿宋_GB2312" w:cs="方正仿宋_GB2312"/>
          <w:bCs/>
          <w:color w:val="auto"/>
          <w:sz w:val="20"/>
          <w:szCs w:val="20"/>
        </w:rPr>
      </w:pPr>
    </w:p>
    <w:p w14:paraId="351E6BBB">
      <w:pPr>
        <w:spacing w:line="480" w:lineRule="auto"/>
        <w:ind w:right="-1"/>
        <w:outlineLvl w:val="0"/>
        <w:rPr>
          <w:rFonts w:hint="eastAsia" w:ascii="宋体" w:hAnsi="宋体"/>
          <w:bCs/>
          <w:color w:val="FF0000"/>
          <w:sz w:val="28"/>
          <w:szCs w:val="28"/>
        </w:rPr>
      </w:pPr>
    </w:p>
    <w:p w14:paraId="255130CA">
      <w:pPr>
        <w:spacing w:line="480" w:lineRule="auto"/>
        <w:ind w:right="-1"/>
        <w:outlineLvl w:val="0"/>
        <w:rPr>
          <w:rFonts w:hint="eastAsia" w:ascii="宋体" w:hAnsi="宋体"/>
          <w:bCs/>
          <w:color w:val="auto"/>
          <w:sz w:val="28"/>
          <w:szCs w:val="28"/>
        </w:rPr>
      </w:pPr>
    </w:p>
    <w:p w14:paraId="5F83AEE2">
      <w:pPr>
        <w:spacing w:line="480" w:lineRule="auto"/>
        <w:ind w:right="-1"/>
        <w:outlineLvl w:val="0"/>
        <w:rPr>
          <w:rFonts w:hint="eastAsia" w:ascii="宋体" w:hAnsi="宋体"/>
          <w:bCs/>
          <w:color w:val="auto"/>
          <w:sz w:val="28"/>
          <w:szCs w:val="28"/>
        </w:rPr>
      </w:pPr>
    </w:p>
    <w:p w14:paraId="67A699B5">
      <w:pPr>
        <w:spacing w:line="480" w:lineRule="auto"/>
        <w:ind w:right="-1"/>
        <w:outlineLvl w:val="0"/>
        <w:rPr>
          <w:rFonts w:hint="eastAsia" w:ascii="宋体" w:hAnsi="宋体"/>
          <w:bCs/>
          <w:color w:val="auto"/>
          <w:sz w:val="28"/>
          <w:szCs w:val="28"/>
        </w:rPr>
      </w:pPr>
    </w:p>
    <w:p w14:paraId="2660EFCF">
      <w:pPr>
        <w:spacing w:line="480" w:lineRule="auto"/>
        <w:ind w:right="-1"/>
        <w:outlineLvl w:val="0"/>
        <w:rPr>
          <w:rFonts w:hint="eastAsia" w:ascii="宋体" w:hAnsi="宋体"/>
          <w:bCs/>
          <w:color w:val="auto"/>
          <w:sz w:val="28"/>
          <w:szCs w:val="28"/>
        </w:rPr>
      </w:pPr>
    </w:p>
    <w:p w14:paraId="1632261A">
      <w:pPr>
        <w:spacing w:line="480" w:lineRule="auto"/>
        <w:ind w:right="-1"/>
        <w:outlineLvl w:val="0"/>
        <w:rPr>
          <w:rFonts w:hint="eastAsia" w:ascii="宋体" w:hAnsi="宋体"/>
          <w:bCs/>
          <w:color w:val="auto"/>
          <w:sz w:val="28"/>
          <w:szCs w:val="28"/>
        </w:rPr>
      </w:pPr>
    </w:p>
    <w:p w14:paraId="2BFD6B6F">
      <w:pPr>
        <w:spacing w:line="480" w:lineRule="auto"/>
        <w:ind w:right="-1"/>
        <w:outlineLvl w:val="0"/>
        <w:rPr>
          <w:rFonts w:hint="eastAsia" w:ascii="宋体" w:hAnsi="宋体"/>
          <w:bCs/>
          <w:color w:val="auto"/>
          <w:sz w:val="28"/>
          <w:szCs w:val="28"/>
        </w:rPr>
      </w:pPr>
    </w:p>
    <w:bookmarkEnd w:id="0"/>
    <w:p w14:paraId="309E789A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附件：</w:t>
      </w:r>
    </w:p>
    <w:p w14:paraId="0A858EEE">
      <w:pPr>
        <w:spacing w:line="360" w:lineRule="auto"/>
        <w:jc w:val="center"/>
        <w:rPr>
          <w:rFonts w:ascii="宋体" w:hAnsi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</w:rPr>
        <w:t>政府采购项目货物验收入库报告单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2299"/>
        <w:gridCol w:w="2523"/>
        <w:gridCol w:w="2131"/>
      </w:tblGrid>
      <w:tr w14:paraId="1746E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1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8611B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10F8E4E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080EE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7CF28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3D1B93C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42E9B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1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04CFA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DCBF1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D3C85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BC65C66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¥:</w:t>
            </w:r>
          </w:p>
        </w:tc>
      </w:tr>
      <w:tr w14:paraId="111F7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1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3F498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6D6BF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D35C6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7F50521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33BF9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BE23C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4878FF9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3FAD3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CE69F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1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8F2FB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D540F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0E09CDD3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532DA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1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50CC18EA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A57928E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1480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7286C897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6955D0C7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53CCC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0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E36971E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78876B96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 使用单位验收意见：（盖章）</w:t>
            </w:r>
          </w:p>
          <w:p w14:paraId="4413B5A9">
            <w:pPr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 w14:paraId="6E160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2DD92D4F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签字：</w:t>
            </w: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52CF2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7D5416B2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5061ACD7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 w14:paraId="6D28C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1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3EB4A0D7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1348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4F18F69">
            <w:pPr>
              <w:widowControl/>
              <w:jc w:val="righ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年     月   日</w:t>
            </w:r>
          </w:p>
        </w:tc>
        <w:tc>
          <w:tcPr>
            <w:tcW w:w="1480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E088B5C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2F73C4BE">
            <w:pPr>
              <w:widowControl/>
              <w:jc w:val="righ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年   月   日</w:t>
            </w:r>
          </w:p>
        </w:tc>
      </w:tr>
      <w:tr w14:paraId="3899E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3FACE0A1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采购内容</w:t>
            </w:r>
          </w:p>
        </w:tc>
      </w:tr>
      <w:tr w14:paraId="4C7EA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16F8B702">
            <w:pPr>
              <w:widowControl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2C0B371B">
      <w:pPr>
        <w:spacing w:line="360" w:lineRule="auto"/>
        <w:rPr>
          <w:rFonts w:eastAsia="仿宋_GB2312"/>
          <w:b/>
          <w:color w:val="auto"/>
          <w:kern w:val="44"/>
          <w:sz w:val="32"/>
          <w:szCs w:val="20"/>
        </w:rPr>
      </w:pPr>
    </w:p>
    <w:p w14:paraId="67B7AB75">
      <w:pPr>
        <w:pStyle w:val="7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34E7BC00">
      <w:pPr>
        <w:spacing w:line="400" w:lineRule="exact"/>
        <w:outlineLvl w:val="1"/>
        <w:rPr>
          <w:rFonts w:hint="eastAsia" w:ascii="仿宋" w:hAnsi="仿宋" w:eastAsia="仿宋" w:cs="仿宋"/>
          <w:color w:val="auto"/>
          <w:sz w:val="24"/>
        </w:rPr>
      </w:pPr>
    </w:p>
    <w:p w14:paraId="475BF3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FFD83BF-988D-4265-9B1E-9F6409D09F1E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91480C25-8DF3-4E63-8F5C-6156C7D5746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EEDBE5A-6395-4B92-9CEE-6A845D57923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B150610-B5D9-4874-A3E8-7A8FEF7E40D1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4446A"/>
    <w:rsid w:val="1F2F0F0C"/>
    <w:rsid w:val="3B64446A"/>
    <w:rsid w:val="69F6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2771</Words>
  <Characters>2834</Characters>
  <Lines>0</Lines>
  <Paragraphs>0</Paragraphs>
  <TotalTime>0</TotalTime>
  <ScaleCrop>false</ScaleCrop>
  <LinksUpToDate>false</LinksUpToDate>
  <CharactersWithSpaces>3039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2026-06-21T14:03:00Z</dcterms:created>
  <dc:creator>沉默</dc:creator>
  <cp:lastModifiedBy>沉默</cp:lastModifiedBy>
  <dcterms:modified xsi:type="dcterms:W3CDTF">2026-06-21T14:06:12Z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6DDB34E7A08840BBBD0D59CA1F28C058_11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