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110E5E59">
      <w:pPr>
        <w:keepNext w:val="0"/>
        <w:keepLines w:val="0"/>
        <w:pageBreakBefore w:val="0"/>
        <w:topLinePunct w:val="0"/>
        <w:bidi w:val="0"/>
        <w:spacing w:line="360" w:lineRule="auto"/>
        <w:ind w:left="0" w:leftChars="0" w:firstLine="0" w:firstLineChars="0"/>
        <w:rPr>
          <w:rFonts w:hint="eastAsia"/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一、项目基本情况</w:t>
      </w:r>
    </w:p>
    <w:p w14:paraId="330C7D53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48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项目编号：</w:t>
      </w:r>
      <w:r>
        <w:rPr>
          <w:rFonts w:hint="eastAsia"/>
          <w:color w:val="auto"/>
          <w:highlight w:val="none"/>
          <w:lang w:eastAsia="zh-CN"/>
        </w:rPr>
        <w:t>ZHCG-YSLYJ-20260608</w:t>
      </w:r>
    </w:p>
    <w:p w14:paraId="6EA477C5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480"/>
        <w:rPr>
          <w:rFonts w:hint="eastAsia" w:eastAsia="宋体"/>
          <w:color w:val="auto"/>
          <w:highlight w:val="none"/>
          <w:u w:val="none"/>
          <w:lang w:eastAsia="zh-CN"/>
        </w:rPr>
      </w:pPr>
      <w:r>
        <w:rPr>
          <w:rFonts w:hint="eastAsia"/>
          <w:color w:val="auto"/>
          <w:highlight w:val="none"/>
        </w:rPr>
        <w:t>项目名称：</w:t>
      </w:r>
      <w:r>
        <w:rPr>
          <w:rFonts w:hint="eastAsia"/>
          <w:color w:val="auto"/>
          <w:highlight w:val="none"/>
          <w:lang w:eastAsia="zh-CN"/>
        </w:rPr>
        <w:t>常宁镇炎家山等重点道路绿化提升项目</w:t>
      </w:r>
    </w:p>
    <w:p w14:paraId="0189CB2B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480"/>
        <w:rPr>
          <w:rFonts w:hint="eastAsia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采购方式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竞争性磋商</w:t>
      </w:r>
    </w:p>
    <w:p w14:paraId="26E7F94C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48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预算金额：</w:t>
      </w:r>
      <w:r>
        <w:rPr>
          <w:rFonts w:hint="eastAsia"/>
          <w:color w:val="auto"/>
          <w:highlight w:val="none"/>
          <w:lang w:val="en-US" w:eastAsia="zh-CN"/>
        </w:rPr>
        <w:t>499,395.49</w:t>
      </w:r>
      <w:r>
        <w:rPr>
          <w:rFonts w:hint="eastAsia"/>
          <w:color w:val="auto"/>
          <w:highlight w:val="none"/>
        </w:rPr>
        <w:t>元</w:t>
      </w:r>
    </w:p>
    <w:p w14:paraId="1735E16A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48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采购需求：</w:t>
      </w:r>
    </w:p>
    <w:p w14:paraId="28536EC0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960" w:firstLineChars="4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合同包1（常宁镇炎家山等重点道路绿化提升项目）：</w:t>
      </w:r>
    </w:p>
    <w:p w14:paraId="4FA250D3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1262" w:firstLineChars="526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/>
          <w:color w:val="auto"/>
          <w:highlight w:val="none"/>
          <w:lang w:val="en-US" w:eastAsia="zh-CN"/>
        </w:rPr>
        <w:t>合同包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预算金额：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499,395.49</w:t>
      </w:r>
      <w:r>
        <w:rPr>
          <w:rFonts w:hint="eastAsia"/>
          <w:color w:val="auto"/>
          <w:highlight w:val="none"/>
        </w:rPr>
        <w:t>元</w:t>
      </w:r>
    </w:p>
    <w:p w14:paraId="5F54917E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1262" w:firstLineChars="526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/>
          <w:color w:val="auto"/>
          <w:highlight w:val="none"/>
          <w:lang w:val="en-US" w:eastAsia="zh-CN"/>
        </w:rPr>
        <w:t>合同包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最高限价：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499,395.49</w:t>
      </w:r>
      <w:r>
        <w:rPr>
          <w:rFonts w:hint="eastAsia"/>
          <w:color w:val="auto"/>
          <w:highlight w:val="none"/>
        </w:rPr>
        <w:t>元</w:t>
      </w:r>
    </w:p>
    <w:tbl>
      <w:tblPr>
        <w:tblStyle w:val="10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1344"/>
        <w:gridCol w:w="1886"/>
        <w:gridCol w:w="1208"/>
        <w:gridCol w:w="1704"/>
        <w:gridCol w:w="1577"/>
      </w:tblGrid>
      <w:tr w14:paraId="4218C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467" w:type="pct"/>
            <w:noWrap w:val="0"/>
            <w:vAlign w:val="center"/>
          </w:tcPr>
          <w:p w14:paraId="03E2D1B4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789" w:type="pct"/>
            <w:noWrap w:val="0"/>
            <w:vAlign w:val="center"/>
          </w:tcPr>
          <w:p w14:paraId="19F10559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品目名称</w:t>
            </w:r>
          </w:p>
        </w:tc>
        <w:tc>
          <w:tcPr>
            <w:tcW w:w="1107" w:type="pct"/>
            <w:noWrap w:val="0"/>
            <w:vAlign w:val="center"/>
          </w:tcPr>
          <w:p w14:paraId="5AF097EF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采购标的</w:t>
            </w:r>
          </w:p>
        </w:tc>
        <w:tc>
          <w:tcPr>
            <w:tcW w:w="709" w:type="pct"/>
            <w:noWrap w:val="0"/>
            <w:vAlign w:val="center"/>
          </w:tcPr>
          <w:p w14:paraId="6BE3D368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数量</w:t>
            </w:r>
          </w:p>
          <w:p w14:paraId="6CCCC905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（单位）</w:t>
            </w:r>
          </w:p>
        </w:tc>
        <w:tc>
          <w:tcPr>
            <w:tcW w:w="1000" w:type="pct"/>
            <w:noWrap w:val="0"/>
            <w:vAlign w:val="center"/>
          </w:tcPr>
          <w:p w14:paraId="0FDF7269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技术规格、</w:t>
            </w:r>
          </w:p>
          <w:p w14:paraId="1E87F4EC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参数及要求</w:t>
            </w:r>
          </w:p>
        </w:tc>
        <w:tc>
          <w:tcPr>
            <w:tcW w:w="925" w:type="pct"/>
            <w:noWrap w:val="0"/>
            <w:vAlign w:val="center"/>
          </w:tcPr>
          <w:p w14:paraId="57F1CDF2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品目预算</w:t>
            </w:r>
          </w:p>
          <w:p w14:paraId="4A7E43B8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（元）</w:t>
            </w:r>
          </w:p>
        </w:tc>
      </w:tr>
      <w:tr w14:paraId="3288D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467" w:type="pct"/>
            <w:noWrap w:val="0"/>
            <w:vAlign w:val="center"/>
          </w:tcPr>
          <w:p w14:paraId="497C7DC8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red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1-1</w:t>
            </w:r>
          </w:p>
        </w:tc>
        <w:tc>
          <w:tcPr>
            <w:tcW w:w="789" w:type="pct"/>
            <w:noWrap w:val="0"/>
            <w:vAlign w:val="center"/>
          </w:tcPr>
          <w:p w14:paraId="0E908A67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造林</w:t>
            </w:r>
          </w:p>
          <w:p w14:paraId="7979B98C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</w:p>
        </w:tc>
        <w:tc>
          <w:tcPr>
            <w:tcW w:w="1107" w:type="pct"/>
            <w:noWrap w:val="0"/>
            <w:vAlign w:val="center"/>
          </w:tcPr>
          <w:p w14:paraId="3376DAE1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苗木栽植</w:t>
            </w:r>
          </w:p>
        </w:tc>
        <w:tc>
          <w:tcPr>
            <w:tcW w:w="709" w:type="pct"/>
            <w:noWrap w:val="0"/>
            <w:vAlign w:val="center"/>
          </w:tcPr>
          <w:p w14:paraId="6EE2BC37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(</w:t>
            </w: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)</w:t>
            </w:r>
          </w:p>
        </w:tc>
        <w:tc>
          <w:tcPr>
            <w:tcW w:w="1000" w:type="pct"/>
            <w:noWrap w:val="0"/>
            <w:vAlign w:val="center"/>
          </w:tcPr>
          <w:p w14:paraId="7E2917F8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925" w:type="pct"/>
            <w:noWrap w:val="0"/>
            <w:vAlign w:val="center"/>
          </w:tcPr>
          <w:p w14:paraId="68EAFBEA">
            <w:pPr>
              <w:keepNext w:val="0"/>
              <w:keepLines w:val="0"/>
              <w:pageBreakBefore w:val="0"/>
              <w:widowControl w:val="0"/>
              <w:topLinePunct w:val="0"/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499,395.49</w:t>
            </w:r>
          </w:p>
        </w:tc>
      </w:tr>
    </w:tbl>
    <w:p w14:paraId="16E5908B">
      <w:pPr>
        <w:pStyle w:val="8"/>
        <w:keepNext w:val="0"/>
        <w:keepLines w:val="0"/>
        <w:pageBreakBefore w:val="0"/>
        <w:shd w:val="clear" w:color="auto" w:fill="FFFFFF"/>
        <w:topLinePunct w:val="0"/>
        <w:bidi w:val="0"/>
        <w:spacing w:before="0" w:beforeAutospacing="0" w:after="0" w:afterAutospacing="0" w:line="360" w:lineRule="auto"/>
        <w:ind w:firstLine="1200" w:firstLineChars="5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本合同包不</w:t>
      </w:r>
      <w:r>
        <w:rPr>
          <w:rFonts w:hint="eastAsia"/>
          <w:color w:val="auto"/>
          <w:highlight w:val="none"/>
        </w:rPr>
        <w:t>接受联合体投标</w:t>
      </w:r>
    </w:p>
    <w:p w14:paraId="4A351AA6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1200" w:firstLineChars="5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合同履行期限：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 xml:space="preserve"> 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1D7D62"/>
    <w:rsid w:val="121861C4"/>
    <w:rsid w:val="27EC48E4"/>
    <w:rsid w:val="375630F7"/>
    <w:rsid w:val="3A930C1A"/>
    <w:rsid w:val="4C0C0662"/>
    <w:rsid w:val="4CB742C3"/>
    <w:rsid w:val="5A636B26"/>
    <w:rsid w:val="5B0D392F"/>
    <w:rsid w:val="62883BE5"/>
    <w:rsid w:val="66846F4F"/>
    <w:rsid w:val="66861E59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</Words>
  <Characters>250</Characters>
  <Lines>0</Lines>
  <Paragraphs>0</Paragraphs>
  <TotalTime>1</TotalTime>
  <ScaleCrop>false</ScaleCrop>
  <LinksUpToDate>false</LinksUpToDate>
  <CharactersWithSpaces>250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2026-06-12T09:01:19Z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