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版本号：SZT2026-SN-XC-ZC-FW-037920260512001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合同网签系统迁移及信创改造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SZT2026-SN-XC-ZC-FW-0379</w:t>
      </w:r>
      <w:r>
        <w:br/>
      </w:r>
      <w:r>
        <w:br/>
      </w:r>
      <w:r>
        <w:br/>
      </w:r>
    </w:p>
    <w:p>
      <w:pPr>
        <w:pStyle w:val="null3"/>
        <w:jc w:val="center"/>
        <w:outlineLvl w:val="2"/>
      </w:pPr>
      <w:r>
        <w:rPr>
          <w:rFonts w:ascii="仿宋_GB2312" w:hAnsi="仿宋_GB2312" w:cs="仿宋_GB2312" w:eastAsia="仿宋_GB2312"/>
          <w:sz w:val="28"/>
          <w:b/>
        </w:rPr>
        <w:t>西安市公共资源交易中心</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西安市公共资源交易中心</w:t>
      </w:r>
      <w:r>
        <w:rPr>
          <w:rFonts w:ascii="仿宋_GB2312" w:hAnsi="仿宋_GB2312" w:cs="仿宋_GB2312" w:eastAsia="仿宋_GB2312"/>
        </w:rPr>
        <w:t>委托，拟对</w:t>
      </w:r>
      <w:r>
        <w:rPr>
          <w:rFonts w:ascii="仿宋_GB2312" w:hAnsi="仿宋_GB2312" w:cs="仿宋_GB2312" w:eastAsia="仿宋_GB2312"/>
        </w:rPr>
        <w:t>合同网签系统迁移及信创改造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SZT2026-SN-XC-ZC-FW-0379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合同网签系统迁移及信创改造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完成西安市公共资源交易中心合同网签系统提升改造项目涉及的系统从传统技术栈向国产信创技术栈的安全、平滑、高效数据迁移。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供应商应授权合法的人员参加磋商全过程，其中法定代表人直接参加磋商的，须出具法定代表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2、本项目不接受联合体投标：本项目不接受联合体投标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西安市公共资源交易中心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西安经济技术开发区文景路（中段）16号白桦林国际B座1-11层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029-86510029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采购包1：348,304.00元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成交供应商承担，成交供应商在领取成交通知书时向采购代理机构支付招标代理服务费。招标代理服务费的收取参照国家计委颁布的《招标代理服务收费管理暂行办法》（计价格〔2002〕1980号）和（发改办价格〔2003〕857号）中服务类收费标准收取。 开户名称：陕西中技招标有限公司 开户行名称：招商银行西安分行营业部 账 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西安市公共资源交易中心</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西安市公共资源交易中心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西安市公共资源交易中心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内容完成后先由乙方进行自检，自检合格后邀请甲方进行验收。甲方确认乙方的自检内容后，组织乙方（必要时请有关专家）进行最终验收，验收时乙方应派员参加，共同对验收结果进行确认，并承担相关责任（必要时甲方可委托具有相关资质的第三方检测机构/技术专家对产 品/设备进行系统验收，由此产生的相关费用由乙方承担，需要国家法定检验部门进行检验或验收的由乙方负责联系）。验收合格后，填写政府采购项目履约验收单（一式伍份）作为对服务的最终认可。 （二）乙方向甲方提交服务实施过程中的所有资料。以便甲方日后管理和维护。 （三）验收依据： 1、招标文件、投标文件、澄清表（函）； 2、本合同及附件文本； 3、国家相应的标准、规范。 （四）双方拟定的其他条款。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完成西安市公共资源交易中心合同网签系统提升改造项目涉及的系统从传统技术栈向国产信创技术栈的安全、平滑、高效数据迁移。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348,304.00</w:t>
      </w:r>
    </w:p>
    <w:p>
      <w:pPr>
        <w:pStyle w:val="null3"/>
      </w:pPr>
      <w:r>
        <w:rPr>
          <w:rFonts w:ascii="仿宋_GB2312" w:hAnsi="仿宋_GB2312" w:cs="仿宋_GB2312" w:eastAsia="仿宋_GB2312"/>
        </w:rPr>
        <w:t>采购包最高限价（元）: 348,304.00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合同网签系统迁移及信创改造项目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348,304.00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标的名称：合同网签系统迁移及信创改造项目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一、项目目标</w:t>
            </w:r>
          </w:p>
          <w:p>
            <w:pPr>
              <w:pStyle w:val="null3"/>
            </w:pPr>
            <w:r>
              <w:rPr>
                <w:rFonts w:ascii="仿宋_GB2312" w:hAnsi="仿宋_GB2312" w:cs="仿宋_GB2312" w:eastAsia="仿宋_GB2312"/>
              </w:rPr>
              <w:t>完成西安市公共资源交易中心合同网签系统提升改造项目涉及的系统从传统技术栈向国产信创技术栈的安全、平滑、高效数据迁移。</w:t>
            </w:r>
          </w:p>
          <w:p>
            <w:pPr>
              <w:pStyle w:val="null3"/>
            </w:pPr>
            <w:r>
              <w:rPr>
                <w:rFonts w:ascii="仿宋_GB2312" w:hAnsi="仿宋_GB2312" w:cs="仿宋_GB2312" w:eastAsia="仿宋_GB2312"/>
              </w:rPr>
              <w:t>具体目标</w:t>
            </w:r>
          </w:p>
          <w:p>
            <w:pPr>
              <w:pStyle w:val="null3"/>
            </w:pPr>
            <w:r>
              <w:rPr>
                <w:rFonts w:ascii="仿宋_GB2312" w:hAnsi="仿宋_GB2312" w:cs="仿宋_GB2312" w:eastAsia="仿宋_GB2312"/>
              </w:rPr>
              <w:t>技术适配目标：实现动态</w:t>
            </w:r>
            <w:r>
              <w:rPr>
                <w:rFonts w:ascii="仿宋_GB2312" w:hAnsi="仿宋_GB2312" w:cs="仿宋_GB2312" w:eastAsia="仿宋_GB2312"/>
              </w:rPr>
              <w:t>CA及网签合同系统在</w:t>
            </w:r>
            <w:r>
              <w:rPr>
                <w:rFonts w:ascii="仿宋_GB2312" w:hAnsi="仿宋_GB2312" w:cs="仿宋_GB2312" w:eastAsia="仿宋_GB2312"/>
              </w:rPr>
              <w:t>国产</w:t>
            </w:r>
            <w:r>
              <w:rPr>
                <w:rFonts w:ascii="仿宋_GB2312" w:hAnsi="仿宋_GB2312" w:cs="仿宋_GB2312" w:eastAsia="仿宋_GB2312"/>
              </w:rPr>
              <w:t>操作系统上的稳定运行，完成数据库</w:t>
            </w:r>
            <w:r>
              <w:rPr>
                <w:rFonts w:ascii="仿宋_GB2312" w:hAnsi="仿宋_GB2312" w:cs="仿宋_GB2312" w:eastAsia="仿宋_GB2312"/>
              </w:rPr>
              <w:t>的</w:t>
            </w:r>
            <w:r>
              <w:rPr>
                <w:rFonts w:ascii="仿宋_GB2312" w:hAnsi="仿宋_GB2312" w:cs="仿宋_GB2312" w:eastAsia="仿宋_GB2312"/>
              </w:rPr>
              <w:t>适配改造与数据迁移。</w:t>
            </w:r>
          </w:p>
          <w:p>
            <w:pPr>
              <w:pStyle w:val="null3"/>
            </w:pPr>
            <w:r>
              <w:rPr>
                <w:rFonts w:ascii="仿宋_GB2312" w:hAnsi="仿宋_GB2312" w:cs="仿宋_GB2312" w:eastAsia="仿宋_GB2312"/>
              </w:rPr>
              <w:t>二、项目范围</w:t>
            </w:r>
            <w:r>
              <w:rPr>
                <w:rFonts w:ascii="仿宋_GB2312" w:hAnsi="仿宋_GB2312" w:cs="仿宋_GB2312" w:eastAsia="仿宋_GB2312"/>
              </w:rPr>
              <w:t>及内容</w:t>
            </w:r>
          </w:p>
          <w:p>
            <w:pPr>
              <w:pStyle w:val="null3"/>
              <w:ind w:left="360"/>
            </w:pPr>
            <w:r>
              <w:rPr>
                <w:rFonts w:ascii="仿宋_GB2312" w:hAnsi="仿宋_GB2312" w:cs="仿宋_GB2312" w:eastAsia="仿宋_GB2312"/>
                <w:b/>
              </w:rPr>
              <w:t>1、</w:t>
            </w:r>
            <w:r>
              <w:rPr>
                <w:rFonts w:ascii="仿宋_GB2312" w:hAnsi="仿宋_GB2312" w:cs="仿宋_GB2312" w:eastAsia="仿宋_GB2312"/>
                <w:b/>
              </w:rPr>
              <w:t>1.</w:t>
            </w:r>
            <w:r>
              <w:rPr>
                <w:rFonts w:ascii="仿宋_GB2312" w:hAnsi="仿宋_GB2312" w:cs="仿宋_GB2312" w:eastAsia="仿宋_GB2312"/>
                <w:b/>
              </w:rPr>
              <w:t>西安市公共资源交易中心机房搬迁，需要完成现有系统的重新部署及数据迁移。</w:t>
            </w:r>
          </w:p>
          <w:p>
            <w:pPr>
              <w:pStyle w:val="null3"/>
            </w:pPr>
            <w:r>
              <w:rPr>
                <w:rFonts w:ascii="仿宋_GB2312" w:hAnsi="仿宋_GB2312" w:cs="仿宋_GB2312" w:eastAsia="仿宋_GB2312"/>
              </w:rPr>
              <w:t>西安市公共资源交易中心合同网签系统提升改造项目涉及的系统包括电子合同管理系统、电子存证系统、电子签署服务系统、云</w:t>
            </w:r>
            <w:r>
              <w:rPr>
                <w:rFonts w:ascii="仿宋_GB2312" w:hAnsi="仿宋_GB2312" w:cs="仿宋_GB2312" w:eastAsia="仿宋_GB2312"/>
              </w:rPr>
              <w:t>KEY证书管理系统、评标专家动态CA管理系统等数据库迁移；具体内容。</w:t>
            </w:r>
          </w:p>
          <w:p>
            <w:pPr>
              <w:pStyle w:val="null3"/>
            </w:pPr>
            <w:r>
              <w:rPr>
                <w:rFonts w:ascii="仿宋_GB2312" w:hAnsi="仿宋_GB2312" w:cs="仿宋_GB2312" w:eastAsia="仿宋_GB2312"/>
              </w:rPr>
              <w:t>涉及服务器</w:t>
            </w:r>
          </w:p>
          <w:p>
            <w:pPr>
              <w:pStyle w:val="null3"/>
            </w:pPr>
            <w:r>
              <w:rPr>
                <w:rFonts w:ascii="仿宋_GB2312" w:hAnsi="仿宋_GB2312" w:cs="仿宋_GB2312" w:eastAsia="仿宋_GB2312"/>
              </w:rPr>
              <w:t>1）动态专家CA服务器：（动态CA专家签署服务器）；</w:t>
            </w:r>
          </w:p>
          <w:p>
            <w:pPr>
              <w:pStyle w:val="null3"/>
            </w:pPr>
            <w:r>
              <w:rPr>
                <w:rFonts w:ascii="仿宋_GB2312" w:hAnsi="仿宋_GB2312" w:cs="仿宋_GB2312" w:eastAsia="仿宋_GB2312"/>
              </w:rPr>
              <w:t>2）电子签署服务系统服务器：（支撑动态CA的签名签章服务）；</w:t>
            </w:r>
          </w:p>
          <w:p>
            <w:pPr>
              <w:pStyle w:val="null3"/>
            </w:pPr>
            <w:r>
              <w:rPr>
                <w:rFonts w:ascii="仿宋_GB2312" w:hAnsi="仿宋_GB2312" w:cs="仿宋_GB2312" w:eastAsia="仿宋_GB2312"/>
              </w:rPr>
              <w:t>3）电子合同管理系统及电子存证系统服务器：（共4台，承载网签合同核心应用与数据存储）；</w:t>
            </w:r>
          </w:p>
          <w:p>
            <w:pPr>
              <w:pStyle w:val="null3"/>
            </w:pPr>
            <w:r>
              <w:rPr>
                <w:rFonts w:ascii="仿宋_GB2312" w:hAnsi="仿宋_GB2312" w:cs="仿宋_GB2312" w:eastAsia="仿宋_GB2312"/>
              </w:rPr>
              <w:t>4）云KEY证书管理系统是专用设备。</w:t>
            </w:r>
          </w:p>
          <w:p>
            <w:pPr>
              <w:pStyle w:val="null3"/>
            </w:pPr>
            <w:r>
              <w:rPr>
                <w:rFonts w:ascii="仿宋_GB2312" w:hAnsi="仿宋_GB2312" w:cs="仿宋_GB2312" w:eastAsia="仿宋_GB2312"/>
              </w:rPr>
              <w:t>部署服务组件</w:t>
            </w:r>
          </w:p>
          <w:p>
            <w:pPr>
              <w:pStyle w:val="null3"/>
            </w:pPr>
            <w:r>
              <w:rPr>
                <w:rFonts w:ascii="仿宋_GB2312" w:hAnsi="仿宋_GB2312" w:cs="仿宋_GB2312" w:eastAsia="仿宋_GB2312"/>
              </w:rPr>
              <w:t>数据库层：</w:t>
            </w:r>
            <w:r>
              <w:rPr>
                <w:rFonts w:ascii="仿宋_GB2312" w:hAnsi="仿宋_GB2312" w:cs="仿宋_GB2312" w:eastAsia="仿宋_GB2312"/>
              </w:rPr>
              <w:t>MySQL（存储用户信息、证书数据、合同文件等关键业务数据）</w:t>
            </w:r>
          </w:p>
          <w:p>
            <w:pPr>
              <w:pStyle w:val="null3"/>
            </w:pPr>
            <w:r>
              <w:rPr>
                <w:rFonts w:ascii="仿宋_GB2312" w:hAnsi="仿宋_GB2312" w:cs="仿宋_GB2312" w:eastAsia="仿宋_GB2312"/>
              </w:rPr>
              <w:t>服务层：</w:t>
            </w:r>
            <w:r>
              <w:rPr>
                <w:rFonts w:ascii="仿宋_GB2312" w:hAnsi="仿宋_GB2312" w:cs="仿宋_GB2312" w:eastAsia="仿宋_GB2312"/>
              </w:rPr>
              <w:t>Tomcat（运行认证服务、网签合同业务逻辑应用）</w:t>
            </w:r>
          </w:p>
          <w:p>
            <w:pPr>
              <w:pStyle w:val="null3"/>
            </w:pPr>
            <w:r>
              <w:rPr>
                <w:rFonts w:ascii="仿宋_GB2312" w:hAnsi="仿宋_GB2312" w:cs="仿宋_GB2312" w:eastAsia="仿宋_GB2312"/>
              </w:rPr>
              <w:t>接入层：</w:t>
            </w:r>
            <w:r>
              <w:rPr>
                <w:rFonts w:ascii="仿宋_GB2312" w:hAnsi="仿宋_GB2312" w:cs="仿宋_GB2312" w:eastAsia="仿宋_GB2312"/>
              </w:rPr>
              <w:t>Nginx（提供应用负载均衡与流量分发）</w:t>
            </w:r>
          </w:p>
          <w:p>
            <w:pPr>
              <w:pStyle w:val="null3"/>
            </w:pPr>
            <w:r>
              <w:rPr>
                <w:rFonts w:ascii="仿宋_GB2312" w:hAnsi="仿宋_GB2312" w:cs="仿宋_GB2312" w:eastAsia="仿宋_GB2312"/>
              </w:rPr>
              <w:t>涉及的客户端</w:t>
            </w:r>
          </w:p>
          <w:p>
            <w:pPr>
              <w:pStyle w:val="null3"/>
            </w:pPr>
            <w:r>
              <w:rPr>
                <w:rFonts w:ascii="仿宋_GB2312" w:hAnsi="仿宋_GB2312" w:cs="仿宋_GB2312" w:eastAsia="仿宋_GB2312"/>
              </w:rPr>
              <w:t>整体评标室的评标终端（</w:t>
            </w:r>
            <w:r>
              <w:rPr>
                <w:rFonts w:ascii="仿宋_GB2312" w:hAnsi="仿宋_GB2312" w:cs="仿宋_GB2312" w:eastAsia="仿宋_GB2312"/>
              </w:rPr>
              <w:t>420个）环境的安装部署。</w:t>
            </w:r>
          </w:p>
          <w:p>
            <w:pPr>
              <w:pStyle w:val="null3"/>
            </w:pPr>
            <w:r>
              <w:rPr>
                <w:rFonts w:ascii="仿宋_GB2312" w:hAnsi="仿宋_GB2312" w:cs="仿宋_GB2312" w:eastAsia="仿宋_GB2312"/>
                <w:b/>
              </w:rPr>
              <w:t>2、</w:t>
            </w:r>
            <w:r>
              <w:rPr>
                <w:rFonts w:ascii="仿宋_GB2312" w:hAnsi="仿宋_GB2312" w:cs="仿宋_GB2312" w:eastAsia="仿宋_GB2312"/>
                <w:b/>
              </w:rPr>
              <w:t>系统信创适配改造</w:t>
            </w:r>
          </w:p>
          <w:p>
            <w:pPr>
              <w:pStyle w:val="null3"/>
            </w:pPr>
            <w:r>
              <w:rPr>
                <w:rFonts w:ascii="仿宋_GB2312" w:hAnsi="仿宋_GB2312" w:cs="仿宋_GB2312" w:eastAsia="仿宋_GB2312"/>
              </w:rPr>
              <w:t>西安市公共资源交易中心合同网签系统提升改造项目涉及的系统包括电子合同管理系统、电子存证系统、电子签署服务系统、云</w:t>
            </w:r>
            <w:r>
              <w:rPr>
                <w:rFonts w:ascii="仿宋_GB2312" w:hAnsi="仿宋_GB2312" w:cs="仿宋_GB2312" w:eastAsia="仿宋_GB2312"/>
              </w:rPr>
              <w:t>KEY证书管理系统、评标专家动态CA管理系统等信创环境的服务端适配及部署</w:t>
            </w:r>
            <w:r>
              <w:rPr>
                <w:rFonts w:ascii="仿宋_GB2312" w:hAnsi="仿宋_GB2312" w:cs="仿宋_GB2312" w:eastAsia="仿宋_GB2312"/>
              </w:rPr>
              <w:t>。</w:t>
            </w:r>
          </w:p>
          <w:p>
            <w:pPr>
              <w:pStyle w:val="null3"/>
              <w:ind w:left="360"/>
            </w:pPr>
            <w:r>
              <w:rPr>
                <w:rFonts w:ascii="仿宋_GB2312" w:hAnsi="仿宋_GB2312" w:cs="仿宋_GB2312" w:eastAsia="仿宋_GB2312"/>
                <w:b/>
              </w:rPr>
              <w:t>3、</w:t>
            </w:r>
            <w:r>
              <w:rPr>
                <w:rFonts w:ascii="仿宋_GB2312" w:hAnsi="仿宋_GB2312" w:cs="仿宋_GB2312" w:eastAsia="仿宋_GB2312"/>
                <w:b/>
              </w:rPr>
              <w:t>云</w:t>
            </w:r>
            <w:r>
              <w:rPr>
                <w:rFonts w:ascii="仿宋_GB2312" w:hAnsi="仿宋_GB2312" w:cs="仿宋_GB2312" w:eastAsia="仿宋_GB2312"/>
                <w:b/>
              </w:rPr>
              <w:t>KEY服务器硬件信创环境的升级</w:t>
            </w:r>
          </w:p>
          <w:p>
            <w:pPr>
              <w:pStyle w:val="null3"/>
            </w:pPr>
            <w:r>
              <w:rPr>
                <w:rFonts w:ascii="仿宋_GB2312" w:hAnsi="仿宋_GB2312" w:cs="仿宋_GB2312" w:eastAsia="仿宋_GB2312"/>
              </w:rPr>
              <w:t>云</w:t>
            </w:r>
            <w:r>
              <w:rPr>
                <w:rFonts w:ascii="仿宋_GB2312" w:hAnsi="仿宋_GB2312" w:cs="仿宋_GB2312" w:eastAsia="仿宋_GB2312"/>
              </w:rPr>
              <w:t>KEY服务器硬件信创设备一台，参数见下表：</w:t>
            </w:r>
          </w:p>
          <w:tbl>
            <w:tblPr>
              <w:tblBorders>
                <w:top w:val="none" w:color="000000" w:sz="4"/>
                <w:left w:val="none" w:color="000000" w:sz="4"/>
                <w:bottom w:val="none" w:color="000000" w:sz="4"/>
                <w:right w:val="none" w:color="000000" w:sz="4"/>
                <w:insideH w:val="none"/>
                <w:insideV w:val="none"/>
              </w:tblBorders>
            </w:tblPr>
            <w:tblGrid>
              <w:gridCol w:w="302"/>
              <w:gridCol w:w="217"/>
              <w:gridCol w:w="2034"/>
            </w:tblGrid>
            <w:tr>
              <w:tc>
                <w:tcPr>
                  <w:tcW w:type="dxa" w:w="302"/>
                  <w:tcBorders>
                    <w:top w:val="single" w:color="000000" w:sz="4"/>
                    <w:left w:val="single" w:color="000000" w:sz="4"/>
                    <w:bottom w:val="single" w:color="000000" w:sz="4"/>
                    <w:right w:val="single" w:color="000000" w:sz="4"/>
                  </w:tcBorders>
                  <w:shd w:fill="9CC2E5"/>
                  <w:tcMar>
                    <w:top w:type="dxa" w:w="30"/>
                    <w:left w:type="dxa" w:w="60"/>
                    <w:bottom w:type="dxa" w:w="30"/>
                    <w:right w:type="dxa" w:w="60"/>
                  </w:tcMar>
                  <w:vAlign w:val="top"/>
                </w:tcPr>
                <w:p>
                  <w:pPr>
                    <w:pStyle w:val="null3"/>
                  </w:pPr>
                  <w:r>
                    <w:rPr>
                      <w:rFonts w:ascii="仿宋_GB2312" w:hAnsi="仿宋_GB2312" w:cs="仿宋_GB2312" w:eastAsia="仿宋_GB2312"/>
                      <w:sz w:val="19"/>
                    </w:rPr>
                    <w:t>设备名称</w:t>
                  </w:r>
                </w:p>
              </w:tc>
              <w:tc>
                <w:tcPr>
                  <w:tcW w:type="dxa" w:w="217"/>
                  <w:tcBorders>
                    <w:top w:val="single" w:color="000000" w:sz="4"/>
                    <w:left w:val="none" w:color="000000" w:sz="4"/>
                    <w:bottom w:val="single" w:color="000000" w:sz="4"/>
                    <w:right w:val="single" w:color="000000" w:sz="4"/>
                  </w:tcBorders>
                  <w:shd w:fill="9CC2E5"/>
                  <w:tcMar>
                    <w:top w:type="dxa" w:w="30"/>
                    <w:left w:type="dxa" w:w="60"/>
                    <w:bottom w:type="dxa" w:w="30"/>
                    <w:right w:type="dxa" w:w="60"/>
                  </w:tcMar>
                  <w:vAlign w:val="top"/>
                </w:tcPr>
                <w:p>
                  <w:pPr>
                    <w:pStyle w:val="null3"/>
                  </w:pPr>
                  <w:r>
                    <w:rPr>
                      <w:rFonts w:ascii="仿宋_GB2312" w:hAnsi="仿宋_GB2312" w:cs="仿宋_GB2312" w:eastAsia="仿宋_GB2312"/>
                      <w:sz w:val="19"/>
                    </w:rPr>
                    <w:t>设备数量</w:t>
                  </w:r>
                </w:p>
              </w:tc>
              <w:tc>
                <w:tcPr>
                  <w:tcW w:type="dxa" w:w="2034"/>
                  <w:tcBorders>
                    <w:top w:val="single" w:color="000000" w:sz="4"/>
                    <w:left w:val="none" w:color="000000" w:sz="4"/>
                    <w:bottom w:val="single" w:color="000000" w:sz="4"/>
                    <w:right w:val="single" w:color="000000" w:sz="4"/>
                  </w:tcBorders>
                  <w:shd w:fill="9CC2E5"/>
                  <w:tcMar>
                    <w:top w:type="dxa" w:w="30"/>
                    <w:left w:type="dxa" w:w="60"/>
                    <w:bottom w:type="dxa" w:w="30"/>
                    <w:right w:type="dxa" w:w="60"/>
                  </w:tcMar>
                  <w:vAlign w:val="top"/>
                </w:tcPr>
                <w:p>
                  <w:pPr>
                    <w:pStyle w:val="null3"/>
                  </w:pPr>
                  <w:r>
                    <w:rPr>
                      <w:rFonts w:ascii="仿宋_GB2312" w:hAnsi="仿宋_GB2312" w:cs="仿宋_GB2312" w:eastAsia="仿宋_GB2312"/>
                      <w:sz w:val="19"/>
                    </w:rPr>
                    <w:t>设备参数</w:t>
                  </w:r>
                </w:p>
              </w:tc>
            </w:tr>
            <w:tr>
              <w:tc>
                <w:tcPr>
                  <w:tcW w:type="dxa" w:w="30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pPr>
                  <w:r>
                    <w:rPr>
                      <w:rFonts w:ascii="仿宋_GB2312" w:hAnsi="仿宋_GB2312" w:cs="仿宋_GB2312" w:eastAsia="仿宋_GB2312"/>
                      <w:sz w:val="19"/>
                    </w:rPr>
                    <w:t>云</w:t>
                  </w:r>
                  <w:r>
                    <w:rPr>
                      <w:rFonts w:ascii="仿宋_GB2312" w:hAnsi="仿宋_GB2312" w:cs="仿宋_GB2312" w:eastAsia="仿宋_GB2312"/>
                      <w:sz w:val="19"/>
                    </w:rPr>
                    <w:t>KEY服务器</w:t>
                  </w:r>
                </w:p>
              </w:tc>
              <w:tc>
                <w:tcPr>
                  <w:tcW w:type="dxa" w:w="21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pPr>
                  <w:r>
                    <w:rPr>
                      <w:rFonts w:ascii="仿宋_GB2312" w:hAnsi="仿宋_GB2312" w:cs="仿宋_GB2312" w:eastAsia="仿宋_GB2312"/>
                      <w:sz w:val="19"/>
                    </w:rPr>
                    <w:t>1台</w:t>
                  </w:r>
                </w:p>
              </w:tc>
              <w:tc>
                <w:tcPr>
                  <w:tcW w:type="dxa" w:w="203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pPr>
                  <w:r>
                    <w:rPr>
                      <w:rFonts w:ascii="仿宋_GB2312" w:hAnsi="仿宋_GB2312" w:cs="仿宋_GB2312" w:eastAsia="仿宋_GB2312"/>
                      <w:sz w:val="19"/>
                    </w:rPr>
                    <w:t>规格：国产</w:t>
                  </w:r>
                  <w:r>
                    <w:rPr>
                      <w:rFonts w:ascii="仿宋_GB2312" w:hAnsi="仿宋_GB2312" w:cs="仿宋_GB2312" w:eastAsia="仿宋_GB2312"/>
                      <w:sz w:val="19"/>
                    </w:rPr>
                    <w:t>、</w:t>
                  </w:r>
                  <w:r>
                    <w:rPr>
                      <w:rFonts w:ascii="仿宋_GB2312" w:hAnsi="仿宋_GB2312" w:cs="仿宋_GB2312" w:eastAsia="仿宋_GB2312"/>
                      <w:sz w:val="19"/>
                    </w:rPr>
                    <w:t>2U</w:t>
                  </w:r>
                </w:p>
                <w:p>
                  <w:pPr>
                    <w:pStyle w:val="null3"/>
                  </w:pPr>
                  <w:r>
                    <w:rPr>
                      <w:rFonts w:ascii="仿宋_GB2312" w:hAnsi="仿宋_GB2312" w:cs="仿宋_GB2312" w:eastAsia="仿宋_GB2312"/>
                      <w:sz w:val="19"/>
                    </w:rPr>
                    <w:t>处理器：主频</w:t>
                  </w:r>
                  <w:r>
                    <w:rPr>
                      <w:rFonts w:ascii="仿宋_GB2312" w:hAnsi="仿宋_GB2312" w:cs="仿宋_GB2312" w:eastAsia="仿宋_GB2312"/>
                      <w:sz w:val="19"/>
                    </w:rPr>
                    <w:t>≥</w:t>
                  </w:r>
                  <w:r>
                    <w:rPr>
                      <w:rFonts w:ascii="仿宋_GB2312" w:hAnsi="仿宋_GB2312" w:cs="仿宋_GB2312" w:eastAsia="仿宋_GB2312"/>
                      <w:sz w:val="19"/>
                    </w:rPr>
                    <w:t>2.5GHz</w:t>
                  </w:r>
                  <w:r>
                    <w:rPr>
                      <w:rFonts w:ascii="仿宋_GB2312" w:hAnsi="仿宋_GB2312" w:cs="仿宋_GB2312" w:eastAsia="仿宋_GB2312"/>
                      <w:sz w:val="19"/>
                    </w:rPr>
                    <w:t>。</w:t>
                  </w:r>
                </w:p>
                <w:p>
                  <w:pPr>
                    <w:pStyle w:val="null3"/>
                  </w:pPr>
                  <w:r>
                    <w:rPr>
                      <w:rFonts w:ascii="仿宋_GB2312" w:hAnsi="仿宋_GB2312" w:cs="仿宋_GB2312" w:eastAsia="仿宋_GB2312"/>
                      <w:sz w:val="19"/>
                    </w:rPr>
                    <w:t>内存：</w:t>
                  </w:r>
                  <w:r>
                    <w:rPr>
                      <w:rFonts w:ascii="仿宋_GB2312" w:hAnsi="仿宋_GB2312" w:cs="仿宋_GB2312" w:eastAsia="仿宋_GB2312"/>
                      <w:sz w:val="19"/>
                    </w:rPr>
                    <w:t>≥</w:t>
                  </w:r>
                  <w:r>
                    <w:rPr>
                      <w:rFonts w:ascii="仿宋_GB2312" w:hAnsi="仿宋_GB2312" w:cs="仿宋_GB2312" w:eastAsia="仿宋_GB2312"/>
                      <w:sz w:val="19"/>
                    </w:rPr>
                    <w:t>32G内存，支持2400/2666MHz内存</w:t>
                  </w:r>
                  <w:r>
                    <w:rPr>
                      <w:rFonts w:ascii="仿宋_GB2312" w:hAnsi="仿宋_GB2312" w:cs="仿宋_GB2312" w:eastAsia="仿宋_GB2312"/>
                      <w:sz w:val="19"/>
                    </w:rPr>
                    <w:t>。</w:t>
                  </w:r>
                </w:p>
                <w:p>
                  <w:pPr>
                    <w:pStyle w:val="null3"/>
                  </w:pPr>
                  <w:r>
                    <w:rPr>
                      <w:rFonts w:ascii="仿宋_GB2312" w:hAnsi="仿宋_GB2312" w:cs="仿宋_GB2312" w:eastAsia="仿宋_GB2312"/>
                      <w:sz w:val="19"/>
                    </w:rPr>
                    <w:t>硬盘：</w:t>
                  </w:r>
                  <w:r>
                    <w:rPr>
                      <w:rFonts w:ascii="仿宋_GB2312" w:hAnsi="仿宋_GB2312" w:cs="仿宋_GB2312" w:eastAsia="仿宋_GB2312"/>
                      <w:sz w:val="19"/>
                    </w:rPr>
                    <w:t>≥</w:t>
                  </w:r>
                  <w:r>
                    <w:rPr>
                      <w:rFonts w:ascii="仿宋_GB2312" w:hAnsi="仿宋_GB2312" w:cs="仿宋_GB2312" w:eastAsia="仿宋_GB2312"/>
                      <w:sz w:val="19"/>
                    </w:rPr>
                    <w:t>1T企业级硬盘1块，内置加固标配4个3.5＂或2.5＂ SATA硬盘盘位</w:t>
                  </w:r>
                  <w:r>
                    <w:rPr>
                      <w:rFonts w:ascii="仿宋_GB2312" w:hAnsi="仿宋_GB2312" w:cs="仿宋_GB2312" w:eastAsia="仿宋_GB2312"/>
                      <w:sz w:val="19"/>
                    </w:rPr>
                    <w:t>。</w:t>
                  </w:r>
                </w:p>
                <w:p>
                  <w:pPr>
                    <w:pStyle w:val="null3"/>
                  </w:pPr>
                  <w:r>
                    <w:rPr>
                      <w:rFonts w:ascii="仿宋_GB2312" w:hAnsi="仿宋_GB2312" w:cs="仿宋_GB2312" w:eastAsia="仿宋_GB2312"/>
                      <w:sz w:val="19"/>
                    </w:rPr>
                    <w:t>设备内带：密码卡</w:t>
                  </w:r>
                  <w:r>
                    <w:rPr>
                      <w:rFonts w:ascii="仿宋_GB2312" w:hAnsi="仿宋_GB2312" w:cs="仿宋_GB2312" w:eastAsia="仿宋_GB2312"/>
                      <w:sz w:val="19"/>
                    </w:rPr>
                    <w:t>。</w:t>
                  </w:r>
                </w:p>
                <w:p>
                  <w:pPr>
                    <w:pStyle w:val="null3"/>
                  </w:pPr>
                  <w:r>
                    <w:rPr>
                      <w:rFonts w:ascii="仿宋_GB2312" w:hAnsi="仿宋_GB2312" w:cs="仿宋_GB2312" w:eastAsia="仿宋_GB2312"/>
                      <w:sz w:val="19"/>
                    </w:rPr>
                    <w:t>网络</w:t>
                  </w:r>
                  <w:r>
                    <w:rPr>
                      <w:rFonts w:ascii="仿宋_GB2312" w:hAnsi="仿宋_GB2312" w:cs="仿宋_GB2312" w:eastAsia="仿宋_GB2312"/>
                      <w:sz w:val="19"/>
                    </w:rPr>
                    <w:t>I/O：</w:t>
                  </w:r>
                  <w:r>
                    <w:rPr>
                      <w:rFonts w:ascii="仿宋_GB2312" w:hAnsi="仿宋_GB2312" w:cs="仿宋_GB2312" w:eastAsia="仿宋_GB2312"/>
                      <w:sz w:val="19"/>
                    </w:rPr>
                    <w:t>≥</w:t>
                  </w:r>
                  <w:r>
                    <w:rPr>
                      <w:rFonts w:ascii="仿宋_GB2312" w:hAnsi="仿宋_GB2312" w:cs="仿宋_GB2312" w:eastAsia="仿宋_GB2312"/>
                      <w:sz w:val="19"/>
                    </w:rPr>
                    <w:t>2个千兆自适应以太网口</w:t>
                  </w:r>
                  <w:r>
                    <w:rPr>
                      <w:rFonts w:ascii="仿宋_GB2312" w:hAnsi="仿宋_GB2312" w:cs="仿宋_GB2312" w:eastAsia="仿宋_GB2312"/>
                      <w:sz w:val="19"/>
                    </w:rPr>
                    <w:t>。</w:t>
                  </w:r>
                </w:p>
                <w:p>
                  <w:pPr>
                    <w:pStyle w:val="null3"/>
                  </w:pPr>
                  <w:r>
                    <w:rPr>
                      <w:rFonts w:ascii="仿宋_GB2312" w:hAnsi="仿宋_GB2312" w:cs="仿宋_GB2312" w:eastAsia="仿宋_GB2312"/>
                      <w:sz w:val="19"/>
                    </w:rPr>
                    <w:t>防滑简易免工具导轨</w:t>
                  </w:r>
                  <w:r>
                    <w:rPr>
                      <w:rFonts w:ascii="仿宋_GB2312" w:hAnsi="仿宋_GB2312" w:cs="仿宋_GB2312" w:eastAsia="仿宋_GB2312"/>
                      <w:sz w:val="19"/>
                    </w:rPr>
                    <w:t>。</w:t>
                  </w:r>
                </w:p>
                <w:p>
                  <w:pPr>
                    <w:pStyle w:val="null3"/>
                  </w:pPr>
                  <w:r>
                    <w:rPr>
                      <w:rFonts w:ascii="仿宋_GB2312" w:hAnsi="仿宋_GB2312" w:cs="仿宋_GB2312" w:eastAsia="仿宋_GB2312"/>
                      <w:sz w:val="19"/>
                    </w:rPr>
                    <w:t>产品符合国密安全要求，防窥视，防尘，配备安全锁</w:t>
                  </w:r>
                  <w:r>
                    <w:rPr>
                      <w:rFonts w:ascii="仿宋_GB2312" w:hAnsi="仿宋_GB2312" w:cs="仿宋_GB2312" w:eastAsia="仿宋_GB2312"/>
                      <w:sz w:val="19"/>
                    </w:rPr>
                    <w:t>。</w:t>
                  </w:r>
                </w:p>
                <w:p>
                  <w:pPr>
                    <w:pStyle w:val="null3"/>
                  </w:pPr>
                  <w:r>
                    <w:rPr>
                      <w:rFonts w:ascii="仿宋_GB2312" w:hAnsi="仿宋_GB2312" w:cs="仿宋_GB2312" w:eastAsia="仿宋_GB2312"/>
                      <w:sz w:val="19"/>
                    </w:rPr>
                    <w:t>性能指标至少满足以下标准：</w:t>
                  </w:r>
                </w:p>
                <w:p>
                  <w:pPr>
                    <w:pStyle w:val="null3"/>
                  </w:pPr>
                  <w:r>
                    <w:rPr>
                      <w:rFonts w:ascii="仿宋_GB2312" w:hAnsi="仿宋_GB2312" w:cs="仿宋_GB2312" w:eastAsia="仿宋_GB2312"/>
                      <w:sz w:val="19"/>
                    </w:rPr>
                    <w:t>1)256位SM2签名速度≥1000次/秒</w:t>
                  </w:r>
                </w:p>
                <w:p>
                  <w:pPr>
                    <w:pStyle w:val="null3"/>
                  </w:pPr>
                  <w:r>
                    <w:rPr>
                      <w:rFonts w:ascii="仿宋_GB2312" w:hAnsi="仿宋_GB2312" w:cs="仿宋_GB2312" w:eastAsia="仿宋_GB2312"/>
                      <w:sz w:val="19"/>
                    </w:rPr>
                    <w:t>2)256位SM2验签速度≥800次/秒</w:t>
                  </w:r>
                </w:p>
                <w:p>
                  <w:pPr>
                    <w:pStyle w:val="null3"/>
                  </w:pPr>
                  <w:r>
                    <w:rPr>
                      <w:rFonts w:ascii="仿宋_GB2312" w:hAnsi="仿宋_GB2312" w:cs="仿宋_GB2312" w:eastAsia="仿宋_GB2312"/>
                      <w:sz w:val="19"/>
                    </w:rPr>
                    <w:t>3)1024位RSA签名速度≥2500次/秒</w:t>
                  </w:r>
                </w:p>
                <w:p>
                  <w:pPr>
                    <w:pStyle w:val="null3"/>
                  </w:pPr>
                  <w:r>
                    <w:rPr>
                      <w:rFonts w:ascii="仿宋_GB2312" w:hAnsi="仿宋_GB2312" w:cs="仿宋_GB2312" w:eastAsia="仿宋_GB2312"/>
                      <w:sz w:val="19"/>
                    </w:rPr>
                    <w:t>4)1024位RSA验签速度≥10000次/秒</w:t>
                  </w:r>
                </w:p>
                <w:p>
                  <w:pPr>
                    <w:pStyle w:val="null3"/>
                  </w:pPr>
                  <w:r>
                    <w:rPr>
                      <w:rFonts w:ascii="仿宋_GB2312" w:hAnsi="仿宋_GB2312" w:cs="仿宋_GB2312" w:eastAsia="仿宋_GB2312"/>
                      <w:sz w:val="19"/>
                    </w:rPr>
                    <w:t>5）</w:t>
                  </w:r>
                  <w:r>
                    <w:rPr>
                      <w:rFonts w:ascii="仿宋_GB2312" w:hAnsi="仿宋_GB2312" w:cs="仿宋_GB2312" w:eastAsia="仿宋_GB2312"/>
                      <w:sz w:val="19"/>
                    </w:rPr>
                    <w:t>用户承载：设备最大承载用户数量不限。</w:t>
                  </w:r>
                </w:p>
                <w:p>
                  <w:pPr>
                    <w:pStyle w:val="null3"/>
                  </w:pPr>
                  <w:r>
                    <w:rPr>
                      <w:rFonts w:ascii="仿宋_GB2312" w:hAnsi="仿宋_GB2312" w:cs="仿宋_GB2312" w:eastAsia="仿宋_GB2312"/>
                      <w:sz w:val="19"/>
                    </w:rPr>
                    <w:t>6）通风孔要求：机箱通风孔采用安全设备专用标准设计并加固处理；通风孔需具备高级防尘功能，同时满足高级防窥视要求。</w:t>
                  </w:r>
                </w:p>
                <w:p>
                  <w:pPr>
                    <w:pStyle w:val="null3"/>
                  </w:pPr>
                  <w:r>
                    <w:rPr>
                      <w:rFonts w:ascii="仿宋_GB2312" w:hAnsi="仿宋_GB2312" w:cs="仿宋_GB2312" w:eastAsia="仿宋_GB2312"/>
                      <w:sz w:val="19"/>
                    </w:rPr>
                    <w:t>操作系统</w:t>
                  </w:r>
                  <w:r>
                    <w:rPr>
                      <w:rFonts w:ascii="仿宋_GB2312" w:hAnsi="仿宋_GB2312" w:cs="仿宋_GB2312" w:eastAsia="仿宋_GB2312"/>
                      <w:sz w:val="19"/>
                    </w:rPr>
                    <w:t>、</w:t>
                  </w:r>
                  <w:r>
                    <w:rPr>
                      <w:rFonts w:ascii="仿宋_GB2312" w:hAnsi="仿宋_GB2312" w:cs="仿宋_GB2312" w:eastAsia="仿宋_GB2312"/>
                      <w:sz w:val="19"/>
                    </w:rPr>
                    <w:t>数据库：</w:t>
                  </w:r>
                  <w:r>
                    <w:rPr>
                      <w:rFonts w:ascii="仿宋_GB2312" w:hAnsi="仿宋_GB2312" w:cs="仿宋_GB2312" w:eastAsia="仿宋_GB2312"/>
                      <w:sz w:val="19"/>
                    </w:rPr>
                    <w:t>需满足信创环境要求。</w:t>
                  </w:r>
                </w:p>
              </w:tc>
            </w:tr>
          </w:tbl>
          <w:p>
            <w:pPr>
              <w:pStyle w:val="null3"/>
              <w:ind w:left="360"/>
            </w:pPr>
            <w:r>
              <w:rPr>
                <w:rFonts w:ascii="仿宋_GB2312" w:hAnsi="仿宋_GB2312" w:cs="仿宋_GB2312" w:eastAsia="仿宋_GB2312"/>
                <w:b/>
              </w:rPr>
              <w:t>4、</w:t>
            </w:r>
            <w:r>
              <w:rPr>
                <w:rFonts w:ascii="仿宋_GB2312" w:hAnsi="仿宋_GB2312" w:cs="仿宋_GB2312" w:eastAsia="仿宋_GB2312"/>
                <w:b/>
              </w:rPr>
              <w:t>二代身份证读卡器及签署客户软件端的信创环境适配及安装</w:t>
            </w:r>
            <w:r>
              <w:rPr>
                <w:rFonts w:ascii="仿宋_GB2312" w:hAnsi="仿宋_GB2312" w:cs="仿宋_GB2312" w:eastAsia="仿宋_GB2312"/>
              </w:rPr>
              <w:t>。</w:t>
            </w:r>
          </w:p>
          <w:p>
            <w:pPr>
              <w:pStyle w:val="null3"/>
            </w:pPr>
            <w:r>
              <w:rPr>
                <w:rFonts w:ascii="仿宋_GB2312" w:hAnsi="仿宋_GB2312" w:cs="仿宋_GB2312" w:eastAsia="仿宋_GB2312"/>
                <w:b/>
              </w:rPr>
              <w:t>信创环境要求：</w:t>
            </w:r>
          </w:p>
          <w:tbl>
            <w:tblPr>
              <w:tblBorders>
                <w:top w:val="none" w:color="000000" w:sz="4"/>
                <w:left w:val="none" w:color="000000" w:sz="4"/>
                <w:bottom w:val="none" w:color="000000" w:sz="4"/>
                <w:right w:val="none" w:color="000000" w:sz="4"/>
                <w:insideH w:val="none"/>
                <w:insideV w:val="none"/>
              </w:tblBorders>
            </w:tblPr>
            <w:tblGrid>
              <w:gridCol w:w="996"/>
              <w:gridCol w:w="1550"/>
            </w:tblGrid>
            <w:tr>
              <w:tc>
                <w:tcPr>
                  <w:tcW w:type="dxa" w:w="996"/>
                  <w:tcBorders>
                    <w:top w:val="single" w:color="000000" w:sz="4"/>
                    <w:left w:val="single" w:color="000000" w:sz="4"/>
                    <w:bottom w:val="single" w:color="000000" w:sz="4"/>
                    <w:right w:val="single" w:color="000000" w:sz="4"/>
                  </w:tcBorders>
                  <w:shd w:fill="9CC2E5"/>
                  <w:tcMar>
                    <w:top w:type="dxa" w:w="150"/>
                    <w:left w:type="dxa" w:w="0"/>
                    <w:bottom w:type="dxa" w:w="150"/>
                    <w:right w:type="dxa" w:w="240"/>
                  </w:tcMar>
                  <w:vAlign w:val="top"/>
                </w:tcPr>
                <w:p>
                  <w:pPr>
                    <w:pStyle w:val="null3"/>
                    <w:jc w:val="center"/>
                  </w:pPr>
                  <w:r>
                    <w:rPr>
                      <w:rFonts w:ascii="仿宋_GB2312" w:hAnsi="仿宋_GB2312" w:cs="仿宋_GB2312" w:eastAsia="仿宋_GB2312"/>
                      <w:sz w:val="19"/>
                    </w:rPr>
                    <w:t>组件类</w:t>
                  </w:r>
                </w:p>
              </w:tc>
              <w:tc>
                <w:tcPr>
                  <w:tcW w:type="dxa" w:w="1550"/>
                  <w:tcBorders>
                    <w:top w:val="single" w:color="000000" w:sz="4"/>
                    <w:left w:val="none" w:color="000000" w:sz="4"/>
                    <w:bottom w:val="single" w:color="000000" w:sz="4"/>
                    <w:right w:val="single" w:color="000000" w:sz="4"/>
                  </w:tcBorders>
                  <w:shd w:fill="9CC2E5"/>
                  <w:tcMar>
                    <w:top w:type="dxa" w:w="150"/>
                    <w:left w:type="dxa" w:w="240"/>
                    <w:bottom w:type="dxa" w:w="150"/>
                    <w:right w:type="dxa" w:w="240"/>
                  </w:tcMar>
                  <w:vAlign w:val="top"/>
                </w:tcPr>
                <w:p>
                  <w:pPr>
                    <w:pStyle w:val="null3"/>
                    <w:jc w:val="center"/>
                  </w:pPr>
                  <w:r>
                    <w:rPr>
                      <w:rFonts w:ascii="仿宋_GB2312" w:hAnsi="仿宋_GB2312" w:cs="仿宋_GB2312" w:eastAsia="仿宋_GB2312"/>
                      <w:sz w:val="19"/>
                    </w:rPr>
                    <w:t>说明与要求</w:t>
                  </w:r>
                </w:p>
              </w:tc>
            </w:tr>
            <w:tr>
              <w:tc>
                <w:tcPr>
                  <w:tcW w:type="dxa" w:w="996"/>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19"/>
                    </w:rPr>
                    <w:t>操作系统</w:t>
                  </w:r>
                </w:p>
              </w:tc>
              <w:tc>
                <w:tcPr>
                  <w:tcW w:type="dxa" w:w="1550"/>
                  <w:tcBorders>
                    <w:top w:val="none" w:color="000000" w:sz="4"/>
                    <w:left w:val="non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19"/>
                    </w:rPr>
                    <w:t>与硬件平台匹配的国产操作系统。</w:t>
                  </w:r>
                </w:p>
              </w:tc>
            </w:tr>
            <w:tr>
              <w:tc>
                <w:tcPr>
                  <w:tcW w:type="dxa" w:w="996"/>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19"/>
                    </w:rPr>
                    <w:t>数据库</w:t>
                  </w:r>
                </w:p>
              </w:tc>
              <w:tc>
                <w:tcPr>
                  <w:tcW w:type="dxa" w:w="1550"/>
                  <w:tcBorders>
                    <w:top w:val="none" w:color="000000" w:sz="4"/>
                    <w:left w:val="non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19"/>
                    </w:rPr>
                    <w:t>用于替代原有</w:t>
                  </w:r>
                  <w:r>
                    <w:rPr>
                      <w:rFonts w:ascii="仿宋_GB2312" w:hAnsi="仿宋_GB2312" w:cs="仿宋_GB2312" w:eastAsia="仿宋_GB2312"/>
                      <w:sz w:val="19"/>
                    </w:rPr>
                    <w:t>MySQL，需完成适配与数据迁移。</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供应商须至少为本项目提供5名人员的服务团队，其中包括：项目经理1名，4名5×8小时的其他人员。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本项目不涉及。</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30 日历天内完成所有服务内容并交付验收合格。</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西安市公共资源交易中心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1、服务结束后，按照西安市信息化项目验收相关要求进行验收。 2、验收依据： （1）磋商文件、响应文件及合同文本。 （2）国家和行业制定的相应标准和规范。 （3）供应商出具的服务自检报告。 4、验收合格后，项目验收单作为对服务的最终认可。 5、供应商向采购人提交服务实施过程中的所有资料，以便采购人日后管理和维护。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1、合同违约责任按《中华人民共和国政府采购法》中的相关条款执行。 2、供应商未全面履行合同义务或发生违约，采购人有权终止合同，并依法向供应商进行经济索赔。</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（一）保密要求 ：1、合同签订后，供应商与采购人签订《保密协议》，对履约期间了解到的采购人的信息、资料等进行严格保密，不得向他人泄露。合同的解除或终止不免除供应商应承担的保密义务。2、合同签订后，服务人员按照网络安全保障工作要求，提供《第三方技术支持、服务人员背景审查表》。 （二）其他 1、定标环节采购人有权对响应文件承诺响应的内容进行复核，如有虚假响应，一经发现，取消成交资格并上报财政主管部门，列入政府采购黑名单。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 《投标函》完成承诺并进行电子签章。 1、具有独立承担民事责任的能力（企业法人应提供统 一社会信用代码的营业执照；事业法人应提供 事业单位法人证、组织机构代码证等证明文件 ；其他组织应提供合法证明文件；自然人提供身份证明文件）； 2、具有良好的商业信誉和健 全的财务会计制度，提供2024年度或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3、具有履行合同所必需的设备和专业技术能力的书面声明（格式 详见附件）；4、有依法缴纳税收和社会保障资金的良好记录（提供开标前12个月内任一月份的社保和缴纳税收的证明，依法不需要缴纳社 会保障资金、免税或无须缴纳税款的供应商，应提供相关证明文件)；5、参加政府采购活动 前 3 年内在经营活动中没有重大违法记录的书 面声明（格式详见附件）。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具有良好的商业信誉和健全的财务会计制度，提供2024年度或2025年度经审计完整的财务审计报告（成立时间至提交响应文件截止时间不足一年的可提供成立后任 意时段的资产负债表），或其开标前12个月内银行出具的资信证明，或财政部门认可的政府采购专业担保机构出具的投标担保函。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投标无效。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首次磋商报价表.docx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（1）付款方式、服务期限是否完全响应；（2）响应文件有效期是否合格；</w:t>
            </w:r>
          </w:p>
        </w:tc>
        <w:tc>
          <w:tcPr>
            <w:tcW w:type="dxa" w:w="3322"/>
          </w:tcPr>
          <w:p>
            <w:pPr>
              <w:pStyle w:val="null3"/>
            </w:pPr>
            <w:r>
              <w:rPr>
                <w:rFonts w:ascii="仿宋_GB2312" w:hAnsi="仿宋_GB2312" w:cs="仿宋_GB2312" w:eastAsia="仿宋_GB2312"/>
              </w:rPr>
              <w:t>（1）付款方式、服务期限是否完全响应； （2）响应文件有效期是否合格；</w:t>
            </w:r>
          </w:p>
        </w:tc>
        <w:tc>
          <w:tcPr>
            <w:tcW w:type="dxa" w:w="1661"/>
          </w:tcPr>
          <w:p>
            <w:pPr>
              <w:pStyle w:val="null3"/>
            </w:pPr>
            <w:r>
              <w:rPr>
                <w:rFonts w:ascii="仿宋_GB2312" w:hAnsi="仿宋_GB2312" w:cs="仿宋_GB2312" w:eastAsia="仿宋_GB2312"/>
              </w:rPr>
              <w:t>响应文件封面 商务及技术要求偏离表.docx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服务要求响应性审查</w:t>
            </w:r>
          </w:p>
        </w:tc>
        <w:tc>
          <w:tcPr>
            <w:tcW w:type="dxa" w:w="3322"/>
          </w:tcPr>
          <w:p>
            <w:pPr>
              <w:pStyle w:val="null3"/>
            </w:pPr>
            <w:r>
              <w:rPr>
                <w:rFonts w:ascii="仿宋_GB2312" w:hAnsi="仿宋_GB2312" w:cs="仿宋_GB2312" w:eastAsia="仿宋_GB2312"/>
              </w:rPr>
              <w:t>磋商响应文件是否满足采购要求</w:t>
            </w:r>
          </w:p>
        </w:tc>
        <w:tc>
          <w:tcPr>
            <w:tcW w:type="dxa" w:w="1661"/>
          </w:tcPr>
          <w:p>
            <w:pPr>
              <w:pStyle w:val="null3"/>
            </w:pPr>
            <w:r>
              <w:rPr>
                <w:rFonts w:ascii="仿宋_GB2312" w:hAnsi="仿宋_GB2312" w:cs="仿宋_GB2312" w:eastAsia="仿宋_GB2312"/>
              </w:rPr>
              <w:t>响应文件封面 商务及技术要求偏离表.docx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磋商文件规定的其他情形</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商务及技术要求偏离表.docx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服务方案-1.需求理解与分析</w:t>
            </w:r>
          </w:p>
        </w:tc>
        <w:tc>
          <w:tcPr>
            <w:tcW w:type="dxa" w:w="2492"/>
          </w:tcPr>
          <w:p>
            <w:pPr>
              <w:pStyle w:val="null3"/>
            </w:pPr>
            <w:r>
              <w:rPr>
                <w:rFonts w:ascii="仿宋_GB2312" w:hAnsi="仿宋_GB2312" w:cs="仿宋_GB2312" w:eastAsia="仿宋_GB2312"/>
              </w:rPr>
              <w:t>供应商需充分理解项目背景，对本项目迁移及改造服务需求有深入分析，对设计的各系统现状理解透彻，熟知平台用户对象、了解平台部署架构。（1）方案切实可行、完整合理、无缺项，可行性强，完全满足磋商文件要求。得8分；（2）方案基本满足采购需求，有一定的针对性和较好的可行性，较好满足采购要求。得5分；（3）方案设计有缺失，可行性一般。得2分；（4）供应商未提供上述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p>
            <w:pPr>
              <w:pStyle w:val="null3"/>
            </w:pPr>
            <w:r>
              <w:rPr>
                <w:rFonts w:ascii="仿宋_GB2312" w:hAnsi="仿宋_GB2312" w:cs="仿宋_GB2312" w:eastAsia="仿宋_GB2312"/>
              </w:rPr>
              <w:t>项目团队.docx</w:t>
            </w:r>
          </w:p>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服务方案-2.迁移方案</w:t>
            </w:r>
          </w:p>
        </w:tc>
        <w:tc>
          <w:tcPr>
            <w:tcW w:type="dxa" w:w="2492"/>
          </w:tcPr>
          <w:p>
            <w:pPr>
              <w:pStyle w:val="null3"/>
            </w:pPr>
            <w:r>
              <w:rPr>
                <w:rFonts w:ascii="仿宋_GB2312" w:hAnsi="仿宋_GB2312" w:cs="仿宋_GB2312" w:eastAsia="仿宋_GB2312"/>
              </w:rPr>
              <w:t>供应商需针对本项目提供具体的迁移服务方案，包括：①机房搬迁及现有系统的重新部署及数据迁移、②电子合同管理系统数据库迁移、③电子存证系统数据库迁移、④电子签署服务系统数据库迁移、⑤云KEY证书管理系统数据库迁移、⑥评标专家动态CA管理系统数据库迁移。 方案需要符合软件日常运行及迁移改造需要，磋商小组根据供应商提供的方案是否详细、满足实际需求逐个进行打分，每一项服务内容最高得3分，共计18分。 每项服务内容详细全面得3分，每项服务方案基本满足采购需求得2分，每项方案有缺项与采购需求出入较大得1分；方案不提供不得分。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p>
            <w:pPr>
              <w:pStyle w:val="null3"/>
            </w:pPr>
            <w:r>
              <w:rPr>
                <w:rFonts w:ascii="仿宋_GB2312" w:hAnsi="仿宋_GB2312" w:cs="仿宋_GB2312" w:eastAsia="仿宋_GB2312"/>
              </w:rPr>
              <w:t>项目团队.docx</w:t>
            </w:r>
          </w:p>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服务方案-3.系统信创适配改造</w:t>
            </w:r>
          </w:p>
        </w:tc>
        <w:tc>
          <w:tcPr>
            <w:tcW w:type="dxa" w:w="2492"/>
          </w:tcPr>
          <w:p>
            <w:pPr>
              <w:pStyle w:val="null3"/>
            </w:pPr>
            <w:r>
              <w:rPr>
                <w:rFonts w:ascii="仿宋_GB2312" w:hAnsi="仿宋_GB2312" w:cs="仿宋_GB2312" w:eastAsia="仿宋_GB2312"/>
              </w:rPr>
              <w:t>供应商需针对本项目提供具体的适配改造方案，包括：①合同网签系统提升改造项目涉及的系统包括电子合同管理系统、电子存证系统、电子签署服务系统、云KEY证书管理系统、评标专家动态CA管理系统等信创环境的服务端适配及部署； ②云KEY服务器硬件信创环境的升级； ③二代身份证读卡器及签署客户软件端的信创环境适配。 磋商小组根据供应商提供的方案是否详细、满足实际需求逐个进行打分，每一项服务内容最高得4分，共计12分。 每项服务内容详细全面得4分，每项服务方案基本满足采购需求得2分，每项方案有缺项与采购需求出入较大得1分；方案不提供不得分。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p>
            <w:pPr>
              <w:pStyle w:val="null3"/>
            </w:pPr>
            <w:r>
              <w:rPr>
                <w:rFonts w:ascii="仿宋_GB2312" w:hAnsi="仿宋_GB2312" w:cs="仿宋_GB2312" w:eastAsia="仿宋_GB2312"/>
              </w:rPr>
              <w:t>项目团队.docx</w:t>
            </w:r>
          </w:p>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服务方案-4.应急保障方案</w:t>
            </w:r>
          </w:p>
        </w:tc>
        <w:tc>
          <w:tcPr>
            <w:tcW w:type="dxa" w:w="2492"/>
          </w:tcPr>
          <w:p>
            <w:pPr>
              <w:pStyle w:val="null3"/>
            </w:pPr>
            <w:r>
              <w:rPr>
                <w:rFonts w:ascii="仿宋_GB2312" w:hAnsi="仿宋_GB2312" w:cs="仿宋_GB2312" w:eastAsia="仿宋_GB2312"/>
              </w:rPr>
              <w:t>根据响应文件提供的应急保障方案制定的详细程度及合理周密性进行综合评分。 （1）方案切实可行、完整合理、无缺项，可行性强，完全满足磋商文件要求。得6分； （2）方案基本完整，有一定的针对性和较好的可行性，完全满足采购要求，得4分；（3）方案设计有缺项，可行性一般。得2分；（4）供应商未提供上述内容不得分。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p>
            <w:pPr>
              <w:pStyle w:val="null3"/>
            </w:pPr>
            <w:r>
              <w:rPr>
                <w:rFonts w:ascii="仿宋_GB2312" w:hAnsi="仿宋_GB2312" w:cs="仿宋_GB2312" w:eastAsia="仿宋_GB2312"/>
              </w:rPr>
              <w:t>项目团队.docx</w:t>
            </w:r>
          </w:p>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服务方案-5.培训方案</w:t>
            </w:r>
          </w:p>
        </w:tc>
        <w:tc>
          <w:tcPr>
            <w:tcW w:type="dxa" w:w="2492"/>
          </w:tcPr>
          <w:p>
            <w:pPr>
              <w:pStyle w:val="null3"/>
            </w:pPr>
            <w:r>
              <w:rPr>
                <w:rFonts w:ascii="仿宋_GB2312" w:hAnsi="仿宋_GB2312" w:cs="仿宋_GB2312" w:eastAsia="仿宋_GB2312"/>
              </w:rPr>
              <w:t>根据响应文件提供的培训方案（含：培训方式、培训人员、培训内容、培训计划）进行综合评分。（1）方案切实可行、完整合理、无缺项，可行性强，完全满足磋商文件要求。得6分； （2）方案基本完整，有一定的针对性和较好的可行性，完全满足采购要求，得4分；（3）方案设计有缺项，可行性一般。得2分；（4）供应商未提供上述内容不得分。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p>
            <w:pPr>
              <w:pStyle w:val="null3"/>
            </w:pPr>
            <w:r>
              <w:rPr>
                <w:rFonts w:ascii="仿宋_GB2312" w:hAnsi="仿宋_GB2312" w:cs="仿宋_GB2312" w:eastAsia="仿宋_GB2312"/>
              </w:rPr>
              <w:t>项目团队.docx</w:t>
            </w:r>
          </w:p>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服务方案-6.安全设计建议方案</w:t>
            </w:r>
          </w:p>
        </w:tc>
        <w:tc>
          <w:tcPr>
            <w:tcW w:type="dxa" w:w="2492"/>
          </w:tcPr>
          <w:p>
            <w:pPr>
              <w:pStyle w:val="null3"/>
            </w:pPr>
            <w:r>
              <w:rPr>
                <w:rFonts w:ascii="仿宋_GB2312" w:hAnsi="仿宋_GB2312" w:cs="仿宋_GB2312" w:eastAsia="仿宋_GB2312"/>
              </w:rPr>
              <w:t>针对项目需提供合理、详尽的安全设计建议方案，至少需要包含物理安全、网络安全、应用安全、数据安全。（1）方案切实可行、完整合理、无缺项，可行性强，完全满足磋商文件要求。得6分；（2）方案基本完整，有一定的针对性和较好的可行性，完全满足采购要求，得4分；（3）方案设计有缺项，可行性一般。得2分；（4）供应商未提供上述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p>
            <w:pPr>
              <w:pStyle w:val="null3"/>
            </w:pPr>
            <w:r>
              <w:rPr>
                <w:rFonts w:ascii="仿宋_GB2312" w:hAnsi="仿宋_GB2312" w:cs="仿宋_GB2312" w:eastAsia="仿宋_GB2312"/>
              </w:rPr>
              <w:t>项目团队.docx</w:t>
            </w:r>
          </w:p>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企业能力-1</w:t>
            </w:r>
          </w:p>
        </w:tc>
        <w:tc>
          <w:tcPr>
            <w:tcW w:type="dxa" w:w="2492"/>
          </w:tcPr>
          <w:p>
            <w:pPr>
              <w:pStyle w:val="null3"/>
            </w:pPr>
            <w:r>
              <w:rPr>
                <w:rFonts w:ascii="仿宋_GB2312" w:hAnsi="仿宋_GB2312" w:cs="仿宋_GB2312" w:eastAsia="仿宋_GB2312"/>
              </w:rPr>
              <w:t>(1)供应商具有电子合同管理系统、电子存证系统、电子签署服务系统、云KEY证书管理系统、评标专家动态CA管理系统等数据库迁移的自主知识产权，每具有一个得2分，最高可得8分； （2）供应商为项目提供服务的相关系统具有三级等保备案证明，可得2分。 （注：以上需提供证书复印件加盖供应商公章）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服务方案及供应商认为需要提供的其他资料.docx</w:t>
            </w:r>
          </w:p>
          <w:p>
            <w:pPr>
              <w:pStyle w:val="null3"/>
            </w:pPr>
            <w:r>
              <w:rPr>
                <w:rFonts w:ascii="仿宋_GB2312" w:hAnsi="仿宋_GB2312" w:cs="仿宋_GB2312" w:eastAsia="仿宋_GB2312"/>
              </w:rPr>
              <w:t>项目团队.docx</w:t>
            </w:r>
          </w:p>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企业能力-2</w:t>
            </w:r>
          </w:p>
        </w:tc>
        <w:tc>
          <w:tcPr>
            <w:tcW w:type="dxa" w:w="2492"/>
          </w:tcPr>
          <w:p>
            <w:pPr>
              <w:pStyle w:val="null3"/>
            </w:pPr>
            <w:r>
              <w:rPr>
                <w:rFonts w:ascii="仿宋_GB2312" w:hAnsi="仿宋_GB2312" w:cs="仿宋_GB2312" w:eastAsia="仿宋_GB2312"/>
              </w:rPr>
              <w:t>供应商具有ISO45001职业健康安全管理体系、ISO20000信息技术服务管理体系认证证书，ISO27001信息安全管理体系认证证书，提供1个证书得1分，满分3分。 （注：以上需提供证书复印件加盖供应商公章）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服务方案及供应商认为需要提供的其他资料.docx</w:t>
            </w:r>
          </w:p>
          <w:p>
            <w:pPr>
              <w:pStyle w:val="null3"/>
            </w:pPr>
            <w:r>
              <w:rPr>
                <w:rFonts w:ascii="仿宋_GB2312" w:hAnsi="仿宋_GB2312" w:cs="仿宋_GB2312" w:eastAsia="仿宋_GB2312"/>
              </w:rPr>
              <w:t>项目团队.docx</w:t>
            </w:r>
          </w:p>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供应商须至少为本项目提供5名人员的服务团队，其中包括： （1）提供项目经理1名，具备信息系统高级项目管理师认证证书，得2分； （2）提供4名5×8小时的其他人员，至少2人具备中高级工程师或PMP证书，至少一人具备信息安全保障人员认证证书，满足以上要求得6分，不满足本项得0分。在满足以上要求的基础上每提供一个证书得2分，最多加2分，本项满分8分。 注：以上人员须提供名单（项目经理不得与其他人员重复）、身份证证书扫描件、有效证书扫描件、近一年连续3个月的社保证明扫描件。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服务方案及供应商认为需要提供的其他资料.docx</w:t>
            </w:r>
          </w:p>
          <w:p>
            <w:pPr>
              <w:pStyle w:val="null3"/>
            </w:pPr>
            <w:r>
              <w:rPr>
                <w:rFonts w:ascii="仿宋_GB2312" w:hAnsi="仿宋_GB2312" w:cs="仿宋_GB2312" w:eastAsia="仿宋_GB2312"/>
              </w:rPr>
              <w:t>项目团队.docx</w:t>
            </w:r>
          </w:p>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本项目实际情况提供近三年（2023年1月1日至今）以来的同类项目建设或迁移改造服务业绩，提供1份业绩得2分，最高6分。（提供项目中标/成交通知书或合同复印件，不提供不得分，业绩时间以合同签订时间或中标/成交通知书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为采购人提供及时的售后服务，并根据采购需求提供相应售后服务措施；提供售后服务机构证明文件，如购房合同或租房合同复印件加盖供应商公章等。（1）售后服务机构证明文件齐全有效且售后服务措施完善完全符合采购需求，可行性较高，得5分；（2）售后服务措施较完整基本满足采购需求，机构证明文件提供不全的。得3分；（3）售后服务措施提供与采购需求偏差较大，机构证明文件未提供，得1分；（4）供应商未提供上述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p>
            <w:pPr>
              <w:pStyle w:val="null3"/>
            </w:pPr>
            <w:r>
              <w:rPr>
                <w:rFonts w:ascii="仿宋_GB2312" w:hAnsi="仿宋_GB2312" w:cs="仿宋_GB2312" w:eastAsia="仿宋_GB2312"/>
              </w:rPr>
              <w:t>项目团队.docx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满足磋商文件要求且磋商报价最低的供应商的价格为磋商基准价，其价格分为满分。其他供应商的价格分统一按照下列公式计算： 磋商报价得分=（磋商基准价/磋商报价）×价格权值×10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首次磋商报价表.docx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详见附件：首次磋商报价表.docx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详见附件：商务及技术要求偏离表.docx</w:t>
      </w:r>
    </w:p>
    <w:p>
      <w:pPr>
        <w:pStyle w:val="null3"/>
        <w:ind w:firstLine="960"/>
      </w:pPr>
      <w:r>
        <w:rPr>
          <w:rFonts w:ascii="仿宋_GB2312" w:hAnsi="仿宋_GB2312" w:cs="仿宋_GB2312" w:eastAsia="仿宋_GB2312"/>
        </w:rPr>
        <w:t>详见附件：服务方案及供应商认为需要提供的其他资料.docx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