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版本号：SZT2026-SN-SC-ZC-GC-067420260716001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长安校区换热站保养及暖气管道阀门更换项目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SZT2026-SN-SC-ZC-GC-0674</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长安校区换热站保养及暖气管道阀门更换项目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SZT2026-SN-SC-ZC-GC-0674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长安校区换热站保养及暖气管道阀门更换项目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家属区东区住宅采暖阀门、过滤器更换，试压调试，检查井外扩。东区教学楼采暖阀门更换，试压调试。东区、西区换热站内换热器增加板片、保养更换胶条，水泵更换轴承、机封、叶轮清理，其余配套附件检查、清理、维护保养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采购包1（长安校区换热站保养及暖气管道阀门更换）：属于专门面向中小企业采购。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或负责人）直接参加投标的，须提供法定代表人（或负责人）身份证，并与营业执照上信息一致。非法定代表人参加投标的，须提供法定代表人委托授权书及被授权人开标前六个月内任意一个月（不含开标当月）在本公司缴纳的社保证明;</w:t>
      </w:r>
    </w:p>
    <w:p>
      <w:pPr>
        <w:pStyle w:val="null3"/>
      </w:pPr>
      <w:r>
        <w:rPr>
          <w:rFonts w:ascii="仿宋_GB2312" w:hAnsi="仿宋_GB2312" w:cs="仿宋_GB2312" w:eastAsia="仿宋_GB2312"/>
        </w:rPr>
        <w:t>2、供应商资质要求：供应商具备机电工程施工总承包二级及以上或建筑机电安装工程专业承包二级及以上资质（原机电工程施工总承包三级或机电安装工程专业承包三级资质在有效内的仍适用）（不接受批准件）及有效的安全生产许可证；</w:t>
      </w:r>
    </w:p>
    <w:p>
      <w:pPr>
        <w:pStyle w:val="null3"/>
      </w:pPr>
      <w:r>
        <w:rPr>
          <w:rFonts w:ascii="仿宋_GB2312" w:hAnsi="仿宋_GB2312" w:cs="仿宋_GB2312" w:eastAsia="仿宋_GB2312"/>
        </w:rPr>
        <w:t>3、拟派项目经理要求：拟派项目经理须具有机电工程专业二级或以上注册建造师证书，在本单位注册，有效的安全生产考核合格证书（建安B证），且无在建工程（提供承诺函）;</w:t>
      </w:r>
    </w:p>
    <w:p>
      <w:pPr>
        <w:pStyle w:val="null3"/>
      </w:pPr>
      <w:r>
        <w:rPr>
          <w:rFonts w:ascii="仿宋_GB2312" w:hAnsi="仿宋_GB2312" w:cs="仿宋_GB2312" w:eastAsia="仿宋_GB2312"/>
        </w:rPr>
        <w:t>4、备案信息：供应商及项目经理信息在“陕西省住房和城乡建设厅网站”或“陕西省建筑市场监管与诚信信息发布平台”备案可查询；</w:t>
      </w:r>
    </w:p>
    <w:p>
      <w:pPr>
        <w:pStyle w:val="null3"/>
      </w:pPr>
      <w:r>
        <w:rPr>
          <w:rFonts w:ascii="仿宋_GB2312" w:hAnsi="仿宋_GB2312" w:cs="仿宋_GB2312" w:eastAsia="仿宋_GB2312"/>
        </w:rPr>
        <w:t>5、本项目不接受联合体参与：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毛冠奇、肖娇娇、王馨、李文俊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029-87304306-861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采购包1：420,997.66元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说明：在合同签订前缴纳，项目验收合格后无息退还。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照国家计委颁布的《招标代理服务收费管理暂行办法》（计价格[2002]1980号）和（发改办价格[2003]857号）中工程类收费标准计取。在领取成交通知书时向采购代理机构一次性交纳。</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踏勘时间：2026-07-27 09:30:00</w:t>
            </w:r>
          </w:p>
          <w:p>
            <w:pPr>
              <w:pStyle w:val="null3"/>
              <w:ind w:firstLine="975"/>
            </w:pPr>
            <w:r>
              <w:rPr>
                <w:rFonts w:ascii="仿宋_GB2312" w:hAnsi="仿宋_GB2312" w:cs="仿宋_GB2312" w:eastAsia="仿宋_GB2312"/>
              </w:rPr>
              <w:t>踏勘地点：西安邮电大学长安校区</w:t>
            </w:r>
          </w:p>
          <w:p>
            <w:pPr>
              <w:pStyle w:val="null3"/>
              <w:ind w:firstLine="975"/>
            </w:pPr>
            <w:r>
              <w:rPr>
                <w:rFonts w:ascii="仿宋_GB2312" w:hAnsi="仿宋_GB2312" w:cs="仿宋_GB2312" w:eastAsia="仿宋_GB2312"/>
              </w:rPr>
              <w:t>联系人：龙老师</w:t>
            </w:r>
          </w:p>
          <w:p>
            <w:pPr>
              <w:pStyle w:val="null3"/>
              <w:ind w:firstLine="975"/>
            </w:pPr>
            <w:r>
              <w:rPr>
                <w:rFonts w:ascii="仿宋_GB2312" w:hAnsi="仿宋_GB2312" w:cs="仿宋_GB2312" w:eastAsia="仿宋_GB2312"/>
              </w:rPr>
              <w:t>联系电话号码：13109502827</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联系电话：029-87304306-856</w:t>
      </w:r>
    </w:p>
    <w:p>
      <w:pPr>
        <w:pStyle w:val="null3"/>
      </w:pPr>
      <w:r>
        <w:rPr>
          <w:rFonts w:ascii="仿宋_GB2312" w:hAnsi="仿宋_GB2312" w:cs="仿宋_GB2312" w:eastAsia="仿宋_GB2312"/>
        </w:rPr>
        <w:t>地址：西安市高新四路 1 号高科广场 A1001 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420,997.66</w:t>
      </w:r>
    </w:p>
    <w:p>
      <w:pPr>
        <w:pStyle w:val="null3"/>
      </w:pPr>
      <w:r>
        <w:rPr>
          <w:rFonts w:ascii="仿宋_GB2312" w:hAnsi="仿宋_GB2312" w:cs="仿宋_GB2312" w:eastAsia="仿宋_GB2312"/>
        </w:rPr>
        <w:t>采购包最高限价（元）: 420,997.66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西安邮电大学长安校区换热站保养及暖气管道阀门更换项目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420,997.66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标的名称：西安邮电大学长安校区换热站保养及暖气管道阀门更换项目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1.工程项目内容及主要材料设备清单，详见工程量清单</w:t>
            </w:r>
          </w:p>
          <w:p>
            <w:pPr>
              <w:pStyle w:val="null3"/>
            </w:pPr>
            <w:r>
              <w:rPr>
                <w:rFonts w:ascii="仿宋_GB2312" w:hAnsi="仿宋_GB2312" w:cs="仿宋_GB2312" w:eastAsia="仿宋_GB2312"/>
                <w:sz w:val="21"/>
              </w:rPr>
              <w:t>2.施工及技术要求：除符合国家相应标准、规范等外，不得影响学生正常起居生活，保证施工和学生安全。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工艺达到国家级行业现行技术规范标准，符合国家级行业验收合格标准。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（1）详见工程量清单编制说明 （2）付款方式：①工程完成后，供应商报采购人及监理进行初验，初验合格后，供应商向采购人申请正式验收，采购人收到申请后组织相关专业人员对项目进行验收，验收合格后甲方支付到合同金额60%的工程款。②供应商向采购人报送结算资料，经采购人审计结算且供应商确认结算金额后，甲方付款至结算审定金额的97%，待质保期满且无质量问题后付款至结算审定金额的100%。（3）工期：合同签订后30日历日内施工完毕，并安装、调试完成。（实际开竣工日期以正式批准的开竣工日期为准）（4）质量保修范围和保修期：保修期为2年，若该保修期短于国家相关规定，则按照有关国家建设施工要求及规定执行。保修期自竣工验收合格之日起计算。（5）已标价的工程量清单应按照代理机构所发布的电子招标书进行编制，生成后放入响应文件中，已标价工程量清单扉页需加盖有注册或登记在工程造价咨询企业的造价人员签字并盖执业印章。如未按要求加盖注册造价师执业章按无效标处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1、施工要求 （1）了解学校物业管理的有关规定。（2）各工序，各分项工程应自检、互检及交接检。 （3）施工中，严禁损坏房屋原有绝热设施；严禁损坏受力钢筋；严禁超荷载集中堆放物品；严禁在预制混凝土空心楼板上打孔安装埋件。 （4）施工中，严禁擅自改动建筑主体。承重结构或改变房间主要使用功能；严禁擅自拆改燃气、暖气、通讯等配套设施。 （5）管道、设备工程的安装及调试应在装饰装修工程施工前完成，必须同步进行的应在饰面层施工前完成。 （6）施工人员应遵守有关施工安全、劳动保护、防火、防毒的法律，法规。 （7）文明施工和现场环境应符合下列要求：①施工人员应衣着整齐。②施工人员应服从物业管理或治安保卫人员的监督、管理。③应控制粉尘、污染物、噪声、振动等对相邻居民、居民区和城市环境的污染及危害。④施工堆料不得占用楼道内的公共空间，封堵紧急出口。⑤室外堆料应遵守物业管理规定，避开公共通道、绿化地、化粪池等市政公用设施。⑥工程垃圾宜密封包装，并放在指定垃圾堆放地。⑦不得堵塞、破坏上下水管道、垃圾道等公共设施，不得损坏楼内各种公共标识。⑧工程验收前应将施工现场清理干净。（8）验收前提供完整的技术资料。 2、为顺利推进政府采购电子化交易平台试点应用工作，供应商需要在线提交所有通过电子化交易平台实施的政府采购项目的响应文件。成交供应商需提供与线上响应文件一致的文件正本 壹 份、副本 贰套。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1）具有独立承担民事责任的能力（企业法人应提供统一社会信用代码的营业执照；法人或其他组织磋商的，提供有效的营业执照或事业单位法人证书；其他组织应提供合法证明文件）； 2）2025年度经审计的财务报告或在磋商日期前12个月内银行出具的资信证明； 3）提供具有履行本合同所必需专业技术能力的说明及承诺； 4）依法缴纳税收和社会保障资金的良好记录（截止磋商日期前12个月内任意时段的缴费凭据或提供税务部门和社保部门出具的纳税证明和社保证明）。依法免税的供应商提供相应文件证明其依法免税； 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非法定代表人参加投标的，须提供法定代表人委托授权书及被授权人开标前六个月内任意一个月（不含开标当月）在本公司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机电工程施工总承包二级及以上或建筑机电安装工程专业承包二级及以上资质（原机电工程施工总承包三级或机电安装工程专业承包三级资质在有效内的仍适用）（不接受批准件）及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拟派项目经理要求</w:t>
            </w:r>
          </w:p>
        </w:tc>
        <w:tc>
          <w:tcPr>
            <w:tcW w:type="dxa" w:w="3322"/>
          </w:tcPr>
          <w:p>
            <w:pPr>
              <w:pStyle w:val="null3"/>
            </w:pPr>
            <w:r>
              <w:rPr>
                <w:rFonts w:ascii="仿宋_GB2312" w:hAnsi="仿宋_GB2312" w:cs="仿宋_GB2312" w:eastAsia="仿宋_GB2312"/>
              </w:rPr>
              <w:t>拟派项目经理须具有机电工程专业二级或以上注册建造师证书，在本单位注册，有效的安全生产考核合格证书（建安B证），且无在建工程（提供承诺函）;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供应商及项目经理信息在“陕西省住房和城乡建设厅网站”或“陕西省建筑市场监管与诚信信息发布平台”备案可查询；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本项目不接受联合体参与</w:t>
            </w:r>
          </w:p>
        </w:tc>
        <w:tc>
          <w:tcPr>
            <w:tcW w:type="dxa" w:w="3322"/>
          </w:tcPr>
          <w:p>
            <w:pPr>
              <w:pStyle w:val="null3"/>
            </w:pPr>
            <w:r>
              <w:rPr>
                <w:rFonts w:ascii="仿宋_GB2312" w:hAnsi="仿宋_GB2312" w:cs="仿宋_GB2312" w:eastAsia="仿宋_GB2312"/>
              </w:rPr>
              <w:t>本项目不接受联合体参与，单位负责人为同一人或者存在直接控股、管理关系的不同单位，不得参加同一合同项下的采购活动。对列入失信被执行人、政府采购严重违法失信行为记录名单的供应商，拒绝参与本项目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1、强化政府采购异常低价审查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相关供应商在评审现场合理的时间内（30分钟）对投标（响应）价格作出解释，提供项目具体成本测算等与报价合理性相关的书面说明及必要的证明材料，包括但不限于原材料成本、人工成本、制造费用等。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报价函 磋商报价表及已标价工程量清单.docx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合同签订后30日历日内施工完毕，并安装、调试完成。（实际开竣工日期以正式批准的开竣工日期为准）</w:t>
            </w:r>
          </w:p>
        </w:tc>
        <w:tc>
          <w:tcPr>
            <w:tcW w:type="dxa" w:w="1661"/>
          </w:tcPr>
          <w:p>
            <w:pPr>
              <w:pStyle w:val="null3"/>
            </w:pPr>
            <w:r>
              <w:rPr>
                <w:rFonts w:ascii="仿宋_GB2312" w:hAnsi="仿宋_GB2312" w:cs="仿宋_GB2312" w:eastAsia="仿宋_GB2312"/>
              </w:rPr>
              <w:t>磋商报价表及已标价工程量清单.docx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1、工程完成后，供应商报采购人及监理进行初验，初验合格后，供应商向采购人申请正式验收，采购人收到申请后组织相关专业人员对项目进行验收，验收合格后甲方支付到合同金额60%的工程款。2、供应商向采购人报送结算资料，经采购人审计结算且供应商确认结算金额后，甲方付款至结算审定金额的97%，待质保期满且无质量问题后付款至结算审定金额的100%。</w:t>
            </w:r>
          </w:p>
        </w:tc>
        <w:tc>
          <w:tcPr>
            <w:tcW w:type="dxa" w:w="1661"/>
          </w:tcPr>
          <w:p>
            <w:pPr>
              <w:pStyle w:val="null3"/>
            </w:pPr>
            <w:r>
              <w:rPr>
                <w:rFonts w:ascii="仿宋_GB2312" w:hAnsi="仿宋_GB2312" w:cs="仿宋_GB2312" w:eastAsia="仿宋_GB2312"/>
              </w:rPr>
              <w:t>响应文件封面 磋商报价表及已标价工程量清单.docx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保修期</w:t>
            </w:r>
          </w:p>
        </w:tc>
        <w:tc>
          <w:tcPr>
            <w:tcW w:type="dxa" w:w="3322"/>
          </w:tcPr>
          <w:p>
            <w:pPr>
              <w:pStyle w:val="null3"/>
            </w:pPr>
            <w:r>
              <w:rPr>
                <w:rFonts w:ascii="仿宋_GB2312" w:hAnsi="仿宋_GB2312" w:cs="仿宋_GB2312" w:eastAsia="仿宋_GB2312"/>
              </w:rPr>
              <w:t>保修期为2年，若该保修期短于国家相关规定，则按照有关国家建设施工要求及规定执行。保修期自竣工验收合格之日起计算。</w:t>
            </w:r>
          </w:p>
        </w:tc>
        <w:tc>
          <w:tcPr>
            <w:tcW w:type="dxa" w:w="1661"/>
          </w:tcPr>
          <w:p>
            <w:pPr>
              <w:pStyle w:val="null3"/>
            </w:pPr>
            <w:r>
              <w:rPr>
                <w:rFonts w:ascii="仿宋_GB2312" w:hAnsi="仿宋_GB2312" w:cs="仿宋_GB2312" w:eastAsia="仿宋_GB2312"/>
              </w:rPr>
              <w:t>响应文件封面 磋商报价表及已标价工程量清单.docx 商务及技术偏离表.docx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达到国家现行施工验收规范“合格”标准</w:t>
            </w:r>
          </w:p>
        </w:tc>
        <w:tc>
          <w:tcPr>
            <w:tcW w:type="dxa" w:w="1661"/>
          </w:tcPr>
          <w:p>
            <w:pPr>
              <w:pStyle w:val="null3"/>
            </w:pPr>
            <w:r>
              <w:rPr>
                <w:rFonts w:ascii="仿宋_GB2312" w:hAnsi="仿宋_GB2312" w:cs="仿宋_GB2312" w:eastAsia="仿宋_GB2312"/>
              </w:rPr>
              <w:t>响应文件封面 磋商报价表及已标价工程量清单.docx 商务及技术偏离表.docx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磋商截止之日起90日历天</w:t>
            </w:r>
          </w:p>
        </w:tc>
        <w:tc>
          <w:tcPr>
            <w:tcW w:type="dxa" w:w="1661"/>
          </w:tcPr>
          <w:p>
            <w:pPr>
              <w:pStyle w:val="null3"/>
            </w:pPr>
            <w:r>
              <w:rPr>
                <w:rFonts w:ascii="仿宋_GB2312" w:hAnsi="仿宋_GB2312" w:cs="仿宋_GB2312" w:eastAsia="仿宋_GB2312"/>
              </w:rPr>
              <w:t>响应文件封面 磋商报价表及已标价工程量清单.docx 商务及技术偏离表.docx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磋商报价表及已标价工程量清单.docx 商务及技术偏离表.docx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磋商报价表及已标价工程量清单.docx 商务及技术偏离表.docx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磋商报价表及已标价工程量清单.docx 商务及技术偏离表.docx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提供供应商2023年1月至今类似项目业绩合同；每提供1份合同计1分，满分5分。（以合同签订日期为准）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针对本项目提供的实施方案进行综合评审。 A.实施方案完整、有针对性，完全满足项目实施，具有优化建议的得10分； B.实施方案完整，有针对性，完全满足项目实施的，得8分； C.实施方案非专门针对本项目，存在少量逻辑漏洞或前后内容不一致的得6分； D.实施方案内容少或有较大缺陷，或完全套用其他项目的得3分;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机构设置合理完善，人员配备齐全，技术经验丰富，人员专业性强，完全满足项目需求得5分； 机构设置合理，人员配备齐全，且具备从业经验，满足项目需求得3分； 机构设置非专门针对本项目，人员配备、技术经验有欠缺的得2分； 机构设置、人员配备不完整，或完整但无相关经验的得1分； E.未提供得0分。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劳动力安排计划情况表</w:t>
            </w:r>
          </w:p>
        </w:tc>
        <w:tc>
          <w:tcPr>
            <w:tcW w:type="dxa" w:w="2492"/>
          </w:tcPr>
          <w:p>
            <w:pPr>
              <w:pStyle w:val="null3"/>
            </w:pPr>
            <w:r>
              <w:rPr>
                <w:rFonts w:ascii="仿宋_GB2312" w:hAnsi="仿宋_GB2312" w:cs="仿宋_GB2312" w:eastAsia="仿宋_GB2312"/>
              </w:rPr>
              <w:t>针对本项目的劳动力安排计划情况表，根据合理、可行程度进行综合评审。 劳动力安排计划情况完整、合理、可行，有利于本项目实施的得5分； 劳动力安排计划情况合理、可行的，基本能满足项目实施的得3分； 劳动力安排计划情况可行性较差，存在缺陷的得1分；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工程质量管理</w:t>
            </w:r>
          </w:p>
        </w:tc>
        <w:tc>
          <w:tcPr>
            <w:tcW w:type="dxa" w:w="2492"/>
          </w:tcPr>
          <w:p>
            <w:pPr>
              <w:pStyle w:val="null3"/>
            </w:pPr>
            <w:r>
              <w:rPr>
                <w:rFonts w:ascii="仿宋_GB2312" w:hAnsi="仿宋_GB2312" w:cs="仿宋_GB2312" w:eastAsia="仿宋_GB2312"/>
              </w:rPr>
              <w:t>针对本项目提供质量管理目标和质量管理制度、主要工序的质量技术保证措施和手段。 A.措施完备齐全、先进、合理、切实可行。措施方案全面、可实施性强得5分； B.措施完备齐全、先进、合理、切实可行。措施方案基本全面、具有可实施性得3分； C.措施方案内容单一、可实施性条件一般得1分；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安全作业管理</w:t>
            </w:r>
          </w:p>
        </w:tc>
        <w:tc>
          <w:tcPr>
            <w:tcW w:type="dxa" w:w="2492"/>
          </w:tcPr>
          <w:p>
            <w:pPr>
              <w:pStyle w:val="null3"/>
            </w:pPr>
            <w:r>
              <w:rPr>
                <w:rFonts w:ascii="仿宋_GB2312" w:hAnsi="仿宋_GB2312" w:cs="仿宋_GB2312" w:eastAsia="仿宋_GB2312"/>
              </w:rPr>
              <w:t>针对本项目提供具体的安全作业方案及安全配套措施进行综合评审。 A.提供具体详细、有针对性的安全作业方案及安全配套措施，符合采购人安全作业要求且具有优化建议的，得10分； B.提供详细的安全作业方案及安全配套措施，符合采购人安全作业的要求，得8分； C.提供的安全作业方案及安全配套措施套用其他项目内容，存在少量逻辑漏洞或前后内容不一致的得6分； D.提供的安全作业方案及安全配套措施较少，存在影响采购人安全作业要求实现的，得3分。 E.未提供得0分。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文明施工措施计划</w:t>
            </w:r>
          </w:p>
        </w:tc>
        <w:tc>
          <w:tcPr>
            <w:tcW w:type="dxa" w:w="2492"/>
          </w:tcPr>
          <w:p>
            <w:pPr>
              <w:pStyle w:val="null3"/>
            </w:pPr>
            <w:r>
              <w:rPr>
                <w:rFonts w:ascii="仿宋_GB2312" w:hAnsi="仿宋_GB2312" w:cs="仿宋_GB2312" w:eastAsia="仿宋_GB2312"/>
              </w:rPr>
              <w:t>针对本项目提供的文明施工措施计划进行综合评审。 A.措施计划详细齐全、合理且切实可行，满足采购人需求，具有优化建议的得5分； B.措施计划详细齐全、合理、切实可行，满足采购人需求得3分； C.措施计划非专门针对本项目，存在少量逻辑漏洞或前后内容不一致的得2分； D.措施计划有较大缺陷，或完全套用其他项目且内容较少的得1分； E.未提供得0分。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针对本项目投入的施工机械配备和材料投入计划等进行综合评审。 A.施工机械配备合理并提供材料来源证明材料，证明材料齐全且投入材料环保性满足或优于国家标准的得5分； B.施工机械配备合理和材料环保性较好，提供了材料来源证明材料的得3分； C.施工机械配备和材料投入计划基本合理、可行，但未提供其他证明材料的得2分； D.施工机械配备和材料投入计划较差，影响本项目实施的得1分； E.未提供得0分。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技术方案及实施保障.docx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针对本项目提供具体的施工进度表或施工网络图进行综合评审。 A.施工进度表或施工网络图安排科学合理，符合本项目施工实际要求得5分； B.施工进度表或施工网络图安排较为科学合理符合本项目施工实际要求得3分； C.施工进度表或施工网络图安排本项目施工实际要求得1分； D.未提供得0分。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供应商针对本项目提供新技术、新产品、新工艺、新材料应用措施进行综合评审。 A.内容详细齐全、合理且切实可行，具有优化建议的计5分； B.内容齐全、可行，但存在逻辑漏洞或前后内容不一致的计3分； C.内容有较大缺陷，或完全套用其他项目且内容较少的计1分； D.未提供不计分。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针对可能出现的问题及重大故障，供应商有具体可行的应急措施和解决方案， A.措施计划详细齐全、合理且切实可行，完全满足采购人需求，具有优化建议的得5分； B.内容齐全、可行，但存在逻辑漏洞或前后内容不一致的计3分； C.内容有较大缺陷，或完全套用其他项目且内容较少的计1分； D.未提供不计分。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技术方案及实施保障.docx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供应商应提供内容完备、科学合理、针对性强的施工保修承诺书。 A.内容详细齐全、合理且切实可行，满足采购人需求，具有保修承诺及保修方案的计5分； B.内容齐全、可行，但存在逻辑漏洞或前后内容不一致的计3分； C.内容有较大缺陷，或完全套用其他项目且内容较少的计1分； D.未提供不计分。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技术方案及实施保障.docx</w:t>
            </w:r>
          </w:p>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磋商报价表及已标价工程量清单.docx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满足磋商文件要求且最后磋商价格最低的磋商报价为磋商基准价，其价格分为满分。其他供应商的价格分统一按照下列公式计算：磋商报价得分=（磋商基准价/磋商报价）×30。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磋商报价表及已标价工程量清单.docx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详见附件：技术方案及实施保障.docx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详见附件：磋商报价表及已标价工程量清单.docx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