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D5301">
      <w:pPr>
        <w:pStyle w:val="4"/>
        <w:spacing w:line="360" w:lineRule="auto"/>
        <w:rPr>
          <w:rFonts w:ascii="仿宋" w:hAnsi="仿宋" w:eastAsia="仿宋" w:cs="仿宋"/>
          <w:sz w:val="28"/>
          <w:szCs w:val="28"/>
        </w:rPr>
      </w:pPr>
      <w:bookmarkStart w:id="0" w:name="_Toc23167"/>
      <w:bookmarkStart w:id="1" w:name="_Toc5607"/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bookmarkStart w:id="2" w:name="_GoBack"/>
      <w:r>
        <w:rPr>
          <w:rFonts w:hint="eastAsia" w:ascii="仿宋" w:hAnsi="仿宋" w:eastAsia="仿宋" w:cs="仿宋"/>
          <w:sz w:val="28"/>
          <w:szCs w:val="28"/>
        </w:rPr>
        <w:t>商务及技术偏离表</w:t>
      </w:r>
      <w:bookmarkEnd w:id="2"/>
      <w:bookmarkEnd w:id="0"/>
      <w:bookmarkEnd w:id="1"/>
    </w:p>
    <w:p w14:paraId="304DDF70">
      <w:pPr>
        <w:spacing w:line="360" w:lineRule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</w:t>
      </w:r>
    </w:p>
    <w:tbl>
      <w:tblPr>
        <w:tblStyle w:val="5"/>
        <w:tblW w:w="9141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6"/>
        <w:gridCol w:w="2388"/>
        <w:gridCol w:w="2356"/>
        <w:gridCol w:w="1367"/>
        <w:gridCol w:w="1584"/>
      </w:tblGrid>
      <w:tr w14:paraId="7E25FB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446" w:type="dxa"/>
            <w:vAlign w:val="center"/>
          </w:tcPr>
          <w:p w14:paraId="1835668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388" w:type="dxa"/>
            <w:vAlign w:val="center"/>
          </w:tcPr>
          <w:p w14:paraId="003EA40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磋商文件商务及技术要求</w:t>
            </w:r>
          </w:p>
        </w:tc>
        <w:tc>
          <w:tcPr>
            <w:tcW w:w="2356" w:type="dxa"/>
            <w:vAlign w:val="center"/>
          </w:tcPr>
          <w:p w14:paraId="01B479D1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响应文件商务及技术响应情况</w:t>
            </w:r>
          </w:p>
        </w:tc>
        <w:tc>
          <w:tcPr>
            <w:tcW w:w="1367" w:type="dxa"/>
            <w:vAlign w:val="center"/>
          </w:tcPr>
          <w:p w14:paraId="176F11E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偏离情况</w:t>
            </w:r>
          </w:p>
        </w:tc>
        <w:tc>
          <w:tcPr>
            <w:tcW w:w="1584" w:type="dxa"/>
            <w:vAlign w:val="center"/>
          </w:tcPr>
          <w:p w14:paraId="153E871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说明</w:t>
            </w:r>
          </w:p>
        </w:tc>
      </w:tr>
      <w:tr w14:paraId="7CF81B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446" w:type="dxa"/>
          </w:tcPr>
          <w:p w14:paraId="352A7BB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88" w:type="dxa"/>
          </w:tcPr>
          <w:p w14:paraId="5684A64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56" w:type="dxa"/>
          </w:tcPr>
          <w:p w14:paraId="569D7E0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4E7EA4A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84" w:type="dxa"/>
          </w:tcPr>
          <w:p w14:paraId="2C00282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C546C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446" w:type="dxa"/>
          </w:tcPr>
          <w:p w14:paraId="4076E37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88" w:type="dxa"/>
          </w:tcPr>
          <w:p w14:paraId="66FE1A2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56" w:type="dxa"/>
          </w:tcPr>
          <w:p w14:paraId="13179D6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6FBC928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84" w:type="dxa"/>
          </w:tcPr>
          <w:p w14:paraId="643FCFF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EC94A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446" w:type="dxa"/>
          </w:tcPr>
          <w:p w14:paraId="428943E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88" w:type="dxa"/>
          </w:tcPr>
          <w:p w14:paraId="0BCE50C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56" w:type="dxa"/>
          </w:tcPr>
          <w:p w14:paraId="5AA86429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2322BF0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84" w:type="dxa"/>
          </w:tcPr>
          <w:p w14:paraId="718C44E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91A31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446" w:type="dxa"/>
          </w:tcPr>
          <w:p w14:paraId="68CDB7E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88" w:type="dxa"/>
          </w:tcPr>
          <w:p w14:paraId="13BC7A5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56" w:type="dxa"/>
          </w:tcPr>
          <w:p w14:paraId="5C0874B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037641F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84" w:type="dxa"/>
          </w:tcPr>
          <w:p w14:paraId="6C21937F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2CF732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446" w:type="dxa"/>
          </w:tcPr>
          <w:p w14:paraId="46043F0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88" w:type="dxa"/>
          </w:tcPr>
          <w:p w14:paraId="6A2E1036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56" w:type="dxa"/>
          </w:tcPr>
          <w:p w14:paraId="42D37AE5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67" w:type="dxa"/>
          </w:tcPr>
          <w:p w14:paraId="7A3249B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584" w:type="dxa"/>
          </w:tcPr>
          <w:p w14:paraId="386BEFA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68F93A2E">
      <w:pPr>
        <w:spacing w:line="360" w:lineRule="auto"/>
        <w:rPr>
          <w:rFonts w:ascii="仿宋" w:hAnsi="仿宋" w:eastAsia="仿宋" w:cs="仿宋"/>
          <w:sz w:val="24"/>
        </w:rPr>
      </w:pPr>
    </w:p>
    <w:p w14:paraId="1737A29F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声明：1、供应商如有商务及技术偏离，在表中逐项列明。除本商务及技术偏离表中所列的偏离项目外，其他所有商务均完全响应磋商文件中的要求。</w:t>
      </w:r>
    </w:p>
    <w:p w14:paraId="38B853B3">
      <w:pPr>
        <w:spacing w:line="360" w:lineRule="auto"/>
        <w:ind w:firstLine="720" w:firstLineChars="3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2、如供应商全部响应磋商文件商务及技术要求，可不逐项填写，在“磋商文件商务及技术要求”及“响应文件商务及技术响应情况”栏中填写“全部”字样，在“偏离情况”栏填入“无偏离”字样即可。</w:t>
      </w:r>
    </w:p>
    <w:p w14:paraId="51BC4316">
      <w:pPr>
        <w:spacing w:line="360" w:lineRule="auto"/>
        <w:rPr>
          <w:rFonts w:ascii="仿宋" w:hAnsi="仿宋" w:eastAsia="仿宋" w:cs="仿宋"/>
          <w:sz w:val="24"/>
        </w:rPr>
      </w:pPr>
    </w:p>
    <w:p w14:paraId="46968C5B">
      <w:pPr>
        <w:spacing w:line="360" w:lineRule="auto"/>
        <w:rPr>
          <w:rFonts w:ascii="仿宋" w:hAnsi="仿宋" w:eastAsia="仿宋" w:cs="仿宋"/>
        </w:rPr>
      </w:pPr>
    </w:p>
    <w:p w14:paraId="1B7E91EB">
      <w:pPr>
        <w:spacing w:line="360" w:lineRule="auto"/>
        <w:rPr>
          <w:rFonts w:ascii="仿宋" w:hAnsi="仿宋" w:eastAsia="仿宋" w:cs="仿宋"/>
        </w:rPr>
      </w:pPr>
    </w:p>
    <w:p w14:paraId="46F973A2">
      <w:pPr>
        <w:spacing w:line="360" w:lineRule="auto"/>
        <w:rPr>
          <w:rFonts w:ascii="仿宋" w:hAnsi="仿宋" w:eastAsia="仿宋" w:cs="仿宋"/>
        </w:rPr>
      </w:pPr>
    </w:p>
    <w:p w14:paraId="3FAF4C66">
      <w:pPr>
        <w:spacing w:line="360" w:lineRule="auto"/>
        <w:rPr>
          <w:rFonts w:ascii="仿宋" w:hAnsi="仿宋" w:eastAsia="仿宋" w:cs="仿宋"/>
        </w:rPr>
      </w:pPr>
    </w:p>
    <w:p w14:paraId="4C14D72E">
      <w:pPr>
        <w:spacing w:line="360" w:lineRule="auto"/>
        <w:rPr>
          <w:rFonts w:ascii="仿宋" w:hAnsi="仿宋" w:eastAsia="仿宋" w:cs="仿宋"/>
        </w:rPr>
      </w:pPr>
    </w:p>
    <w:p w14:paraId="4FE2B884">
      <w:pPr>
        <w:spacing w:line="360" w:lineRule="auto"/>
        <w:ind w:right="-161" w:firstLine="3855" w:firstLineChars="1600"/>
        <w:rPr>
          <w:rFonts w:ascii="仿宋" w:hAnsi="仿宋" w:eastAsia="仿宋" w:cs="仿宋"/>
          <w:b/>
          <w:bCs/>
          <w:sz w:val="24"/>
          <w:u w:val="single"/>
        </w:rPr>
      </w:pPr>
      <w:r>
        <w:rPr>
          <w:rFonts w:hint="eastAsia" w:ascii="仿宋" w:hAnsi="仿宋" w:eastAsia="仿宋" w:cs="仿宋"/>
          <w:b/>
          <w:bCs/>
          <w:sz w:val="24"/>
        </w:rPr>
        <w:t>供应商：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 xml:space="preserve">            （公章）                 </w:t>
      </w:r>
    </w:p>
    <w:p w14:paraId="5072673D">
      <w:pPr>
        <w:spacing w:line="360" w:lineRule="auto"/>
        <w:ind w:right="-161" w:firstLine="3855" w:firstLineChars="16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法定代表人或被授权代表（签字或盖章）：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 xml:space="preserve">       </w:t>
      </w:r>
    </w:p>
    <w:p w14:paraId="3B35A74C">
      <w:r>
        <w:rPr>
          <w:rFonts w:hint="eastAsia" w:ascii="仿宋" w:hAnsi="仿宋" w:eastAsia="仿宋" w:cs="仿宋"/>
          <w:b/>
          <w:bCs/>
          <w:sz w:val="24"/>
        </w:rPr>
        <w:t>日期：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 xml:space="preserve">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F2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宋体" w:hAnsi="宋体"/>
      <w:kern w:val="0"/>
      <w:sz w:val="30"/>
      <w:szCs w:val="20"/>
    </w:rPr>
  </w:style>
  <w:style w:type="paragraph" w:styleId="3">
    <w:name w:val="Body Text 2"/>
    <w:basedOn w:val="1"/>
    <w:qFormat/>
    <w:uiPriority w:val="0"/>
    <w:pPr>
      <w:widowControl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2026-07-16T07:56:36Z</dcterms:created>
  <dc:creator>Administrator</dc:creator>
  <cp:lastModifiedBy>小丸紫</cp:lastModifiedBy>
  <dcterms:modified xsi:type="dcterms:W3CDTF">2026-07-16T07:57:56Z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eyJoZGlkIjoiOGI0ZjlhMjFhYjcxZTA2MWUyZTRiMzcyNTcwOWUzMWUiLCJ1c2VySWQiOiIzOTEwNjUzOTUifQ==</vt:lpwstr>
  </property>
  <property fmtid="{D5CDD505-2E9C-101B-9397-08002B2CF9AE}" pid="4" name="ICV">
    <vt:lpwstr>2759DF365D954442AFC908D76724131D_12</vt:lpwstr>
  </property>
</Properties>
</file>