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44DDE7">
      <w:pPr>
        <w:pStyle w:val="4"/>
        <w:rPr>
          <w:rFonts w:ascii="仿宋" w:hAnsi="仿宋" w:eastAsia="仿宋" w:cs="仿宋"/>
          <w:sz w:val="28"/>
          <w:szCs w:val="28"/>
        </w:rPr>
      </w:pPr>
      <w:bookmarkStart w:id="0" w:name="_Toc4583"/>
      <w:bookmarkStart w:id="1" w:name="_Toc17309"/>
      <w:r>
        <w:rPr>
          <w:rFonts w:hint="eastAsia" w:ascii="仿宋" w:hAnsi="仿宋" w:eastAsia="仿宋" w:cs="仿宋"/>
          <w:sz w:val="28"/>
          <w:szCs w:val="28"/>
        </w:rPr>
        <w:t>附件</w:t>
      </w:r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技术方案及实施保障</w:t>
      </w:r>
      <w:bookmarkEnd w:id="1"/>
    </w:p>
    <w:p w14:paraId="35599658">
      <w:pPr>
        <w:pStyle w:val="2"/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项目实施方案</w:t>
      </w:r>
    </w:p>
    <w:p w14:paraId="7C165B03">
      <w:pPr>
        <w:pStyle w:val="2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项目组织管理机构</w:t>
      </w:r>
    </w:p>
    <w:p w14:paraId="298060EC">
      <w:pPr>
        <w:pStyle w:val="2"/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劳动力安排计划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情况表</w:t>
      </w:r>
    </w:p>
    <w:p w14:paraId="795128AC">
      <w:pPr>
        <w:pStyle w:val="2"/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工程质量管理</w:t>
      </w:r>
    </w:p>
    <w:p w14:paraId="01216EFF">
      <w:pPr>
        <w:pStyle w:val="2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安全作业管理</w:t>
      </w:r>
    </w:p>
    <w:p w14:paraId="3CEE4AA3">
      <w:pPr>
        <w:pStyle w:val="2"/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文明施工措施计划</w:t>
      </w:r>
    </w:p>
    <w:p w14:paraId="4D852E8A">
      <w:pPr>
        <w:pStyle w:val="2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施工机械配备和材料投入计划</w:t>
      </w:r>
    </w:p>
    <w:p w14:paraId="254831F4">
      <w:pPr>
        <w:pStyle w:val="2"/>
        <w:spacing w:line="360" w:lineRule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......</w:t>
      </w:r>
    </w:p>
    <w:p w14:paraId="77214DFC">
      <w:pPr>
        <w:pStyle w:val="2"/>
        <w:spacing w:line="360" w:lineRule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（包括但不限于以上内容）</w:t>
      </w:r>
    </w:p>
    <w:p w14:paraId="7DFFF009">
      <w:r>
        <w:br w:type="page"/>
      </w:r>
    </w:p>
    <w:p w14:paraId="201FCB1B">
      <w:pPr>
        <w:spacing w:before="240" w:beforeLines="100"/>
        <w:rPr>
          <w:rFonts w:ascii="仿宋" w:hAnsi="仿宋" w:eastAsia="仿宋" w:cs="仿宋"/>
          <w:sz w:val="28"/>
          <w:szCs w:val="28"/>
        </w:rPr>
      </w:pPr>
      <w:bookmarkStart w:id="2" w:name="_Toc26109"/>
      <w:bookmarkStart w:id="3" w:name="_Toc448912077"/>
      <w:bookmarkStart w:id="4" w:name="_Toc12647977"/>
      <w:r>
        <w:rPr>
          <w:rFonts w:hint="eastAsia" w:ascii="仿宋" w:hAnsi="仿宋" w:eastAsia="仿宋" w:cs="仿宋"/>
          <w:sz w:val="28"/>
          <w:szCs w:val="28"/>
        </w:rPr>
        <w:t>附表一：拟投入本工程的主要施工设备表</w:t>
      </w:r>
      <w:bookmarkEnd w:id="2"/>
      <w:bookmarkEnd w:id="3"/>
      <w:bookmarkEnd w:id="4"/>
    </w:p>
    <w:p w14:paraId="7EC24FD1">
      <w:pPr>
        <w:spacing w:line="440" w:lineRule="exact"/>
        <w:rPr>
          <w:rFonts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（格式自拟）</w:t>
      </w:r>
    </w:p>
    <w:p w14:paraId="1F1D9897">
      <w:pPr>
        <w:spacing w:line="440" w:lineRule="exact"/>
        <w:rPr>
          <w:rFonts w:ascii="仿宋" w:hAnsi="仿宋" w:eastAsia="仿宋" w:cs="仿宋"/>
        </w:rPr>
      </w:pPr>
    </w:p>
    <w:p w14:paraId="49392E59">
      <w:pPr>
        <w:spacing w:before="240" w:beforeLines="100"/>
        <w:rPr>
          <w:rFonts w:ascii="仿宋" w:hAnsi="仿宋" w:eastAsia="仿宋" w:cs="仿宋"/>
          <w:sz w:val="28"/>
          <w:szCs w:val="36"/>
        </w:rPr>
      </w:pPr>
      <w:bookmarkStart w:id="5" w:name="_Toc5144"/>
      <w:bookmarkStart w:id="6" w:name="_Toc12647978"/>
      <w:bookmarkStart w:id="7" w:name="_Toc448912078"/>
      <w:r>
        <w:rPr>
          <w:rFonts w:hint="eastAsia" w:ascii="仿宋" w:hAnsi="仿宋" w:eastAsia="仿宋" w:cs="仿宋"/>
        </w:rPr>
        <w:br w:type="page"/>
      </w:r>
      <w:r>
        <w:rPr>
          <w:rFonts w:hint="eastAsia" w:ascii="仿宋" w:hAnsi="仿宋" w:eastAsia="仿宋" w:cs="仿宋"/>
          <w:sz w:val="28"/>
          <w:szCs w:val="36"/>
        </w:rPr>
        <w:t>附表二：拟配备本工程的试验和检测仪器设备表</w:t>
      </w:r>
      <w:bookmarkEnd w:id="5"/>
      <w:bookmarkEnd w:id="6"/>
      <w:bookmarkEnd w:id="7"/>
    </w:p>
    <w:p w14:paraId="575D696F">
      <w:pPr>
        <w:spacing w:line="440" w:lineRule="exact"/>
        <w:rPr>
          <w:rFonts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（格式自拟）</w:t>
      </w:r>
    </w:p>
    <w:p w14:paraId="2B1D5E87">
      <w:pPr>
        <w:spacing w:line="440" w:lineRule="exact"/>
        <w:rPr>
          <w:rFonts w:ascii="仿宋" w:hAnsi="仿宋" w:eastAsia="仿宋" w:cs="仿宋"/>
        </w:rPr>
      </w:pPr>
    </w:p>
    <w:p w14:paraId="63D17B60">
      <w:pPr>
        <w:spacing w:line="440" w:lineRule="exact"/>
        <w:rPr>
          <w:rFonts w:ascii="仿宋" w:hAnsi="仿宋" w:eastAsia="仿宋" w:cs="仿宋"/>
        </w:rPr>
      </w:pPr>
    </w:p>
    <w:p w14:paraId="4A0AB0BE">
      <w:pPr>
        <w:spacing w:line="440" w:lineRule="exact"/>
        <w:rPr>
          <w:rFonts w:ascii="仿宋" w:hAnsi="仿宋" w:eastAsia="仿宋" w:cs="仿宋"/>
        </w:rPr>
      </w:pPr>
    </w:p>
    <w:p w14:paraId="00B915B7">
      <w:pPr>
        <w:spacing w:line="440" w:lineRule="exact"/>
        <w:rPr>
          <w:rFonts w:ascii="仿宋" w:hAnsi="仿宋" w:eastAsia="仿宋" w:cs="仿宋"/>
        </w:rPr>
      </w:pPr>
    </w:p>
    <w:p w14:paraId="58CA48CF">
      <w:pPr>
        <w:spacing w:line="440" w:lineRule="exact"/>
        <w:rPr>
          <w:rFonts w:ascii="仿宋" w:hAnsi="仿宋" w:eastAsia="仿宋" w:cs="仿宋"/>
        </w:rPr>
      </w:pPr>
    </w:p>
    <w:p w14:paraId="5FCF87DE">
      <w:pPr>
        <w:spacing w:before="240" w:beforeLines="100"/>
        <w:rPr>
          <w:rFonts w:ascii="仿宋" w:hAnsi="仿宋" w:eastAsia="仿宋" w:cs="仿宋"/>
        </w:rPr>
      </w:pPr>
      <w:bookmarkStart w:id="8" w:name="_Toc12647979"/>
      <w:bookmarkStart w:id="9" w:name="_Toc448912079"/>
      <w:bookmarkStart w:id="10" w:name="_Toc24516"/>
      <w:r>
        <w:rPr>
          <w:rFonts w:hint="eastAsia" w:ascii="仿宋" w:hAnsi="仿宋" w:eastAsia="仿宋" w:cs="仿宋"/>
        </w:rPr>
        <w:br w:type="page"/>
      </w:r>
      <w:r>
        <w:rPr>
          <w:rFonts w:hint="eastAsia" w:ascii="仿宋" w:hAnsi="仿宋" w:eastAsia="仿宋" w:cs="仿宋"/>
          <w:sz w:val="28"/>
          <w:szCs w:val="36"/>
        </w:rPr>
        <w:t>附表三：劳动力计划表</w:t>
      </w:r>
      <w:bookmarkEnd w:id="8"/>
      <w:bookmarkEnd w:id="9"/>
      <w:bookmarkEnd w:id="10"/>
    </w:p>
    <w:p w14:paraId="344F210C">
      <w:pPr>
        <w:spacing w:line="440" w:lineRule="exact"/>
        <w:rPr>
          <w:rFonts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（格式自拟）</w:t>
      </w:r>
    </w:p>
    <w:p w14:paraId="62FBB9A9">
      <w:pPr>
        <w:spacing w:line="440" w:lineRule="exact"/>
        <w:jc w:val="left"/>
        <w:rPr>
          <w:rFonts w:ascii="仿宋" w:hAnsi="仿宋" w:eastAsia="仿宋" w:cs="仿宋"/>
          <w:sz w:val="28"/>
          <w:szCs w:val="28"/>
        </w:rPr>
      </w:pPr>
    </w:p>
    <w:p w14:paraId="52A2EA96">
      <w:pPr>
        <w:rPr>
          <w:rFonts w:ascii="仿宋" w:hAnsi="仿宋" w:eastAsia="仿宋" w:cs="仿宋"/>
        </w:rPr>
      </w:pPr>
    </w:p>
    <w:p w14:paraId="21A46A17">
      <w:pPr>
        <w:spacing w:before="240" w:beforeLines="100"/>
        <w:rPr>
          <w:rFonts w:ascii="仿宋" w:hAnsi="仿宋" w:eastAsia="仿宋" w:cs="仿宋"/>
        </w:rPr>
      </w:pPr>
      <w:bookmarkStart w:id="11" w:name="_Toc448912080"/>
      <w:r>
        <w:rPr>
          <w:rFonts w:hint="eastAsia" w:ascii="仿宋" w:hAnsi="仿宋" w:eastAsia="仿宋" w:cs="仿宋"/>
          <w:sz w:val="28"/>
          <w:szCs w:val="28"/>
        </w:rPr>
        <w:br w:type="page"/>
      </w:r>
      <w:bookmarkStart w:id="12" w:name="_Toc26681"/>
      <w:bookmarkStart w:id="13" w:name="_Toc12647980"/>
      <w:r>
        <w:rPr>
          <w:rFonts w:hint="eastAsia" w:ascii="仿宋" w:hAnsi="仿宋" w:eastAsia="仿宋" w:cs="仿宋"/>
          <w:sz w:val="28"/>
          <w:szCs w:val="28"/>
        </w:rPr>
        <w:t>附表四：计划开、竣工日期和施工进度网络图</w:t>
      </w:r>
      <w:bookmarkEnd w:id="11"/>
      <w:bookmarkEnd w:id="12"/>
      <w:bookmarkEnd w:id="13"/>
    </w:p>
    <w:p w14:paraId="0ACB9E3C">
      <w:pPr>
        <w:spacing w:line="440" w:lineRule="exact"/>
        <w:rPr>
          <w:rFonts w:ascii="仿宋" w:hAnsi="仿宋" w:eastAsia="仿宋" w:cs="仿宋"/>
          <w:sz w:val="24"/>
        </w:rPr>
      </w:pPr>
    </w:p>
    <w:p w14:paraId="64F843F7">
      <w:pPr>
        <w:spacing w:line="440" w:lineRule="exact"/>
        <w:ind w:firstLine="480" w:firstLineChars="200"/>
        <w:rPr>
          <w:rFonts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1．供应商应递交施工进度网络图或施工进度表，说明按文件要求的计划工期进行施工的各个关键日期。</w:t>
      </w:r>
    </w:p>
    <w:p w14:paraId="1995D3DD">
      <w:pPr>
        <w:spacing w:line="440" w:lineRule="exact"/>
        <w:ind w:firstLine="480" w:firstLineChars="200"/>
        <w:rPr>
          <w:rFonts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2．施工进度表可采用网络图和（或）横道图表示。</w:t>
      </w:r>
    </w:p>
    <w:p w14:paraId="2A28A6CC">
      <w:pPr>
        <w:spacing w:line="440" w:lineRule="exact"/>
        <w:rPr>
          <w:rFonts w:ascii="仿宋" w:hAnsi="仿宋" w:eastAsia="仿宋" w:cs="仿宋"/>
          <w:sz w:val="24"/>
          <w:szCs w:val="32"/>
        </w:rPr>
      </w:pPr>
    </w:p>
    <w:p w14:paraId="4062DD6F">
      <w:pPr>
        <w:spacing w:line="440" w:lineRule="exact"/>
        <w:ind w:firstLine="48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4"/>
          <w:szCs w:val="32"/>
        </w:rPr>
        <w:br w:type="page"/>
      </w:r>
      <w:r>
        <w:rPr>
          <w:rFonts w:hint="eastAsia" w:ascii="仿宋" w:hAnsi="仿宋" w:eastAsia="仿宋" w:cs="仿宋"/>
          <w:sz w:val="28"/>
          <w:szCs w:val="28"/>
        </w:rPr>
        <w:t>附表五：主要材料表</w:t>
      </w:r>
    </w:p>
    <w:p w14:paraId="515AB6F6">
      <w:pPr>
        <w:spacing w:line="360" w:lineRule="auto"/>
      </w:pPr>
    </w:p>
    <w:p w14:paraId="226E83D8">
      <w:pPr>
        <w:pStyle w:val="5"/>
        <w:spacing w:line="360" w:lineRule="auto"/>
        <w:rPr>
          <w:rFonts w:ascii="仿宋" w:hAnsi="仿宋" w:eastAsia="仿宋" w:cs="仿宋"/>
        </w:rPr>
      </w:pPr>
    </w:p>
    <w:tbl>
      <w:tblPr>
        <w:tblStyle w:val="6"/>
        <w:tblW w:w="915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"/>
        <w:gridCol w:w="1570"/>
        <w:gridCol w:w="1790"/>
        <w:gridCol w:w="1753"/>
        <w:gridCol w:w="1560"/>
        <w:gridCol w:w="1921"/>
      </w:tblGrid>
      <w:tr w14:paraId="40ACA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1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3E4C8BC9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主要材料表</w:t>
            </w:r>
          </w:p>
        </w:tc>
      </w:tr>
      <w:tr w14:paraId="5CF00B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1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01FB162A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项目名称：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 xml:space="preserve"> </w:t>
            </w:r>
          </w:p>
        </w:tc>
      </w:tr>
      <w:tr w14:paraId="5A3E03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57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A480645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序号</w:t>
            </w:r>
          </w:p>
        </w:tc>
        <w:tc>
          <w:tcPr>
            <w:tcW w:w="1570" w:type="dxa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36D9186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材料名称</w:t>
            </w:r>
          </w:p>
        </w:tc>
        <w:tc>
          <w:tcPr>
            <w:tcW w:w="1790" w:type="dxa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462C6F8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品牌</w:t>
            </w:r>
          </w:p>
        </w:tc>
        <w:tc>
          <w:tcPr>
            <w:tcW w:w="1753" w:type="dxa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531464A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型号规格</w:t>
            </w:r>
          </w:p>
        </w:tc>
        <w:tc>
          <w:tcPr>
            <w:tcW w:w="1560" w:type="dxa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257E543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单位及数量</w:t>
            </w:r>
          </w:p>
        </w:tc>
        <w:tc>
          <w:tcPr>
            <w:tcW w:w="1921" w:type="dxa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227F47BE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备注</w:t>
            </w:r>
          </w:p>
        </w:tc>
      </w:tr>
      <w:tr w14:paraId="03EF42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205029F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0244D0F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10F4500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74FD30D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70647E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5E936E46">
            <w:pPr>
              <w:widowControl/>
              <w:jc w:val="center"/>
              <w:rPr>
                <w:rFonts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74A213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EDEA372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2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D617BB3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CB4D76D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3C09BDB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D794FCD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270886F7">
            <w:pPr>
              <w:widowControl/>
              <w:jc w:val="center"/>
              <w:rPr>
                <w:rFonts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1C5629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D8A8BBF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3　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224DF27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4532E27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E82AF39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0D634B7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2134BE07">
            <w:pPr>
              <w:widowControl/>
              <w:jc w:val="center"/>
              <w:rPr>
                <w:rFonts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782EAC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88412DC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4　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9B0515A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FDE7518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D228218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DC3BBB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671D2C8E">
            <w:pPr>
              <w:widowControl/>
              <w:jc w:val="center"/>
              <w:rPr>
                <w:rFonts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673CA7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F6D88DD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5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594B780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14274ED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BD333F4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7419C2A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35621DA9">
            <w:pPr>
              <w:widowControl/>
              <w:jc w:val="center"/>
              <w:rPr>
                <w:rFonts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5B0DD6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37D0844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6　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F3B3E4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238E8DA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F990A7E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BF8C379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4F745060">
            <w:pPr>
              <w:widowControl/>
              <w:jc w:val="center"/>
              <w:rPr>
                <w:rFonts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413476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699C398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7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197FFFB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FE97B38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EF517B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87DD51E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2F4525AC">
            <w:pPr>
              <w:widowControl/>
              <w:jc w:val="center"/>
              <w:rPr>
                <w:rFonts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04517F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E013026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8　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9DFB5D0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3401EA9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837D54D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41C80E6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71FD33C9">
            <w:pPr>
              <w:widowControl/>
              <w:jc w:val="center"/>
              <w:rPr>
                <w:rFonts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1DE3CD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F69B0C4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9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E732670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84568E9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ADB517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5793A64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1CCF066E">
            <w:pPr>
              <w:widowControl/>
              <w:jc w:val="center"/>
              <w:rPr>
                <w:rFonts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0A28EB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227C52E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60112BA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DAEA9D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25B5FD0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74CBFB8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701C0A02">
            <w:pPr>
              <w:widowControl/>
              <w:jc w:val="center"/>
              <w:rPr>
                <w:rFonts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1B9D43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9278251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11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C05350A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44ABC14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1AD7AE7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A703C61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2DBE87B9">
            <w:pPr>
              <w:widowControl/>
              <w:jc w:val="center"/>
              <w:rPr>
                <w:rFonts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1EFB53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787E00E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FE3A20D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ADB9FCA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05D95EE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B07FB49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096EE9D3">
            <w:pPr>
              <w:widowControl/>
              <w:jc w:val="center"/>
              <w:rPr>
                <w:rFonts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072EC8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3C92B58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5FA5E0D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8E9723E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992E25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7C75E0E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639FBD3D">
            <w:pPr>
              <w:widowControl/>
              <w:jc w:val="center"/>
              <w:rPr>
                <w:rFonts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3CCB88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6298315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AC57A67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EA89DA9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CFBC9DB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6371C92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39A7A118">
            <w:pPr>
              <w:widowControl/>
              <w:jc w:val="center"/>
              <w:rPr>
                <w:rFonts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10999A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4FCFD47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15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3596D5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BA49EF7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0E36AE3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348E303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0E787080">
            <w:pPr>
              <w:widowControl/>
              <w:jc w:val="center"/>
              <w:rPr>
                <w:rFonts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291918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98333FF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16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753A849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8503AFC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42B01AC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83752A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37788CDD">
            <w:pPr>
              <w:widowControl/>
              <w:jc w:val="center"/>
              <w:rPr>
                <w:rFonts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471610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41C2F7D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17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ACA4393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7D0C52B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A1EE8D9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6FACF2B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0A4E6017">
            <w:pPr>
              <w:widowControl/>
              <w:jc w:val="center"/>
              <w:rPr>
                <w:rFonts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596626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5B2F565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18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248B08D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A5E884C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97AAF08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FDA2FB1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253740DF">
            <w:pPr>
              <w:widowControl/>
              <w:jc w:val="center"/>
              <w:rPr>
                <w:rFonts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6DCB9B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5206931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19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DAF3456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A70B8FA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11CF4B9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2A4EFEC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12A6E010">
            <w:pPr>
              <w:widowControl/>
              <w:jc w:val="center"/>
              <w:rPr>
                <w:rFonts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164C2B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8927EF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20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391B79C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314381E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BFAC2FC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358E074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7084864B">
            <w:pPr>
              <w:widowControl/>
              <w:jc w:val="center"/>
              <w:rPr>
                <w:rFonts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209009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B22AF2E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E6F972E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B1C13EB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899B2D8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323264D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7DB4297F">
            <w:pPr>
              <w:widowControl/>
              <w:jc w:val="center"/>
              <w:rPr>
                <w:rFonts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7AE495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ABCCA3B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76DC2EA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7C40777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80D0358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83BC107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0629BA19">
            <w:pPr>
              <w:widowControl/>
              <w:jc w:val="center"/>
              <w:rPr>
                <w:rFonts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11CD08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198682B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38E8197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90D10DC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9446355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D963C8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11C4386E">
            <w:pPr>
              <w:widowControl/>
              <w:jc w:val="center"/>
              <w:rPr>
                <w:rFonts w:ascii="仿宋" w:hAnsi="仿宋" w:eastAsia="仿宋" w:cs="仿宋"/>
                <w:kern w:val="0"/>
                <w:sz w:val="18"/>
                <w:szCs w:val="18"/>
              </w:rPr>
            </w:pPr>
          </w:p>
        </w:tc>
      </w:tr>
      <w:tr w14:paraId="5D0BF4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57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FAE4CB5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　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5BC6679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06BD2A5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　</w:t>
            </w:r>
          </w:p>
        </w:tc>
        <w:tc>
          <w:tcPr>
            <w:tcW w:w="1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C41612F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11478B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　</w:t>
            </w:r>
          </w:p>
        </w:tc>
        <w:tc>
          <w:tcPr>
            <w:tcW w:w="19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150D5C74">
            <w:pPr>
              <w:widowControl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</w:tbl>
    <w:p w14:paraId="5C5F30FE">
      <w:pPr>
        <w:adjustRightInd w:val="0"/>
        <w:snapToGrid w:val="0"/>
        <w:spacing w:line="360" w:lineRule="auto"/>
        <w:jc w:val="left"/>
      </w:pPr>
      <w:r>
        <w:rPr>
          <w:rFonts w:hint="eastAsia" w:ascii="仿宋_GB2312" w:hAnsi="仿宋_GB2312" w:eastAsia="仿宋_GB2312" w:cs="仿宋_GB2312"/>
          <w:bCs/>
          <w:sz w:val="24"/>
        </w:rPr>
        <w:t>备注:1、此表可自行扩充;供应商需据实填写，证明材料包括但不限于有效期内所投产品的检测报告、产品官网截图、产品的认证证书等资料。</w:t>
      </w:r>
    </w:p>
    <w:p w14:paraId="2E7D0799">
      <w:pPr>
        <w:spacing w:line="360" w:lineRule="auto"/>
        <w:rPr>
          <w:rFonts w:ascii="仿宋" w:hAnsi="仿宋" w:eastAsia="仿宋" w:cs="仿宋"/>
          <w:b/>
          <w:bCs/>
          <w:sz w:val="24"/>
        </w:rPr>
      </w:pPr>
    </w:p>
    <w:p w14:paraId="2FE47478">
      <w:r>
        <w:br w:type="page"/>
      </w:r>
    </w:p>
    <w:p w14:paraId="3FAF2BE3">
      <w:pPr>
        <w:pStyle w:val="4"/>
        <w:rPr>
          <w:rFonts w:ascii="仿宋" w:hAnsi="仿宋" w:eastAsia="仿宋" w:cs="仿宋"/>
          <w:sz w:val="28"/>
          <w:szCs w:val="28"/>
        </w:rPr>
      </w:pPr>
      <w:bookmarkStart w:id="14" w:name="_Toc19347"/>
      <w:bookmarkStart w:id="15" w:name="_Toc10761"/>
      <w:bookmarkStart w:id="16" w:name="_Toc28339195"/>
      <w:r>
        <w:rPr>
          <w:rFonts w:hint="eastAsia" w:ascii="仿宋" w:hAnsi="仿宋" w:eastAsia="仿宋" w:cs="仿宋"/>
          <w:sz w:val="28"/>
          <w:szCs w:val="28"/>
        </w:rPr>
        <w:t>附件</w:t>
      </w:r>
      <w:bookmarkEnd w:id="14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应急预案</w:t>
      </w:r>
      <w:bookmarkEnd w:id="15"/>
    </w:p>
    <w:p w14:paraId="0B245A35">
      <w:pPr>
        <w:pStyle w:val="5"/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①施工过程中突发事件的应急响应时间；</w:t>
      </w:r>
    </w:p>
    <w:p w14:paraId="3027E24D">
      <w:pPr>
        <w:pStyle w:val="5"/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②应急人员配置；</w:t>
      </w:r>
    </w:p>
    <w:p w14:paraId="16BB8657">
      <w:pPr>
        <w:pStyle w:val="5"/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③对发生的突发事件的应急处理措施等。</w:t>
      </w:r>
    </w:p>
    <w:p w14:paraId="1D40E756">
      <w:pPr>
        <w:pStyle w:val="2"/>
        <w:spacing w:line="360" w:lineRule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（包括但不限于以上内容）</w:t>
      </w:r>
    </w:p>
    <w:p w14:paraId="640BB265">
      <w:pPr>
        <w:spacing w:line="360" w:lineRule="auto"/>
        <w:rPr>
          <w:rFonts w:ascii="仿宋" w:hAnsi="仿宋" w:eastAsia="仿宋" w:cs="仿宋"/>
          <w:b/>
          <w:bCs/>
          <w:sz w:val="24"/>
        </w:rPr>
      </w:pPr>
    </w:p>
    <w:p w14:paraId="4211C98A">
      <w:pPr>
        <w:spacing w:line="360" w:lineRule="auto"/>
        <w:ind w:firstLine="420" w:firstLineChars="175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</w:t>
      </w:r>
    </w:p>
    <w:p w14:paraId="070A16A5">
      <w:pPr>
        <w:spacing w:line="360" w:lineRule="auto"/>
        <w:ind w:firstLine="420" w:firstLineChars="175"/>
        <w:rPr>
          <w:rFonts w:ascii="仿宋" w:hAnsi="仿宋" w:eastAsia="仿宋" w:cs="仿宋"/>
          <w:sz w:val="24"/>
        </w:rPr>
      </w:pPr>
    </w:p>
    <w:p w14:paraId="39546DE8">
      <w:pPr>
        <w:pStyle w:val="4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</w:rPr>
        <w:br w:type="page"/>
      </w:r>
      <w:bookmarkEnd w:id="16"/>
      <w:bookmarkStart w:id="17" w:name="_Toc3464"/>
      <w:bookmarkStart w:id="18" w:name="_Toc25642"/>
      <w:r>
        <w:rPr>
          <w:rFonts w:hint="eastAsia" w:ascii="仿宋" w:hAnsi="仿宋" w:eastAsia="仿宋" w:cs="仿宋"/>
          <w:sz w:val="28"/>
          <w:szCs w:val="28"/>
        </w:rPr>
        <w:t>附件</w:t>
      </w:r>
      <w:bookmarkEnd w:id="17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bookmarkStart w:id="19" w:name="_GoBack"/>
      <w:bookmarkEnd w:id="19"/>
      <w:r>
        <w:rPr>
          <w:rFonts w:hint="eastAsia" w:ascii="仿宋" w:hAnsi="仿宋" w:eastAsia="仿宋" w:cs="仿宋"/>
          <w:sz w:val="28"/>
          <w:szCs w:val="28"/>
        </w:rPr>
        <w:t>售后服务</w:t>
      </w:r>
      <w:bookmarkEnd w:id="18"/>
    </w:p>
    <w:p w14:paraId="7C7F8302">
      <w:pPr>
        <w:spacing w:line="360" w:lineRule="auto"/>
        <w:rPr>
          <w:rFonts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①服务效率及响应时间；</w:t>
      </w:r>
    </w:p>
    <w:p w14:paraId="1E2D628A">
      <w:pPr>
        <w:spacing w:line="360" w:lineRule="auto"/>
        <w:rPr>
          <w:rFonts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②拟投入售后服务人员配置情况；</w:t>
      </w:r>
    </w:p>
    <w:p w14:paraId="31A2D499">
      <w:pPr>
        <w:spacing w:line="360" w:lineRule="auto"/>
        <w:rPr>
          <w:rFonts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③售后服务质量承诺及保障措施；</w:t>
      </w:r>
    </w:p>
    <w:p w14:paraId="00F54CC9">
      <w:pPr>
        <w:spacing w:line="360" w:lineRule="auto"/>
        <w:rPr>
          <w:rFonts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④保修期限；</w:t>
      </w:r>
    </w:p>
    <w:p w14:paraId="3C0622C5">
      <w:pPr>
        <w:spacing w:line="360" w:lineRule="auto"/>
        <w:rPr>
          <w:rFonts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⑤设备发生故障后的补救措施等。</w:t>
      </w:r>
    </w:p>
    <w:p w14:paraId="7921AFFB">
      <w:pPr>
        <w:pStyle w:val="2"/>
        <w:spacing w:line="360" w:lineRule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（包括但不限于以上内容）</w:t>
      </w:r>
    </w:p>
    <w:p w14:paraId="0671C616"/>
    <w:p w14:paraId="7578374F">
      <w:pPr>
        <w:rPr>
          <w:rFonts w:hint="eastAsia" w:ascii="仿宋" w:hAnsi="仿宋" w:eastAsia="仿宋" w:cs="仿宋"/>
          <w:lang w:val="en-US" w:eastAsia="zh-Hans"/>
        </w:rPr>
      </w:pPr>
    </w:p>
    <w:p w14:paraId="0A487CB8">
      <w:pPr>
        <w:pStyle w:val="3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EB4AB7"/>
    <w:rsid w:val="5DB2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ascii="宋体" w:hAnsi="宋体"/>
      <w:kern w:val="0"/>
      <w:sz w:val="30"/>
      <w:szCs w:val="20"/>
    </w:rPr>
  </w:style>
  <w:style w:type="paragraph" w:styleId="3">
    <w:name w:val="Body Text 2"/>
    <w:basedOn w:val="1"/>
    <w:qFormat/>
    <w:uiPriority w:val="0"/>
    <w:pPr>
      <w:widowControl/>
      <w:jc w:val="left"/>
    </w:pPr>
    <w:rPr>
      <w:kern w:val="0"/>
      <w:sz w:val="24"/>
      <w:szCs w:val="20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81</Words>
  <Characters>86</Characters>
  <Lines>0</Lines>
  <Paragraphs>0</Paragraphs>
  <TotalTime>0</TotalTime>
  <ScaleCrop>false</ScaleCrop>
  <LinksUpToDate>false</LinksUpToDate>
  <CharactersWithSpaces>88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2026-07-16T08:01:00Z</dcterms:created>
  <dc:creator>Administrator</dc:creator>
  <cp:lastModifiedBy>小丸紫</cp:lastModifiedBy>
  <dcterms:modified xsi:type="dcterms:W3CDTF">2026-07-16T08:08:32Z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eyJoZGlkIjoiOGI0ZjlhMjFhYjcxZTA2MWUyZTRiMzcyNTcwOWUzMWUiLCJ1c2VySWQiOiIzOTEwNjUzOTUifQ==</vt:lpwstr>
  </property>
  <property fmtid="{D5CDD505-2E9C-101B-9397-08002B2CF9AE}" pid="4" name="ICV">
    <vt:lpwstr>3E2C978E58EF4B23A38089A942D48FAD_12</vt:lpwstr>
  </property>
</Properties>
</file>