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DA311">
      <w:pPr>
        <w:spacing w:before="240" w:beforeLines="100" w:line="360" w:lineRule="auto"/>
        <w:outlineLvl w:val="1"/>
        <w:rPr>
          <w:rFonts w:ascii="仿宋" w:hAnsi="仿宋" w:eastAsia="仿宋" w:cs="仿宋"/>
          <w:b/>
          <w:bCs/>
          <w:sz w:val="28"/>
          <w:szCs w:val="36"/>
        </w:rPr>
      </w:pPr>
      <w:bookmarkStart w:id="0" w:name="_Toc5101"/>
      <w:r>
        <w:rPr>
          <w:rFonts w:hint="eastAsia" w:ascii="仿宋" w:hAnsi="仿宋" w:eastAsia="仿宋" w:cs="仿宋"/>
          <w:b/>
          <w:bCs/>
          <w:sz w:val="28"/>
          <w:szCs w:val="36"/>
        </w:rPr>
        <w:t>附件</w:t>
      </w:r>
      <w:r>
        <w:rPr>
          <w:rFonts w:hint="eastAsia" w:ascii="仿宋" w:hAnsi="仿宋" w:eastAsia="仿宋" w:cs="仿宋"/>
          <w:b/>
          <w:bCs/>
          <w:sz w:val="28"/>
          <w:szCs w:val="36"/>
          <w:lang w:val="en-US" w:eastAsia="zh-CN"/>
        </w:rPr>
        <w:t xml:space="preserve">  </w:t>
      </w:r>
      <w:r>
        <w:rPr>
          <w:rFonts w:hint="eastAsia" w:ascii="仿宋" w:hAnsi="仿宋" w:eastAsia="仿宋" w:cs="仿宋"/>
          <w:b/>
          <w:bCs/>
          <w:sz w:val="28"/>
          <w:szCs w:val="36"/>
        </w:rPr>
        <w:t>磋商报价表</w:t>
      </w:r>
      <w:bookmarkEnd w:id="0"/>
    </w:p>
    <w:tbl>
      <w:tblPr>
        <w:tblStyle w:val="8"/>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34267307">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vAlign w:val="center"/>
          </w:tcPr>
          <w:p w14:paraId="542EA9EF">
            <w:pPr>
              <w:spacing w:line="360" w:lineRule="auto"/>
              <w:jc w:val="center"/>
              <w:rPr>
                <w:rFonts w:ascii="仿宋" w:hAnsi="仿宋" w:eastAsia="仿宋" w:cs="仿宋"/>
                <w:caps/>
                <w:sz w:val="24"/>
              </w:rPr>
            </w:pPr>
            <w:r>
              <w:rPr>
                <w:rFonts w:hint="eastAsia" w:ascii="仿宋" w:hAnsi="仿宋" w:eastAsia="仿宋" w:cs="仿宋"/>
                <w:sz w:val="24"/>
              </w:rPr>
              <w:t>项目名称</w:t>
            </w:r>
          </w:p>
        </w:tc>
        <w:tc>
          <w:tcPr>
            <w:tcW w:w="6997" w:type="dxa"/>
            <w:vAlign w:val="center"/>
          </w:tcPr>
          <w:p w14:paraId="2ED46215">
            <w:pPr>
              <w:spacing w:line="360" w:lineRule="auto"/>
              <w:jc w:val="center"/>
              <w:rPr>
                <w:rFonts w:ascii="仿宋" w:hAnsi="仿宋" w:eastAsia="仿宋" w:cs="仿宋"/>
                <w:caps/>
                <w:sz w:val="24"/>
              </w:rPr>
            </w:pPr>
          </w:p>
        </w:tc>
      </w:tr>
      <w:tr w14:paraId="4D83BC20">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vAlign w:val="center"/>
          </w:tcPr>
          <w:p w14:paraId="769B3455">
            <w:pPr>
              <w:spacing w:line="360" w:lineRule="auto"/>
              <w:jc w:val="center"/>
              <w:rPr>
                <w:rFonts w:ascii="仿宋" w:hAnsi="仿宋" w:eastAsia="仿宋" w:cs="仿宋"/>
                <w:sz w:val="24"/>
              </w:rPr>
            </w:pPr>
            <w:r>
              <w:rPr>
                <w:rFonts w:hint="eastAsia" w:ascii="仿宋" w:hAnsi="仿宋" w:eastAsia="仿宋" w:cs="仿宋"/>
                <w:sz w:val="24"/>
              </w:rPr>
              <w:t>项目编号</w:t>
            </w:r>
          </w:p>
        </w:tc>
        <w:tc>
          <w:tcPr>
            <w:tcW w:w="6997" w:type="dxa"/>
            <w:tcBorders>
              <w:bottom w:val="single" w:color="auto" w:sz="4" w:space="0"/>
            </w:tcBorders>
            <w:vAlign w:val="center"/>
          </w:tcPr>
          <w:p w14:paraId="2A6C3607">
            <w:pPr>
              <w:spacing w:line="360" w:lineRule="auto"/>
              <w:jc w:val="center"/>
              <w:rPr>
                <w:rFonts w:ascii="仿宋" w:hAnsi="仿宋" w:eastAsia="仿宋" w:cs="仿宋"/>
                <w:caps/>
                <w:sz w:val="24"/>
              </w:rPr>
            </w:pPr>
          </w:p>
        </w:tc>
      </w:tr>
      <w:tr w14:paraId="3E1DD94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vAlign w:val="center"/>
          </w:tcPr>
          <w:p w14:paraId="4517DAFF">
            <w:pPr>
              <w:spacing w:line="360" w:lineRule="auto"/>
              <w:jc w:val="center"/>
              <w:rPr>
                <w:rFonts w:ascii="仿宋" w:hAnsi="仿宋" w:eastAsia="仿宋" w:cs="仿宋"/>
                <w:sz w:val="24"/>
              </w:rPr>
            </w:pPr>
            <w:r>
              <w:rPr>
                <w:rFonts w:hint="eastAsia" w:ascii="仿宋" w:hAnsi="仿宋" w:eastAsia="仿宋" w:cs="仿宋"/>
                <w:sz w:val="24"/>
              </w:rPr>
              <w:t>磋商报价</w:t>
            </w:r>
          </w:p>
        </w:tc>
        <w:tc>
          <w:tcPr>
            <w:tcW w:w="6997" w:type="dxa"/>
          </w:tcPr>
          <w:p w14:paraId="5E744A9A">
            <w:pPr>
              <w:spacing w:line="360" w:lineRule="auto"/>
              <w:rPr>
                <w:rFonts w:ascii="仿宋" w:hAnsi="仿宋" w:eastAsia="仿宋" w:cs="仿宋"/>
                <w:sz w:val="24"/>
              </w:rPr>
            </w:pPr>
          </w:p>
          <w:p w14:paraId="7987AB38">
            <w:pPr>
              <w:spacing w:line="360" w:lineRule="auto"/>
              <w:rPr>
                <w:rFonts w:ascii="仿宋" w:hAnsi="仿宋" w:eastAsia="仿宋" w:cs="仿宋"/>
                <w:sz w:val="24"/>
              </w:rPr>
            </w:pPr>
            <w:r>
              <w:rPr>
                <w:rFonts w:hint="eastAsia" w:ascii="仿宋" w:hAnsi="仿宋" w:eastAsia="仿宋" w:cs="仿宋"/>
                <w:sz w:val="24"/>
              </w:rPr>
              <w:t>小写金额：￥</w:t>
            </w:r>
            <w:r>
              <w:rPr>
                <w:rFonts w:hint="eastAsia" w:ascii="仿宋" w:hAnsi="仿宋" w:eastAsia="仿宋" w:cs="仿宋"/>
                <w:sz w:val="24"/>
                <w:u w:val="single"/>
              </w:rPr>
              <w:t xml:space="preserve">                       </w:t>
            </w:r>
          </w:p>
          <w:p w14:paraId="345AD278">
            <w:pPr>
              <w:spacing w:line="360" w:lineRule="auto"/>
              <w:rPr>
                <w:rFonts w:ascii="仿宋" w:hAnsi="仿宋" w:eastAsia="仿宋" w:cs="仿宋"/>
                <w:sz w:val="24"/>
              </w:rPr>
            </w:pPr>
            <w:r>
              <w:rPr>
                <w:rFonts w:hint="eastAsia" w:ascii="仿宋" w:hAnsi="仿宋" w:eastAsia="仿宋" w:cs="仿宋"/>
                <w:sz w:val="24"/>
              </w:rPr>
              <w:t>大写金额：人民币</w:t>
            </w:r>
            <w:r>
              <w:rPr>
                <w:rFonts w:hint="eastAsia" w:ascii="仿宋" w:hAnsi="仿宋" w:eastAsia="仿宋" w:cs="仿宋"/>
                <w:sz w:val="24"/>
                <w:u w:val="single"/>
              </w:rPr>
              <w:t xml:space="preserve">                  </w:t>
            </w:r>
            <w:r>
              <w:rPr>
                <w:rFonts w:hint="eastAsia" w:ascii="仿宋" w:hAnsi="仿宋" w:eastAsia="仿宋" w:cs="仿宋"/>
                <w:sz w:val="24"/>
              </w:rPr>
              <w:t>元整</w:t>
            </w:r>
          </w:p>
        </w:tc>
      </w:tr>
      <w:tr w14:paraId="558D10E0">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2288" w:type="dxa"/>
            <w:vAlign w:val="center"/>
          </w:tcPr>
          <w:p w14:paraId="68883956">
            <w:pPr>
              <w:spacing w:line="360" w:lineRule="auto"/>
              <w:jc w:val="center"/>
              <w:rPr>
                <w:rFonts w:ascii="仿宋" w:hAnsi="仿宋" w:eastAsia="仿宋" w:cs="仿宋"/>
                <w:sz w:val="24"/>
              </w:rPr>
            </w:pPr>
            <w:r>
              <w:rPr>
                <w:rFonts w:hint="eastAsia" w:ascii="仿宋" w:hAnsi="仿宋" w:eastAsia="仿宋" w:cs="仿宋"/>
                <w:sz w:val="24"/>
              </w:rPr>
              <w:t>工程质量</w:t>
            </w:r>
          </w:p>
        </w:tc>
        <w:tc>
          <w:tcPr>
            <w:tcW w:w="6997" w:type="dxa"/>
            <w:vAlign w:val="center"/>
          </w:tcPr>
          <w:p w14:paraId="0D6B726E">
            <w:pPr>
              <w:spacing w:line="360" w:lineRule="auto"/>
              <w:jc w:val="center"/>
              <w:rPr>
                <w:rFonts w:ascii="仿宋" w:hAnsi="仿宋" w:eastAsia="仿宋" w:cs="仿宋"/>
                <w:sz w:val="24"/>
              </w:rPr>
            </w:pPr>
          </w:p>
        </w:tc>
      </w:tr>
      <w:tr w14:paraId="7FADE99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563" w:hRule="atLeast"/>
        </w:trPr>
        <w:tc>
          <w:tcPr>
            <w:tcW w:w="2288" w:type="dxa"/>
            <w:tcBorders>
              <w:right w:val="single" w:color="auto" w:sz="4" w:space="0"/>
            </w:tcBorders>
            <w:vAlign w:val="center"/>
          </w:tcPr>
          <w:p w14:paraId="7F622962">
            <w:pPr>
              <w:spacing w:line="360" w:lineRule="auto"/>
              <w:jc w:val="center"/>
              <w:rPr>
                <w:rFonts w:ascii="仿宋" w:hAnsi="仿宋" w:eastAsia="仿宋" w:cs="仿宋"/>
                <w:sz w:val="24"/>
              </w:rPr>
            </w:pPr>
            <w:r>
              <w:rPr>
                <w:rFonts w:hint="eastAsia" w:ascii="仿宋" w:hAnsi="仿宋" w:eastAsia="仿宋" w:cs="仿宋"/>
                <w:sz w:val="24"/>
              </w:rPr>
              <w:t>工期、保修期、付款方式是否响应</w:t>
            </w:r>
          </w:p>
        </w:tc>
        <w:tc>
          <w:tcPr>
            <w:tcW w:w="6997" w:type="dxa"/>
            <w:tcBorders>
              <w:left w:val="single" w:color="auto" w:sz="4" w:space="0"/>
            </w:tcBorders>
            <w:vAlign w:val="center"/>
          </w:tcPr>
          <w:p w14:paraId="4F7678BA">
            <w:pPr>
              <w:spacing w:line="360" w:lineRule="auto"/>
              <w:jc w:val="center"/>
              <w:rPr>
                <w:rFonts w:ascii="仿宋" w:hAnsi="仿宋" w:eastAsia="仿宋" w:cs="仿宋"/>
                <w:sz w:val="24"/>
              </w:rPr>
            </w:pPr>
            <w:r>
              <w:rPr>
                <w:rFonts w:hint="eastAsia" w:ascii="仿宋" w:hAnsi="仿宋" w:eastAsia="仿宋" w:cs="仿宋"/>
                <w:sz w:val="24"/>
              </w:rPr>
              <w:t>是/否</w:t>
            </w:r>
          </w:p>
        </w:tc>
      </w:tr>
    </w:tbl>
    <w:p w14:paraId="1D342DAF">
      <w:pPr>
        <w:pStyle w:val="6"/>
        <w:spacing w:before="0" w:beforeAutospacing="0" w:after="0" w:afterAutospacing="0" w:line="360" w:lineRule="auto"/>
        <w:ind w:firstLine="480"/>
        <w:rPr>
          <w:rFonts w:ascii="仿宋" w:hAnsi="仿宋" w:eastAsia="仿宋" w:cs="仿宋"/>
          <w:szCs w:val="24"/>
        </w:rPr>
      </w:pPr>
      <w:r>
        <w:rPr>
          <w:rFonts w:hint="eastAsia" w:ascii="仿宋" w:hAnsi="仿宋" w:eastAsia="仿宋" w:cs="仿宋"/>
          <w:szCs w:val="24"/>
        </w:rPr>
        <w:t>注：1、</w:t>
      </w:r>
      <w:r>
        <w:rPr>
          <w:rFonts w:hint="eastAsia" w:ascii="仿宋" w:hAnsi="仿宋" w:eastAsia="仿宋" w:cs="仿宋"/>
        </w:rPr>
        <w:t>工期、保修期、付款方式</w:t>
      </w:r>
      <w:r>
        <w:rPr>
          <w:rFonts w:hint="eastAsia" w:ascii="仿宋" w:hAnsi="仿宋" w:eastAsia="仿宋" w:cs="仿宋"/>
          <w:szCs w:val="24"/>
        </w:rPr>
        <w:t>是否响应请填写“是”或者“否”。</w:t>
      </w:r>
    </w:p>
    <w:p w14:paraId="5D4A2CDA">
      <w:pPr>
        <w:pStyle w:val="6"/>
        <w:spacing w:before="0" w:beforeAutospacing="0" w:after="0" w:afterAutospacing="0" w:line="360" w:lineRule="auto"/>
        <w:ind w:firstLine="480"/>
        <w:rPr>
          <w:rFonts w:hint="eastAsia" w:ascii="仿宋" w:hAnsi="仿宋" w:eastAsia="仿宋" w:cs="仿宋"/>
          <w:szCs w:val="24"/>
        </w:rPr>
      </w:pPr>
      <w:r>
        <w:rPr>
          <w:rFonts w:hint="eastAsia" w:ascii="仿宋" w:hAnsi="仿宋" w:eastAsia="仿宋" w:cs="仿宋"/>
          <w:szCs w:val="24"/>
        </w:rPr>
        <w:t xml:space="preserve">    2、工程质量请填写“合格”或其他。</w:t>
      </w:r>
    </w:p>
    <w:p w14:paraId="505EA8F6">
      <w:pPr>
        <w:pStyle w:val="6"/>
        <w:spacing w:before="0" w:beforeAutospacing="0" w:after="0" w:afterAutospacing="0" w:line="360" w:lineRule="auto"/>
        <w:ind w:firstLine="480"/>
        <w:rPr>
          <w:rFonts w:hint="default" w:ascii="仿宋" w:hAnsi="仿宋" w:eastAsia="仿宋" w:cs="仿宋"/>
          <w:szCs w:val="24"/>
          <w:lang w:val="en-US" w:eastAsia="zh-CN"/>
        </w:rPr>
      </w:pPr>
      <w:r>
        <w:rPr>
          <w:rFonts w:hint="eastAsia" w:ascii="仿宋" w:hAnsi="仿宋" w:eastAsia="仿宋" w:cs="仿宋"/>
          <w:szCs w:val="24"/>
          <w:lang w:val="en-US" w:eastAsia="zh-CN"/>
        </w:rPr>
        <w:t xml:space="preserve">    3、磋商现场报响应</w:t>
      </w:r>
      <w:bookmarkStart w:id="3" w:name="_GoBack"/>
      <w:bookmarkEnd w:id="3"/>
      <w:r>
        <w:rPr>
          <w:rFonts w:hint="eastAsia" w:ascii="仿宋" w:hAnsi="仿宋" w:eastAsia="仿宋" w:cs="仿宋"/>
          <w:szCs w:val="24"/>
          <w:lang w:val="en-US" w:eastAsia="zh-CN"/>
        </w:rPr>
        <w:t>总报价，磋商现场最后报价仅报响应总报价，以最终报价与首轮报价的下浮比例同比例下浮各项单价。</w:t>
      </w:r>
    </w:p>
    <w:p w14:paraId="3AB10E6B">
      <w:pPr>
        <w:pStyle w:val="6"/>
        <w:spacing w:before="0" w:beforeAutospacing="0" w:after="0" w:afterAutospacing="0" w:line="360" w:lineRule="auto"/>
        <w:ind w:firstLine="480" w:firstLineChars="200"/>
        <w:rPr>
          <w:rFonts w:ascii="仿宋" w:hAnsi="仿宋" w:eastAsia="仿宋" w:cs="仿宋"/>
        </w:rPr>
      </w:pPr>
    </w:p>
    <w:p w14:paraId="4EBB5997">
      <w:pPr>
        <w:spacing w:line="360" w:lineRule="auto"/>
        <w:ind w:left="2394" w:leftChars="1140" w:right="-161" w:firstLine="1446" w:firstLineChars="600"/>
        <w:rPr>
          <w:rFonts w:hint="default" w:ascii="仿宋" w:hAnsi="仿宋" w:eastAsia="仿宋" w:cs="仿宋"/>
          <w:b/>
          <w:bCs/>
          <w:sz w:val="24"/>
          <w:lang w:val="en-US" w:eastAsia="zh-CN"/>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r>
        <w:rPr>
          <w:rFonts w:hint="eastAsia" w:ascii="仿宋" w:hAnsi="仿宋" w:eastAsia="仿宋" w:cs="仿宋"/>
          <w:b/>
          <w:bCs/>
          <w:sz w:val="24"/>
        </w:rPr>
        <w:t>法定代表人或被授权代表（签字或盖章）：</w:t>
      </w:r>
      <w:r>
        <w:rPr>
          <w:rFonts w:hint="eastAsia" w:ascii="仿宋" w:hAnsi="仿宋" w:eastAsia="仿宋" w:cs="仿宋"/>
          <w:b/>
          <w:bCs/>
          <w:sz w:val="24"/>
          <w:u w:val="single"/>
        </w:rPr>
        <w:t xml:space="preserve">       </w:t>
      </w:r>
      <w:r>
        <w:rPr>
          <w:rFonts w:hint="eastAsia" w:ascii="仿宋" w:hAnsi="仿宋" w:eastAsia="仿宋" w:cs="仿宋"/>
          <w:b/>
          <w:bCs/>
          <w:sz w:val="24"/>
          <w:u w:val="single"/>
          <w:lang w:val="en-US" w:eastAsia="zh-CN"/>
        </w:rPr>
        <w:t xml:space="preserve">       </w:t>
      </w:r>
    </w:p>
    <w:p w14:paraId="0AFB3638">
      <w:pPr>
        <w:spacing w:line="360" w:lineRule="auto"/>
        <w:ind w:firstLine="3855" w:firstLineChars="1600"/>
        <w:rPr>
          <w:rFonts w:ascii="仿宋" w:hAnsi="仿宋" w:eastAsia="仿宋" w:cs="仿宋"/>
          <w:b/>
          <w:bCs/>
          <w:sz w:val="24"/>
          <w:u w:val="single"/>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277B61EF">
      <w:pPr>
        <w:pStyle w:val="4"/>
        <w:rPr>
          <w:rFonts w:ascii="仿宋" w:hAnsi="仿宋" w:eastAsia="仿宋" w:cs="仿宋"/>
          <w:sz w:val="28"/>
          <w:szCs w:val="28"/>
        </w:rPr>
      </w:pPr>
      <w:r>
        <w:rPr>
          <w:rFonts w:hint="eastAsia" w:ascii="仿宋" w:hAnsi="仿宋" w:eastAsia="仿宋" w:cs="仿宋"/>
          <w:sz w:val="24"/>
          <w:szCs w:val="24"/>
          <w:u w:val="single"/>
        </w:rPr>
        <w:br w:type="page"/>
      </w:r>
      <w:bookmarkStart w:id="1" w:name="_Toc11862"/>
      <w:bookmarkStart w:id="2" w:name="_Toc23867"/>
      <w:r>
        <w:rPr>
          <w:rFonts w:hint="eastAsia" w:ascii="仿宋" w:hAnsi="仿宋" w:eastAsia="仿宋" w:cs="仿宋"/>
          <w:sz w:val="28"/>
          <w:szCs w:val="28"/>
        </w:rPr>
        <w:t>附件</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预算书</w:t>
      </w:r>
      <w:bookmarkEnd w:id="1"/>
      <w:bookmarkEnd w:id="2"/>
    </w:p>
    <w:p w14:paraId="604F4BE7">
      <w:pPr>
        <w:rPr>
          <w:rFonts w:ascii="仿宋" w:hAnsi="仿宋" w:eastAsia="仿宋" w:cs="仿宋"/>
          <w:b/>
          <w:sz w:val="24"/>
        </w:rPr>
      </w:pPr>
    </w:p>
    <w:p w14:paraId="0078BC1E">
      <w:pPr>
        <w:rPr>
          <w:rFonts w:ascii="仿宋" w:hAnsi="仿宋" w:eastAsia="仿宋" w:cs="仿宋"/>
          <w:b/>
          <w:sz w:val="24"/>
        </w:rPr>
      </w:pPr>
    </w:p>
    <w:p w14:paraId="52BD3D0E">
      <w:pPr>
        <w:rPr>
          <w:rFonts w:ascii="仿宋" w:hAnsi="仿宋" w:eastAsia="仿宋" w:cs="仿宋"/>
          <w:b/>
          <w:sz w:val="24"/>
        </w:rPr>
      </w:pPr>
    </w:p>
    <w:p w14:paraId="6871E46C">
      <w:pPr>
        <w:pStyle w:val="2"/>
        <w:rPr>
          <w:rFonts w:ascii="仿宋" w:hAnsi="仿宋" w:eastAsia="仿宋" w:cs="仿宋"/>
        </w:rPr>
      </w:pPr>
    </w:p>
    <w:p w14:paraId="07829928">
      <w:pPr>
        <w:rPr>
          <w:rFonts w:ascii="仿宋" w:hAnsi="仿宋" w:eastAsia="仿宋" w:cs="仿宋"/>
        </w:rPr>
      </w:pPr>
    </w:p>
    <w:p w14:paraId="0DA1F4BA">
      <w:pPr>
        <w:pStyle w:val="2"/>
        <w:rPr>
          <w:rFonts w:ascii="仿宋" w:hAnsi="仿宋" w:eastAsia="仿宋" w:cs="仿宋"/>
        </w:rPr>
      </w:pPr>
    </w:p>
    <w:p w14:paraId="607AE00A">
      <w:pPr>
        <w:rPr>
          <w:rFonts w:ascii="仿宋" w:hAnsi="仿宋" w:eastAsia="仿宋" w:cs="仿宋"/>
        </w:rPr>
      </w:pPr>
    </w:p>
    <w:p w14:paraId="7426B6FB">
      <w:pPr>
        <w:widowControl/>
        <w:spacing w:line="360" w:lineRule="auto"/>
        <w:jc w:val="center"/>
        <w:rPr>
          <w:rFonts w:ascii="仿宋" w:hAnsi="仿宋" w:eastAsia="仿宋" w:cs="仿宋"/>
          <w:sz w:val="24"/>
        </w:rPr>
      </w:pPr>
    </w:p>
    <w:p w14:paraId="0AAC6968">
      <w:pPr>
        <w:widowControl/>
        <w:spacing w:line="360" w:lineRule="auto"/>
        <w:jc w:val="center"/>
        <w:rPr>
          <w:rFonts w:ascii="仿宋" w:hAnsi="仿宋" w:eastAsia="仿宋" w:cs="仿宋"/>
          <w:sz w:val="24"/>
        </w:rPr>
      </w:pPr>
      <w:r>
        <w:rPr>
          <w:rFonts w:hint="eastAsia" w:ascii="仿宋" w:hAnsi="仿宋" w:eastAsia="仿宋" w:cs="仿宋"/>
          <w:sz w:val="24"/>
        </w:rPr>
        <w:t>根据采购内容清单报价，格式自拟</w:t>
      </w:r>
    </w:p>
    <w:p w14:paraId="6518E866">
      <w:pPr>
        <w:widowControl/>
        <w:spacing w:line="360" w:lineRule="auto"/>
        <w:jc w:val="left"/>
        <w:rPr>
          <w:rFonts w:ascii="仿宋" w:hAnsi="仿宋" w:eastAsia="仿宋" w:cs="仿宋"/>
          <w:sz w:val="24"/>
        </w:rPr>
      </w:pPr>
    </w:p>
    <w:p w14:paraId="16BC2E0E">
      <w:pPr>
        <w:widowControl/>
        <w:spacing w:line="360" w:lineRule="auto"/>
        <w:jc w:val="center"/>
        <w:rPr>
          <w:rFonts w:ascii="仿宋" w:hAnsi="仿宋" w:eastAsia="仿宋" w:cs="仿宋"/>
          <w:sz w:val="24"/>
        </w:rPr>
      </w:pPr>
    </w:p>
    <w:p w14:paraId="364C9852">
      <w:pPr>
        <w:widowControl/>
        <w:spacing w:line="360" w:lineRule="auto"/>
        <w:jc w:val="center"/>
        <w:rPr>
          <w:rFonts w:ascii="仿宋" w:hAnsi="仿宋" w:eastAsia="仿宋" w:cs="仿宋"/>
          <w:sz w:val="36"/>
        </w:rPr>
      </w:pPr>
    </w:p>
    <w:p w14:paraId="31AE0542">
      <w:pPr>
        <w:widowControl/>
        <w:spacing w:line="360" w:lineRule="auto"/>
        <w:jc w:val="center"/>
        <w:rPr>
          <w:rFonts w:ascii="仿宋" w:hAnsi="仿宋" w:eastAsia="仿宋" w:cs="仿宋"/>
          <w:sz w:val="36"/>
        </w:rPr>
      </w:pPr>
    </w:p>
    <w:p w14:paraId="2B7BF480">
      <w:pPr>
        <w:widowControl/>
        <w:spacing w:line="360" w:lineRule="auto"/>
        <w:jc w:val="center"/>
        <w:rPr>
          <w:rFonts w:ascii="仿宋" w:hAnsi="仿宋" w:eastAsia="仿宋" w:cs="仿宋"/>
          <w:sz w:val="36"/>
        </w:rPr>
      </w:pPr>
    </w:p>
    <w:p w14:paraId="2357523F">
      <w:pPr>
        <w:widowControl/>
        <w:spacing w:line="360" w:lineRule="auto"/>
        <w:jc w:val="center"/>
        <w:rPr>
          <w:rFonts w:ascii="仿宋" w:hAnsi="仿宋" w:eastAsia="仿宋" w:cs="仿宋"/>
          <w:sz w:val="36"/>
        </w:rPr>
      </w:pPr>
    </w:p>
    <w:p w14:paraId="1D10448A">
      <w:pPr>
        <w:widowControl/>
        <w:spacing w:line="360" w:lineRule="auto"/>
        <w:jc w:val="left"/>
        <w:rPr>
          <w:rFonts w:ascii="仿宋" w:hAnsi="仿宋" w:eastAsia="仿宋" w:cs="仿宋"/>
          <w:sz w:val="24"/>
        </w:rPr>
      </w:pPr>
      <w:r>
        <w:rPr>
          <w:rFonts w:hint="eastAsia" w:ascii="仿宋" w:hAnsi="仿宋" w:eastAsia="仿宋" w:cs="仿宋"/>
          <w:sz w:val="24"/>
        </w:rPr>
        <w:t>注：1、清单报价表合计应当与磋商报价表中报价金额一致。</w:t>
      </w:r>
    </w:p>
    <w:p w14:paraId="1C66FF75">
      <w:pPr>
        <w:pStyle w:val="7"/>
        <w:ind w:firstLine="480"/>
        <w:rPr>
          <w:rFonts w:hint="eastAsia" w:ascii="仿宋" w:hAnsi="仿宋" w:eastAsia="仿宋" w:cs="仿宋"/>
          <w:sz w:val="24"/>
        </w:rPr>
      </w:pPr>
      <w:r>
        <w:rPr>
          <w:rFonts w:hint="eastAsia" w:ascii="仿宋" w:hAnsi="仿宋" w:eastAsia="仿宋" w:cs="仿宋"/>
          <w:sz w:val="24"/>
        </w:rPr>
        <w:t>2、单价参考依据为：磋商最终报价与首次报价的下浮比例同比例下浮的单价。</w:t>
      </w:r>
    </w:p>
    <w:p w14:paraId="682AAE0D">
      <w:pPr>
        <w:pStyle w:val="10"/>
        <w:ind w:firstLine="480" w:firstLineChars="200"/>
        <w:rPr>
          <w:rFonts w:hint="eastAsia" w:ascii="仿宋" w:hAnsi="仿宋" w:eastAsia="仿宋" w:cs="仿宋"/>
          <w:kern w:val="0"/>
          <w:sz w:val="24"/>
          <w:szCs w:val="20"/>
          <w:lang w:val="en-US" w:eastAsia="zh-CN" w:bidi="ar-SA"/>
        </w:rPr>
      </w:pPr>
      <w:r>
        <w:rPr>
          <w:rFonts w:hint="eastAsia" w:ascii="仿宋" w:hAnsi="仿宋" w:eastAsia="仿宋" w:cs="仿宋"/>
          <w:kern w:val="0"/>
          <w:sz w:val="24"/>
          <w:szCs w:val="20"/>
          <w:lang w:val="en-US" w:eastAsia="zh-CN" w:bidi="ar-SA"/>
        </w:rPr>
        <w:t>3、已标价的工程量清单应按照代理机构所发布的电子招标书进行编制，生成后放入响应文件中，已标价工程量清单扉页需加盖有注册或登记在工程造价咨询企业的造价人员签字并盖执业印章。如未按要求加盖注册造价师执业章按无效标处理。</w:t>
      </w:r>
    </w:p>
    <w:p w14:paraId="5F2A6A7B">
      <w:pPr>
        <w:pStyle w:val="7"/>
        <w:ind w:firstLine="480"/>
        <w:rPr>
          <w:rFonts w:hint="eastAsia" w:ascii="仿宋" w:hAnsi="仿宋" w:eastAsia="仿宋" w:cs="仿宋"/>
          <w:sz w:val="24"/>
          <w:lang w:val="en-US" w:eastAsia="zh-CN"/>
        </w:rPr>
      </w:pPr>
    </w:p>
    <w:p w14:paraId="3343D9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E84A39"/>
    <w:rsid w:val="4CB23CC4"/>
    <w:rsid w:val="7E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宋体" w:hAnsi="宋体"/>
      <w:kern w:val="0"/>
      <w:sz w:val="30"/>
      <w:szCs w:val="20"/>
    </w:rPr>
  </w:style>
  <w:style w:type="paragraph" w:styleId="3">
    <w:name w:val="Body Text 2"/>
    <w:basedOn w:val="1"/>
    <w:qFormat/>
    <w:uiPriority w:val="0"/>
    <w:pPr>
      <w:widowControl/>
      <w:jc w:val="left"/>
    </w:pPr>
    <w:rPr>
      <w:kern w:val="0"/>
      <w:sz w:val="24"/>
      <w:szCs w:val="20"/>
    </w:rPr>
  </w:style>
  <w:style w:type="paragraph" w:styleId="5">
    <w:name w:val="Body Text Indent"/>
    <w:basedOn w:val="1"/>
    <w:qFormat/>
    <w:uiPriority w:val="0"/>
    <w:pPr>
      <w:ind w:firstLine="600" w:firstLineChars="200"/>
    </w:pPr>
    <w:rPr>
      <w:rFonts w:ascii="宋体" w:hAnsi="宋体"/>
      <w:kern w:val="0"/>
      <w:sz w:val="30"/>
      <w:szCs w:val="20"/>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7">
    <w:name w:val="Body Text First Indent 2"/>
    <w:basedOn w:val="5"/>
    <w:qFormat/>
    <w:uiPriority w:val="99"/>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382</Words>
  <Characters>382</Characters>
  <Lines>0</Lines>
  <Paragraphs>0</Paragraphs>
  <TotalTime>0</TotalTime>
  <ScaleCrop>false</ScaleCrop>
  <LinksUpToDate>false</LinksUpToDate>
  <CharactersWithSpaces>517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2026-07-16T07:58:00Z</dcterms:created>
  <dc:creator>Administrator</dc:creator>
  <cp:lastModifiedBy>小丸紫</cp:lastModifiedBy>
  <dcterms:modified xsi:type="dcterms:W3CDTF">2026-07-16T09:36:12Z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B9263BA4F0874917ACAF192F8168BFBF_12</vt:lpwstr>
  </property>
</Properties>
</file>