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版本号：LZBC2026-480（XDZ2026-66-N-30）..1B120260519001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西安人才综合服务港品牌宣传运营服务项目(二次)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LZBC2026-480（XDZ2026-66-N-30）..1B1</w:t>
      </w:r>
      <w:r>
        <w:br/>
      </w:r>
      <w:r>
        <w:br/>
      </w:r>
      <w:r>
        <w:br/>
      </w:r>
    </w:p>
    <w:p>
      <w:pPr>
        <w:pStyle w:val="null3"/>
        <w:jc w:val="center"/>
        <w:outlineLvl w:val="2"/>
      </w:pPr>
      <w:r>
        <w:rPr>
          <w:rFonts w:ascii="仿宋_GB2312" w:hAnsi="仿宋_GB2312" w:cs="仿宋_GB2312" w:eastAsia="仿宋_GB2312"/>
          <w:sz w:val="28"/>
          <w:b/>
        </w:rPr>
        <w:t>中共西安高新技术产业开发区工作委员会组织人事部</w:t>
      </w:r>
    </w:p>
    <w:p>
      <w:pPr>
        <w:pStyle w:val="null3"/>
        <w:jc w:val="center"/>
        <w:outlineLvl w:val="2"/>
      </w:pPr>
      <w:r>
        <w:rPr>
          <w:rFonts w:ascii="仿宋_GB2312" w:hAnsi="仿宋_GB2312" w:cs="仿宋_GB2312" w:eastAsia="仿宋_GB2312"/>
          <w:sz w:val="28"/>
          <w:b/>
        </w:rPr>
        <w:t>龙寰项目管理咨询有限公司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龙寰项目管理咨询有限公司</w:t>
      </w:r>
      <w:r>
        <w:rPr>
          <w:rFonts w:ascii="仿宋_GB2312" w:hAnsi="仿宋_GB2312" w:cs="仿宋_GB2312" w:eastAsia="仿宋_GB2312"/>
        </w:rPr>
        <w:t>（以下简称“代理机构”）受</w:t>
      </w:r>
      <w:r>
        <w:rPr>
          <w:rFonts w:ascii="仿宋_GB2312" w:hAnsi="仿宋_GB2312" w:cs="仿宋_GB2312" w:eastAsia="仿宋_GB2312"/>
        </w:rPr>
        <w:t>中共西安高新技术产业开发区工作委员会组织人事部</w:t>
      </w:r>
      <w:r>
        <w:rPr>
          <w:rFonts w:ascii="仿宋_GB2312" w:hAnsi="仿宋_GB2312" w:cs="仿宋_GB2312" w:eastAsia="仿宋_GB2312"/>
        </w:rPr>
        <w:t>委托，拟对</w:t>
      </w:r>
      <w:r>
        <w:rPr>
          <w:rFonts w:ascii="仿宋_GB2312" w:hAnsi="仿宋_GB2312" w:cs="仿宋_GB2312" w:eastAsia="仿宋_GB2312"/>
        </w:rPr>
        <w:t>西安人才综合服务港品牌宣传运营服务项目(二次)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LZBC2026-480（XDZ2026-66-N-30）..1B1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西安人才综合服务港品牌宣传运营服务项目(二次)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本项目拟对西安人才综合服务港品牌宣传运营服务项目进行采购，具体详尽采购文件。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采购包1（西安人才综合服务港品牌宣传运营服务）：属于专门面向中小企业采购。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1、具有独立承担民事责任能力的法人、其他组织或自然人：法人或者其他组织提供营业执照等证明文件，自然人提供身份证件，供应商需在项目电子化交易系统中按要求上传相应证明文件并进行电子签章；</w:t>
      </w:r>
    </w:p>
    <w:p>
      <w:pPr>
        <w:pStyle w:val="null3"/>
      </w:pPr>
      <w:r>
        <w:rPr>
          <w:rFonts w:ascii="仿宋_GB2312" w:hAnsi="仿宋_GB2312" w:cs="仿宋_GB2312" w:eastAsia="仿宋_GB2312"/>
        </w:rPr>
        <w:t>2、税收缴纳凭证及社会保险缴纳的凭证：供应商在本项目磋商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或提供《基本资格条件承诺函》；</w:t>
      </w:r>
    </w:p>
    <w:p>
      <w:pPr>
        <w:pStyle w:val="null3"/>
      </w:pPr>
      <w:r>
        <w:rPr>
          <w:rFonts w:ascii="仿宋_GB2312" w:hAnsi="仿宋_GB2312" w:cs="仿宋_GB2312" w:eastAsia="仿宋_GB2312"/>
        </w:rPr>
        <w:t>3、财务状况报告：供应商提供2024年度或2025年度经审计的财务审计报告（事业法人可提供部门决算报告）；或提供供应商基本开户银行出具的资信证明；或提供专业担保机构出具的投标担保函，供应商需在项目电子化交易系统中按要求上传相应证明文件或提供《基本资格条件承诺函》；</w:t>
      </w:r>
    </w:p>
    <w:p>
      <w:pPr>
        <w:pStyle w:val="null3"/>
      </w:pPr>
      <w:r>
        <w:rPr>
          <w:rFonts w:ascii="仿宋_GB2312" w:hAnsi="仿宋_GB2312" w:cs="仿宋_GB2312" w:eastAsia="仿宋_GB2312"/>
        </w:rPr>
        <w:t>4、参加政府采购活动前3年内在经营活动中没有重大违法记录的书面声明； 其中：重大违法记录是指供应商因违法经营受到刑事处罚或者责令停产停业、吊销许可证或者执照、较大数额罚款等行政处罚：参加政府采购活动前3年内在经营活动中没有重大违法记录的书面声明，供应商需在项目电子化交易系统中按要求上传相应证明文件或提供《基本资格条件承诺函》并进行电子签章；</w:t>
      </w:r>
    </w:p>
    <w:p>
      <w:pPr>
        <w:pStyle w:val="null3"/>
      </w:pPr>
      <w:r>
        <w:rPr>
          <w:rFonts w:ascii="仿宋_GB2312" w:hAnsi="仿宋_GB2312" w:cs="仿宋_GB2312" w:eastAsia="仿宋_GB2312"/>
        </w:rPr>
        <w:t>5、履行合同所必需的设备和专业技术能力书面声明函：具有履行合同所必需的设备和专业技术能力书面声明函，供应商需在项目电子化交易系统中按要求上传相应证明文件或提供《基本资格条件承诺函》并进行电子签章；</w:t>
      </w:r>
    </w:p>
    <w:p>
      <w:pPr>
        <w:pStyle w:val="null3"/>
      </w:pPr>
      <w:r>
        <w:rPr>
          <w:rFonts w:ascii="仿宋_GB2312" w:hAnsi="仿宋_GB2312" w:cs="仿宋_GB2312" w:eastAsia="仿宋_GB2312"/>
        </w:rPr>
        <w:t>6、本项目专门面向中小企业采购（残疾人福利性单位、监狱企业视同小型、微型企业），供应商需提供《中小企业声明函》（监狱企业的证明文件或《残疾人福利性单位声明函》）：本项目专门面向中小企业采购（残疾人福利性单位、监狱企业视同小型、微型企业），供应商需提供《中小企业声明函》（监狱企业的证明文件或《残疾人福利性单位声明函》），供应商需在项目电子化交易系统中按要求上传相应证明文件并进行电子签章；</w:t>
      </w:r>
    </w:p>
    <w:p>
      <w:pPr>
        <w:pStyle w:val="null3"/>
      </w:pPr>
      <w:r>
        <w:rPr>
          <w:rFonts w:ascii="仿宋_GB2312" w:hAnsi="仿宋_GB2312" w:cs="仿宋_GB2312" w:eastAsia="仿宋_GB2312"/>
        </w:rPr>
        <w:t>7、供应商信用状况：供应商不得为“信用中国”网站（www.creditchina.gov.cn）中列入失信被执行人和重大税收违法失信主体的供应商，不得为中国政府采购网（www.ccgp.gov.cn）政府采购严重违法失信行为记录名单中被财政部门禁止参加政府采购活动的供应商。以磋商响应文件递交截止时间后网站查询结果为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中共西安高新技术产业开发区工作委员会组织人事部</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陕西省西安市高新区成章路丝路创智谷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029-81121284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龙寰项目管理咨询有限公司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陕西省西安市高新区太白南路181号A座A区501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张正浩、王申午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029-88228899-632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丁丽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 2』1980号）和发改办价格『2003』857号文以及『2011』534号文中规定的标准执行，在成交通知书发出后合同签订前向采购代理机构缴纳。</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中共西安高新技术产业开发区工作委员会组织人事部</w:t>
      </w:r>
      <w:r>
        <w:rPr>
          <w:rFonts w:ascii="仿宋_GB2312" w:hAnsi="仿宋_GB2312" w:cs="仿宋_GB2312" w:eastAsia="仿宋_GB2312"/>
        </w:rPr>
        <w:t>和</w:t>
      </w:r>
      <w:r>
        <w:rPr>
          <w:rFonts w:ascii="仿宋_GB2312" w:hAnsi="仿宋_GB2312" w:cs="仿宋_GB2312" w:eastAsia="仿宋_GB2312"/>
        </w:rPr>
        <w:t>龙寰项目管理咨询有限公司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中共西安高新技术产业开发区工作委员会组织人事部</w:t>
      </w:r>
      <w:r>
        <w:rPr>
          <w:rFonts w:ascii="仿宋_GB2312" w:hAnsi="仿宋_GB2312" w:cs="仿宋_GB2312" w:eastAsia="仿宋_GB2312"/>
        </w:rPr>
        <w:t>负责解释。除上述磋商文件内容，其他内容由</w:t>
      </w:r>
      <w:r>
        <w:rPr>
          <w:rFonts w:ascii="仿宋_GB2312" w:hAnsi="仿宋_GB2312" w:cs="仿宋_GB2312" w:eastAsia="仿宋_GB2312"/>
        </w:rPr>
        <w:t>龙寰项目管理咨询有限公司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中共西安高新技术产业开发区工作委员会组织人事部</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龙寰项目管理咨询有限公司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满足国家及行业相关标准及要求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联系人：张正浩、王申午</w:t>
      </w:r>
    </w:p>
    <w:p>
      <w:pPr>
        <w:pStyle w:val="null3"/>
      </w:pPr>
      <w:r>
        <w:rPr>
          <w:rFonts w:ascii="仿宋_GB2312" w:hAnsi="仿宋_GB2312" w:cs="仿宋_GB2312" w:eastAsia="仿宋_GB2312"/>
        </w:rPr>
        <w:t>联系电话：029-88228899-632</w:t>
      </w:r>
    </w:p>
    <w:p>
      <w:pPr>
        <w:pStyle w:val="null3"/>
      </w:pPr>
      <w:r>
        <w:rPr>
          <w:rFonts w:ascii="仿宋_GB2312" w:hAnsi="仿宋_GB2312" w:cs="仿宋_GB2312" w:eastAsia="仿宋_GB2312"/>
        </w:rPr>
        <w:t>地址：陕西省西安市太白南路181号西部电子社区A座A区501</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本项目拟对西安人才综合服务港品牌宣传运营服务项目进行采购，具体详见采购文件。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西安人才综合服务港品牌宣传运营服务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标的名称：西安人才综合服务港品牌宣传运营服务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组建工作经验丰富的运营管理团队，做好西安人才综合服务港品牌宣传运营服务。</w:t>
            </w:r>
            <w:r>
              <w:br/>
            </w:r>
            <w:r>
              <w:rPr>
                <w:rFonts w:ascii="仿宋_GB2312" w:hAnsi="仿宋_GB2312" w:cs="仿宋_GB2312" w:eastAsia="仿宋_GB2312"/>
                <w:sz w:val="21"/>
              </w:rPr>
              <w:t xml:space="preserve"> </w:t>
            </w:r>
            <w:r>
              <w:rPr>
                <w:rFonts w:ascii="仿宋_GB2312" w:hAnsi="仿宋_GB2312" w:cs="仿宋_GB2312" w:eastAsia="仿宋_GB2312"/>
                <w:sz w:val="21"/>
              </w:rPr>
              <w:t>（一）日常运营</w:t>
            </w:r>
            <w:r>
              <w:br/>
            </w:r>
            <w:r>
              <w:rPr>
                <w:rFonts w:ascii="仿宋_GB2312" w:hAnsi="仿宋_GB2312" w:cs="仿宋_GB2312" w:eastAsia="仿宋_GB2312"/>
                <w:sz w:val="21"/>
              </w:rPr>
              <w:t xml:space="preserve"> </w:t>
            </w:r>
            <w:r>
              <w:rPr>
                <w:rFonts w:ascii="仿宋_GB2312" w:hAnsi="仿宋_GB2312" w:cs="仿宋_GB2312" w:eastAsia="仿宋_GB2312"/>
                <w:sz w:val="21"/>
              </w:rPr>
              <w:t>做好西安人才港日常运营管理工作，包含运营人员的工资福利、日常运营中产生的人工费、服务费等；提供所需的办公电脑、打印机等办公设备及专属耗材。做好日常办公接待、为政务会议等活动提供高标准的会务服务；保障人才港日常办公各项需求正常供应；做好高新区党工委人才办交办的其他临时性工作。</w:t>
            </w:r>
            <w:r>
              <w:br/>
            </w:r>
            <w:r>
              <w:rPr>
                <w:rFonts w:ascii="仿宋_GB2312" w:hAnsi="仿宋_GB2312" w:cs="仿宋_GB2312" w:eastAsia="仿宋_GB2312"/>
                <w:sz w:val="21"/>
              </w:rPr>
              <w:t xml:space="preserve"> </w:t>
            </w:r>
            <w:r>
              <w:rPr>
                <w:rFonts w:ascii="仿宋_GB2312" w:hAnsi="仿宋_GB2312" w:cs="仿宋_GB2312" w:eastAsia="仿宋_GB2312"/>
                <w:sz w:val="21"/>
              </w:rPr>
              <w:t>（二）人才服务</w:t>
            </w:r>
            <w:r>
              <w:br/>
            </w:r>
            <w:r>
              <w:rPr>
                <w:rFonts w:ascii="仿宋_GB2312" w:hAnsi="仿宋_GB2312" w:cs="仿宋_GB2312" w:eastAsia="仿宋_GB2312"/>
                <w:sz w:val="21"/>
              </w:rPr>
              <w:t xml:space="preserve"> </w:t>
            </w:r>
            <w:r>
              <w:rPr>
                <w:rFonts w:ascii="仿宋_GB2312" w:hAnsi="仿宋_GB2312" w:cs="仿宋_GB2312" w:eastAsia="仿宋_GB2312"/>
                <w:sz w:val="21"/>
              </w:rPr>
              <w:t>配备不少于</w:t>
            </w:r>
            <w:r>
              <w:rPr>
                <w:rFonts w:ascii="仿宋_GB2312" w:hAnsi="仿宋_GB2312" w:cs="仿宋_GB2312" w:eastAsia="仿宋_GB2312"/>
                <w:sz w:val="21"/>
              </w:rPr>
              <w:t>4名专职工作人员，招聘、考核等人事工作需经甲方认可，在甲方指导下为高层次人才提供以下专属服务：</w:t>
            </w:r>
            <w:r>
              <w:br/>
            </w:r>
            <w:r>
              <w:rPr>
                <w:rFonts w:ascii="仿宋_GB2312" w:hAnsi="仿宋_GB2312" w:cs="仿宋_GB2312" w:eastAsia="仿宋_GB2312"/>
                <w:sz w:val="21"/>
              </w:rPr>
              <w:t xml:space="preserve"> 1、人才专员。组建人才专员队伍，通过电话、走访为人才提供“一对一”精准化服务，满足人才个性化需求。</w:t>
            </w:r>
            <w:r>
              <w:br/>
            </w:r>
            <w:r>
              <w:rPr>
                <w:rFonts w:ascii="仿宋_GB2312" w:hAnsi="仿宋_GB2312" w:cs="仿宋_GB2312" w:eastAsia="仿宋_GB2312"/>
                <w:sz w:val="21"/>
              </w:rPr>
              <w:t xml:space="preserve"> 2、政策策略。对接了解高层次人才申报政策需求，上门宣讲、陪同操作、当场核验、预审收件，代办代理等。</w:t>
            </w:r>
            <w:r>
              <w:br/>
            </w:r>
            <w:r>
              <w:rPr>
                <w:rFonts w:ascii="仿宋_GB2312" w:hAnsi="仿宋_GB2312" w:cs="仿宋_GB2312" w:eastAsia="仿宋_GB2312"/>
                <w:sz w:val="21"/>
              </w:rPr>
              <w:t xml:space="preserve"> 3、共享空间。为高层次人才提供专业便捷的会务服务，包括VIP会客室、会议室、培训室、直播间等多个共享空间。</w:t>
            </w:r>
            <w:r>
              <w:br/>
            </w:r>
            <w:r>
              <w:rPr>
                <w:rFonts w:ascii="仿宋_GB2312" w:hAnsi="仿宋_GB2312" w:cs="仿宋_GB2312" w:eastAsia="仿宋_GB2312"/>
                <w:sz w:val="21"/>
              </w:rPr>
              <w:t xml:space="preserve"> 4、节日慰问。协助高新区党工委人才办做好节假日高层次人才慰问工作。</w:t>
            </w:r>
            <w:r>
              <w:br/>
            </w:r>
            <w:r>
              <w:rPr>
                <w:rFonts w:ascii="仿宋_GB2312" w:hAnsi="仿宋_GB2312" w:cs="仿宋_GB2312" w:eastAsia="仿宋_GB2312"/>
                <w:sz w:val="21"/>
              </w:rPr>
              <w:t xml:space="preserve"> </w:t>
            </w:r>
            <w:r>
              <w:rPr>
                <w:rFonts w:ascii="仿宋_GB2312" w:hAnsi="仿宋_GB2312" w:cs="仿宋_GB2312" w:eastAsia="仿宋_GB2312"/>
                <w:sz w:val="21"/>
              </w:rPr>
              <w:t>（三）品牌活动</w:t>
            </w:r>
            <w:r>
              <w:br/>
            </w:r>
            <w:r>
              <w:rPr>
                <w:rFonts w:ascii="仿宋_GB2312" w:hAnsi="仿宋_GB2312" w:cs="仿宋_GB2312" w:eastAsia="仿宋_GB2312"/>
                <w:sz w:val="21"/>
              </w:rPr>
              <w:t xml:space="preserve"> </w:t>
            </w:r>
            <w:r>
              <w:rPr>
                <w:rFonts w:ascii="仿宋_GB2312" w:hAnsi="仿宋_GB2312" w:cs="仿宋_GB2312" w:eastAsia="仿宋_GB2312"/>
                <w:sz w:val="21"/>
              </w:rPr>
              <w:t>全年举办人才座谈、项目路演、政策宣讲、人才访谈等线下活动不少于</w:t>
            </w:r>
            <w:r>
              <w:rPr>
                <w:rFonts w:ascii="仿宋_GB2312" w:hAnsi="仿宋_GB2312" w:cs="仿宋_GB2312" w:eastAsia="仿宋_GB2312"/>
                <w:sz w:val="21"/>
              </w:rPr>
              <w:t>24场（总参加人数不低于1000人次，参与企业不少于200家）。做到周周有走访、月度有活动、季度有座谈，主要包括以下四类：</w:t>
            </w:r>
            <w:r>
              <w:br/>
            </w:r>
            <w:r>
              <w:rPr>
                <w:rFonts w:ascii="仿宋_GB2312" w:hAnsi="仿宋_GB2312" w:cs="仿宋_GB2312" w:eastAsia="仿宋_GB2312"/>
                <w:sz w:val="21"/>
              </w:rPr>
              <w:t xml:space="preserve">  1、人才座谈。打造“人才会客厅”，全年举办不少于4场“高层次人才座谈会”，积极搭建人才、企业交流平台，及时为人才和企业纾困解难。</w:t>
            </w:r>
            <w:r>
              <w:br/>
            </w:r>
            <w:r>
              <w:rPr>
                <w:rFonts w:ascii="仿宋_GB2312" w:hAnsi="仿宋_GB2312" w:cs="仿宋_GB2312" w:eastAsia="仿宋_GB2312"/>
                <w:sz w:val="21"/>
              </w:rPr>
              <w:t xml:space="preserve"> 2、项目路演。联合西安市人才发展基金、西安银行、中科创星等金融创投机构，全年举办不少于8场人才项目路演活动，不断拓宽项目融资渠道，积极搭建人才、项目、资本对接平台。</w:t>
            </w:r>
            <w:r>
              <w:br/>
            </w:r>
            <w:r>
              <w:rPr>
                <w:rFonts w:ascii="仿宋_GB2312" w:hAnsi="仿宋_GB2312" w:cs="仿宋_GB2312" w:eastAsia="仿宋_GB2312"/>
                <w:sz w:val="21"/>
              </w:rPr>
              <w:t xml:space="preserve"> 3、政策宣讲。深化“人社工作进园区”，与园区、重点企业联动，全年举办不少于8场政策宣讲活动，不断扩大政策知晓度和惠及面。</w:t>
            </w:r>
            <w:r>
              <w:br/>
            </w:r>
            <w:r>
              <w:rPr>
                <w:rFonts w:ascii="仿宋_GB2312" w:hAnsi="仿宋_GB2312" w:cs="仿宋_GB2312" w:eastAsia="仿宋_GB2312"/>
                <w:sz w:val="21"/>
              </w:rPr>
              <w:t xml:space="preserve"> 4、人才访谈。多角度、多领域展示人才风采，全年举办不少于4期“高新人才说”访谈栏目，挖掘新时代高新人才精神、传播新时代高新人才声音，讲述新时代高新人才故事。</w:t>
            </w:r>
            <w:r>
              <w:br/>
            </w:r>
            <w:r>
              <w:rPr>
                <w:rFonts w:ascii="仿宋_GB2312" w:hAnsi="仿宋_GB2312" w:cs="仿宋_GB2312" w:eastAsia="仿宋_GB2312"/>
                <w:sz w:val="21"/>
              </w:rPr>
              <w:t xml:space="preserve"> </w:t>
            </w:r>
            <w:r>
              <w:rPr>
                <w:rFonts w:ascii="仿宋_GB2312" w:hAnsi="仿宋_GB2312" w:cs="仿宋_GB2312" w:eastAsia="仿宋_GB2312"/>
                <w:sz w:val="21"/>
              </w:rPr>
              <w:t>（四）走访调研</w:t>
            </w:r>
            <w:r>
              <w:br/>
            </w:r>
            <w:r>
              <w:rPr>
                <w:rFonts w:ascii="仿宋_GB2312" w:hAnsi="仿宋_GB2312" w:cs="仿宋_GB2312" w:eastAsia="仿宋_GB2312"/>
                <w:sz w:val="21"/>
              </w:rPr>
              <w:t xml:space="preserve"> 1、建立“人才+项目”服务机制。全年走访国家、省、市人才项目不少于40个，通过走访调研，深化挖掘重点项目人才、技术、融资需求，定期形成重点产业链急需紧缺人才目录。</w:t>
            </w:r>
            <w:r>
              <w:br/>
            </w:r>
            <w:r>
              <w:rPr>
                <w:rFonts w:ascii="仿宋_GB2312" w:hAnsi="仿宋_GB2312" w:cs="仿宋_GB2312" w:eastAsia="仿宋_GB2312"/>
                <w:sz w:val="21"/>
              </w:rPr>
              <w:t xml:space="preserve"> 2、做好智库支撑。通过走访调研收集企业和人才意见建议，同步借鉴先进地区人才政策，形成高新区人才新政及改革创新案例。</w:t>
            </w:r>
            <w:r>
              <w:br/>
            </w:r>
            <w:r>
              <w:rPr>
                <w:rFonts w:ascii="仿宋_GB2312" w:hAnsi="仿宋_GB2312" w:cs="仿宋_GB2312" w:eastAsia="仿宋_GB2312"/>
                <w:sz w:val="21"/>
              </w:rPr>
              <w:t xml:space="preserve"> 3、建立海外人才对接机制。依托欧美同学会、国际人才协会等海外人才平台，精准搭建企业与海归人才沟通桥梁，定点对接掌握核心技术的海外优秀人才。</w:t>
            </w:r>
            <w:r>
              <w:br/>
            </w:r>
            <w:r>
              <w:rPr>
                <w:rFonts w:ascii="仿宋_GB2312" w:hAnsi="仿宋_GB2312" w:cs="仿宋_GB2312" w:eastAsia="仿宋_GB2312"/>
                <w:sz w:val="21"/>
              </w:rPr>
              <w:t xml:space="preserve"> 4、完善人才服务清单。依托人才小程序，为企业提供线下线上相结合的政策汇编、政务服务、公共服务等“一站式”服务。</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（一）商务要求：</w:t>
            </w:r>
            <w:r>
              <w:br/>
            </w:r>
            <w:r>
              <w:rPr>
                <w:rFonts w:ascii="仿宋_GB2312" w:hAnsi="仿宋_GB2312" w:cs="仿宋_GB2312" w:eastAsia="仿宋_GB2312"/>
              </w:rPr>
              <w:t xml:space="preserve">  1、服务期限：自合同签订之日起至2026年12月31日。</w:t>
            </w:r>
            <w:r>
              <w:br/>
            </w:r>
            <w:r>
              <w:rPr>
                <w:rFonts w:ascii="仿宋_GB2312" w:hAnsi="仿宋_GB2312" w:cs="仿宋_GB2312" w:eastAsia="仿宋_GB2312"/>
              </w:rPr>
              <w:t xml:space="preserve">  2、服务地点：采购人指定地点。</w:t>
            </w:r>
            <w:r>
              <w:br/>
            </w:r>
            <w:r>
              <w:rPr>
                <w:rFonts w:ascii="仿宋_GB2312" w:hAnsi="仿宋_GB2312" w:cs="仿宋_GB2312" w:eastAsia="仿宋_GB2312"/>
              </w:rPr>
              <w:t xml:space="preserve">  3、质量要求：合格，达到采购人要求。</w:t>
            </w:r>
            <w:r>
              <w:br/>
            </w:r>
            <w:r>
              <w:rPr>
                <w:rFonts w:ascii="仿宋_GB2312" w:hAnsi="仿宋_GB2312" w:cs="仿宋_GB2312" w:eastAsia="仿宋_GB2312"/>
              </w:rPr>
              <w:t xml:space="preserve">  4、付款方式：以合同内容为准。</w:t>
            </w:r>
            <w:r>
              <w:br/>
            </w:r>
            <w:r>
              <w:rPr>
                <w:rFonts w:ascii="仿宋_GB2312" w:hAnsi="仿宋_GB2312" w:cs="仿宋_GB2312" w:eastAsia="仿宋_GB2312"/>
              </w:rPr>
              <w:t xml:space="preserve">  5、知识产权：采购人在中华人民共和国境内使用供应商提供的货物时免受第三方提出的侵犯其专利权或其它知识产权的起诉。如果第三方提出侵权指控，成交人应承担由此而引起的一切法律责任和费用。</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配备不少于4名专职工作人员。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提供日常运营所需的办公电脑、打印机等办公设备及专属耗材。</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自合同签订之日起至2026年12月31日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由采购人和成交供应商共同对项目进行验收填写验收单。其内容包括是否按照采购人要求进行服务、是否在规定时间内服务完毕。</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40.00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验收合格</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1.按《中华人民共和国民法典》中的相关条款执行。2.未按合同要求提供服务或服务质量不能满足本次采购要求，甲方会同监督机构、采购代理机构有权终止合同和对乙方违约行为进行追究，同时按有关规定进行相应的处罚。 （二）合同争议解决的方式：本合同在履行过程中发生的争议，由甲、乙双方当事人协商解决，协商不成的按下列第2种方式解决：1.提交西安仲裁委员会仲裁；2.依法向有管辖权的人民法院起诉。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采购标的对应的中小企业划分标准所属行业为：其他未列明行业。划分标准：从业人员300人以下的为中小微型企业。其中，从业人员100人及以上的为中型企业;从业人员10人及以上的为小型企业;从业人员10人以下的为微型企业。2.需要落实的政府采购政策：1）《国务院办公厅关于建立政府强制采购节能产品制度的通知》（国办发〔2007〕51号）；2）《财政部司法部关于政府采购支持监狱企业发展有关问题的通知》（财库〔2014〕68号）；3）《三部门联合发布关于促进残疾人就业政府采购政策的通知》（财库〔2017〕141号）；4）《财政部发展改革委生态环境部市场监管总局关于调整优化节能产品、环境标志产品政府采购执行机制的通知》（财库〔2019〕9号）；5）《关于运用政府采购政策支持乡村产业振兴的通知》（财库〔2021〕19号）；6）《政府采购促进中小企业发展管理办法》（财库〔2020〕46号）；7）陕西省财政厅关于印发《陕西省中小企业政府采购信用融资办法》（陕财办采〔2018〕23号）；8）《关于进一步加大政府采购支持中小企业力度的通知》（财库〔2022〕19号）；9）《关于扩大政府采购支持绿色建材促进建筑品质提升政策实施范围的通知》（财库〔2022〕35号）；10）《国务院办公厅关于在政府采购中实施本国产品标准及相关政策的通知》（国办发〔2025〕34号）。3.根据《西安高新区财政金融局关于开展政府采购供应商基本资格条件承诺制试点工作的通知（西高财函〔2024〕111号）》，简化对供应商资格条件等的形式审查，供应商只需以书面形式提供规定格式的《基本资格条件承诺函》(详见响应文件格式第六部分),即可替代以下材料：（1）财务状况报告(表)或其基本开户银行出具的资信证明材料；（2）依法缴纳税收的证明材料；（3）缴纳社会保障金的证明材料；（4）具有履行合同所必需的设备和专业技术能力的证明材料；（5）参加政府采购活动前三年内，在经营活动中没有重大违法记录的证明材料；（6）未被列入失信被执行人、重大税收违法案件当事人名单及政府采购严重违法失信行为记录名单的证明材料。简化后，供应商应对承诺内容的真实性、合法性、有效性负责。经调查核实为虚假承诺的，视同为“提供虚假材料谋取中标、成交”的违法行为，依照《中华人民共和国政府采购法》等法律法规追究相应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格式.docx 中小企业声明函 残疾人福利性单位声明函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格式.docx 中小企业声明函 残疾人福利性单位声明函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格式.docx 中小企业声明函 残疾人福利性单位声明函 标的清单 报价表 响应函 监狱企业的证明文件</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本项目专门面向中小企业采购（残疾人福利性单位、监狱企业视同小型、微型企业）。</w:t>
            </w:r>
          </w:p>
        </w:tc>
        <w:tc>
          <w:tcPr>
            <w:tcW w:type="dxa" w:w="1661"/>
          </w:tcPr>
          <w:p>
            <w:pPr>
              <w:pStyle w:val="null3"/>
            </w:pPr>
            <w:r>
              <w:rPr>
                <w:rFonts w:ascii="仿宋_GB2312" w:hAnsi="仿宋_GB2312" w:cs="仿宋_GB2312" w:eastAsia="仿宋_GB2312"/>
              </w:rPr>
              <w:t>中小企业声明函 残疾人福利性单位声明函 标的清单 报价表 响应函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法人或者其他组织提供营业执照等证明文件，自然人提供身份证件，供应商需在项目电子化交易系统中按要求上传相应证明文件并进行电子签章；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格式.docx 中小企业声明函 残疾人福利性单位声明函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税收缴纳凭证及社会保险缴纳的凭证</w:t>
            </w:r>
          </w:p>
        </w:tc>
        <w:tc>
          <w:tcPr>
            <w:tcW w:type="dxa" w:w="3322"/>
          </w:tcPr>
          <w:p>
            <w:pPr>
              <w:pStyle w:val="null3"/>
            </w:pPr>
            <w:r>
              <w:rPr>
                <w:rFonts w:ascii="仿宋_GB2312" w:hAnsi="仿宋_GB2312" w:cs="仿宋_GB2312" w:eastAsia="仿宋_GB2312"/>
              </w:rPr>
              <w:t>供应商在本项目磋商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或提供《基本资格条件承诺函》；</w:t>
            </w:r>
          </w:p>
        </w:tc>
        <w:tc>
          <w:tcPr>
            <w:tcW w:type="dxa" w:w="1661"/>
          </w:tcPr>
          <w:p>
            <w:pPr>
              <w:pStyle w:val="null3"/>
            </w:pPr>
            <w:r>
              <w:rPr>
                <w:rFonts w:ascii="仿宋_GB2312" w:hAnsi="仿宋_GB2312" w:cs="仿宋_GB2312" w:eastAsia="仿宋_GB2312"/>
              </w:rPr>
              <w:t>格式.docx 中小企业声明函 残疾人福利性单位声明函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2024年度或2025年度经审计的财务审计报告（事业法人可提供部门决算报告）；或提供供应商基本开户银行出具的资信证明；或提供专业担保机构出具的投标担保函，供应商需在项目电子化交易系统中按要求上传相应证明文件或提供《基本资格条件承诺函》；</w:t>
            </w:r>
          </w:p>
        </w:tc>
        <w:tc>
          <w:tcPr>
            <w:tcW w:type="dxa" w:w="1661"/>
          </w:tcPr>
          <w:p>
            <w:pPr>
              <w:pStyle w:val="null3"/>
            </w:pPr>
            <w:r>
              <w:rPr>
                <w:rFonts w:ascii="仿宋_GB2312" w:hAnsi="仿宋_GB2312" w:cs="仿宋_GB2312" w:eastAsia="仿宋_GB2312"/>
              </w:rPr>
              <w:t>格式.docx 中小企业声明函 残疾人福利性单位声明函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参加政府采购活动前3年内在经营活动中没有重大违法记录的书面声明； 其中：重大违法记录是指供应商因违法经营受到刑事处罚或者责令停产停业、吊销许可证或者执照、较大数额罚款等行政处罚</w:t>
            </w:r>
          </w:p>
        </w:tc>
        <w:tc>
          <w:tcPr>
            <w:tcW w:type="dxa" w:w="3322"/>
          </w:tcPr>
          <w:p>
            <w:pPr>
              <w:pStyle w:val="null3"/>
            </w:pPr>
            <w:r>
              <w:rPr>
                <w:rFonts w:ascii="仿宋_GB2312" w:hAnsi="仿宋_GB2312" w:cs="仿宋_GB2312" w:eastAsia="仿宋_GB2312"/>
              </w:rPr>
              <w:t>参加政府采购活动前3年内在经营活动中没有重大违法记录的书面声明，供应商需在项目电子化交易系统中按要求上传相应证明文件或提供《基本资格条件承诺函》并进行电子签章；</w:t>
            </w:r>
          </w:p>
        </w:tc>
        <w:tc>
          <w:tcPr>
            <w:tcW w:type="dxa" w:w="1661"/>
          </w:tcPr>
          <w:p>
            <w:pPr>
              <w:pStyle w:val="null3"/>
            </w:pPr>
            <w:r>
              <w:rPr>
                <w:rFonts w:ascii="仿宋_GB2312" w:hAnsi="仿宋_GB2312" w:cs="仿宋_GB2312" w:eastAsia="仿宋_GB2312"/>
              </w:rPr>
              <w:t>格式.docx 中小企业声明函 残疾人福利性单位声明函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履行合同所必需的设备和专业技术能力书面声明函</w:t>
            </w:r>
          </w:p>
        </w:tc>
        <w:tc>
          <w:tcPr>
            <w:tcW w:type="dxa" w:w="3322"/>
          </w:tcPr>
          <w:p>
            <w:pPr>
              <w:pStyle w:val="null3"/>
            </w:pPr>
            <w:r>
              <w:rPr>
                <w:rFonts w:ascii="仿宋_GB2312" w:hAnsi="仿宋_GB2312" w:cs="仿宋_GB2312" w:eastAsia="仿宋_GB2312"/>
              </w:rPr>
              <w:t>具有履行合同所必需的设备和专业技术能力书面声明函，供应商需在项目电子化交易系统中按要求上传相应证明文件或提供《基本资格条件承诺函》并进行电子签章；</w:t>
            </w:r>
          </w:p>
        </w:tc>
        <w:tc>
          <w:tcPr>
            <w:tcW w:type="dxa" w:w="1661"/>
          </w:tcPr>
          <w:p>
            <w:pPr>
              <w:pStyle w:val="null3"/>
            </w:pPr>
            <w:r>
              <w:rPr>
                <w:rFonts w:ascii="仿宋_GB2312" w:hAnsi="仿宋_GB2312" w:cs="仿宋_GB2312" w:eastAsia="仿宋_GB2312"/>
              </w:rPr>
              <w:t>格式.docx 中小企业声明函 残疾人福利性单位声明函 标的清单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本项目专门面向中小企业采购（残疾人福利性单位、监狱企业视同小型、微型企业），供应商需提供《中小企业声明函》（监狱企业的证明文件或《残疾人福利性单位声明函》）</w:t>
            </w:r>
          </w:p>
        </w:tc>
        <w:tc>
          <w:tcPr>
            <w:tcW w:type="dxa" w:w="3322"/>
          </w:tcPr>
          <w:p>
            <w:pPr>
              <w:pStyle w:val="null3"/>
            </w:pPr>
            <w:r>
              <w:rPr>
                <w:rFonts w:ascii="仿宋_GB2312" w:hAnsi="仿宋_GB2312" w:cs="仿宋_GB2312" w:eastAsia="仿宋_GB2312"/>
              </w:rPr>
              <w:t>本项目专门面向中小企业采购（残疾人福利性单位、监狱企业视同小型、微型企业），供应商需提供《中小企业声明函》（监狱企业的证明文件或《残疾人福利性单位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格式.docx 中小企业声明函 残疾人福利性单位声明函 标的清单 报价表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供应商信用状况</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以磋商响应文件递交截止时间后网站查询结果为准。</w:t>
            </w:r>
          </w:p>
        </w:tc>
        <w:tc>
          <w:tcPr>
            <w:tcW w:type="dxa" w:w="1661"/>
          </w:tcPr>
          <w:p>
            <w:pPr>
              <w:pStyle w:val="null3"/>
            </w:pPr>
            <w:r>
              <w:rPr>
                <w:rFonts w:ascii="仿宋_GB2312" w:hAnsi="仿宋_GB2312" w:cs="仿宋_GB2312" w:eastAsia="仿宋_GB2312"/>
              </w:rPr>
              <w:t>格式.docx 中小企业声明函 残疾人福利性单位声明函 标的清单 报价表 响应函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 3.依据《关于推动解决政府采购异常低价问题的通知》（财库〔2026〕2号）：（一）政府采购评审中出现下列情形之一的，评审委员会应当启动异常低价投标（响应）审查程序：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格式.docx 中小企业声明函 残疾人福利性单位声明函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格式.docx 中小企业声明函 残疾人福利性单位声明函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响应文件签署、签章</w:t>
            </w:r>
          </w:p>
        </w:tc>
        <w:tc>
          <w:tcPr>
            <w:tcW w:type="dxa" w:w="3322"/>
          </w:tcPr>
          <w:p>
            <w:pPr>
              <w:pStyle w:val="null3"/>
            </w:pPr>
            <w:r>
              <w:rPr>
                <w:rFonts w:ascii="仿宋_GB2312" w:hAnsi="仿宋_GB2312" w:cs="仿宋_GB2312" w:eastAsia="仿宋_GB2312"/>
              </w:rPr>
              <w:t>响应文件签署、盖章均按磋商文件要求签字、盖章</w:t>
            </w:r>
          </w:p>
        </w:tc>
        <w:tc>
          <w:tcPr>
            <w:tcW w:type="dxa" w:w="1661"/>
          </w:tcPr>
          <w:p>
            <w:pPr>
              <w:pStyle w:val="null3"/>
            </w:pPr>
            <w:r>
              <w:rPr>
                <w:rFonts w:ascii="仿宋_GB2312" w:hAnsi="仿宋_GB2312" w:cs="仿宋_GB2312" w:eastAsia="仿宋_GB2312"/>
              </w:rPr>
              <w:t>格式.docx 中小企业声明函 残疾人福利性单位声明函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响应文件报价</w:t>
            </w:r>
          </w:p>
        </w:tc>
        <w:tc>
          <w:tcPr>
            <w:tcW w:type="dxa" w:w="3322"/>
          </w:tcPr>
          <w:p>
            <w:pPr>
              <w:pStyle w:val="null3"/>
            </w:pPr>
            <w:r>
              <w:rPr>
                <w:rFonts w:ascii="仿宋_GB2312" w:hAnsi="仿宋_GB2312" w:cs="仿宋_GB2312" w:eastAsia="仿宋_GB2312"/>
              </w:rPr>
              <w:t>报价唯一，且没有高于采购预算或磋商文件规定的最高限价</w:t>
            </w:r>
          </w:p>
        </w:tc>
        <w:tc>
          <w:tcPr>
            <w:tcW w:type="dxa" w:w="1661"/>
          </w:tcPr>
          <w:p>
            <w:pPr>
              <w:pStyle w:val="null3"/>
            </w:pPr>
            <w:r>
              <w:rPr>
                <w:rFonts w:ascii="仿宋_GB2312" w:hAnsi="仿宋_GB2312" w:cs="仿宋_GB2312" w:eastAsia="仿宋_GB2312"/>
              </w:rPr>
              <w:t>格式.docx 中小企业声明函 残疾人福利性单位声明函 标的清单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格式.docx 中小企业声明函 残疾人福利性单位声明函 标的清单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服务地点</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格式.docx 中小企业声明函 残疾人福利性单位声明函 标的清单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格式.docx 中小企业声明函 残疾人福利性单位声明函 标的清单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需求分析</w:t>
            </w:r>
          </w:p>
        </w:tc>
        <w:tc>
          <w:tcPr>
            <w:tcW w:type="dxa" w:w="2492"/>
          </w:tcPr>
          <w:p>
            <w:pPr>
              <w:pStyle w:val="null3"/>
            </w:pPr>
            <w:r>
              <w:rPr>
                <w:rFonts w:ascii="仿宋_GB2312" w:hAnsi="仿宋_GB2312" w:cs="仿宋_GB2312" w:eastAsia="仿宋_GB2312"/>
              </w:rPr>
              <w:t>根据供应商对项目的背景、目的、内容与时间要求等的理解程度进行评分。 项目的背景、目的、内容与时间要求等的理解深刻，认识全面，切合项目情况得7分；理解较深刻，有一定认识，与项目情况较切合得5分；理解不足，认识度低，与项目关联度低得3分。未提供不得分。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格式.docx</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提供完善的满足采购人要求的实施方案。 1、方案内容完整详实、方法清晰、全面，针对性强、可操作性强、可行性强的，得13分； 2、方案内容基本完整详实、方法基本清晰、全面，针对性、可操作性、可行性一般的，得9分； 3、方案内容简单、方法不清晰、不全面，无针对性及可操作性，需要改进后才能使用得5分。 未提供不得分。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格式.docx</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工作进度安排</w:t>
            </w:r>
          </w:p>
        </w:tc>
        <w:tc>
          <w:tcPr>
            <w:tcW w:type="dxa" w:w="2492"/>
          </w:tcPr>
          <w:p>
            <w:pPr>
              <w:pStyle w:val="null3"/>
            </w:pPr>
            <w:r>
              <w:rPr>
                <w:rFonts w:ascii="仿宋_GB2312" w:hAnsi="仿宋_GB2312" w:cs="仿宋_GB2312" w:eastAsia="仿宋_GB2312"/>
              </w:rPr>
              <w:t>对本次服务执行进度安排：制定合理的服务工作计划包括但不限于活动策划，活动宣传时间安排，有详细的工作进度及工作流程，根据工作进度的合理性和可操作性进行综合评审，对本次服务执行进度安排合理、详细切合实际计10分；对本次服务执行进度安排较合理、较详细较为切合实际的计5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格式.docx</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拟派团队安排</w:t>
            </w:r>
          </w:p>
        </w:tc>
        <w:tc>
          <w:tcPr>
            <w:tcW w:type="dxa" w:w="2492"/>
          </w:tcPr>
          <w:p>
            <w:pPr>
              <w:pStyle w:val="null3"/>
            </w:pPr>
            <w:r>
              <w:rPr>
                <w:rFonts w:ascii="仿宋_GB2312" w:hAnsi="仿宋_GB2312" w:cs="仿宋_GB2312" w:eastAsia="仿宋_GB2312"/>
              </w:rPr>
              <w:t>针对本项目需求提供包括但不限于人员组织架构、职业技术配置、技术人员素质标准。供应商配备的人员专业类别配比合理、组织架构清晰、拥有丰富的活动执行经验、完全满足项目需求计10分，配备的人员专业类别配比较合理、组织架构基本完善、活动执行经验略有欠缺、基本满足本项目评审需求计7分；配备的人员专业类别配比混乱、组织架构完善度低、活动执行经验不足、勉强满足本项目评审需求计3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格式.docx</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拟派团队人员</w:t>
            </w:r>
          </w:p>
        </w:tc>
        <w:tc>
          <w:tcPr>
            <w:tcW w:type="dxa" w:w="2492"/>
          </w:tcPr>
          <w:p>
            <w:pPr>
              <w:pStyle w:val="null3"/>
            </w:pPr>
            <w:r>
              <w:rPr>
                <w:rFonts w:ascii="仿宋_GB2312" w:hAnsi="仿宋_GB2312" w:cs="仿宋_GB2312" w:eastAsia="仿宋_GB2312"/>
              </w:rPr>
              <w:t>配备不少于4名专职人员； 满足基本条件得5分，在此基础上，每增加1名专职工作人员得1分，每增加1名工作人员得0.5分，满分10分。（人员不可重复得分，即1人只可计算1次分值，不足4人不得分。提供在本单位任职的证明材料）</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格式.docx</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服务质量保证体系及措施</w:t>
            </w:r>
          </w:p>
        </w:tc>
        <w:tc>
          <w:tcPr>
            <w:tcW w:type="dxa" w:w="2492"/>
          </w:tcPr>
          <w:p>
            <w:pPr>
              <w:pStyle w:val="null3"/>
            </w:pPr>
            <w:r>
              <w:rPr>
                <w:rFonts w:ascii="仿宋_GB2312" w:hAnsi="仿宋_GB2312" w:cs="仿宋_GB2312" w:eastAsia="仿宋_GB2312"/>
              </w:rPr>
              <w:t>根据供应商的专业网络配备、服务质量保证体系、应急服务措施、活动保障措施合理、完善程度进行综合评审。专业网络配备齐全、服务质量保证体系健全、措施完善合理计10分；专业网站配备基本齐全、服务质量保证体系基本健全、措施基本合理计7分；专业网站配备有缺失、服务质量保证体系不健全、措施合理性一般计3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格式.docx</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应急保障措施</w:t>
            </w:r>
          </w:p>
        </w:tc>
        <w:tc>
          <w:tcPr>
            <w:tcW w:type="dxa" w:w="2492"/>
          </w:tcPr>
          <w:p>
            <w:pPr>
              <w:pStyle w:val="null3"/>
            </w:pPr>
            <w:r>
              <w:rPr>
                <w:rFonts w:ascii="仿宋_GB2312" w:hAnsi="仿宋_GB2312" w:cs="仿宋_GB2312" w:eastAsia="仿宋_GB2312"/>
              </w:rPr>
              <w:t>根据项目具体情况制定详细服务应急保障措施。 保障措施科学合理，针对性强，确保工作优质、高效、高质量完成，计10分；保障措施方法可行、措施内容大致合理，基本能完成工作任务，计7 分；保障措施方法不合理，措施内容不详实，计3分；未提供得 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格式.docx</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针对实际需求提供保证服务质量的承诺（包含日常运营、日常宣传及活动执行等内容）： 承诺详细、具体，可行性强，得5分；承诺较为详细，有可行性，得3分；承诺过于简单，内容缺失，得1分；未提供不得分。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格式.docx</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相关经验</w:t>
            </w:r>
          </w:p>
        </w:tc>
        <w:tc>
          <w:tcPr>
            <w:tcW w:type="dxa" w:w="2492"/>
          </w:tcPr>
          <w:p>
            <w:pPr>
              <w:pStyle w:val="null3"/>
            </w:pPr>
            <w:r>
              <w:rPr>
                <w:rFonts w:ascii="仿宋_GB2312" w:hAnsi="仿宋_GB2312" w:cs="仿宋_GB2312" w:eastAsia="仿宋_GB2312"/>
              </w:rPr>
              <w:t>供应商有丰富的服务经验，提供相关证明资料。 提供2023年1月1日至磋商公告发布之日起的业绩证明文件（以合同签订时间为准），每提供1份得2分，最多得5分。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格式.docx</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根据供应商提供的保密承诺及相应的保密措施，内容详细、具体，可行性强，得10分；内容较为详细，有可行性，得7分；内容过于简单，有缺失，得3分；未提供不得分。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格式.docx</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格式.docx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以满足磋商文件要求且最终报价最低的投标报价为评标基准价，其价格分为满分10分，其他供应商的价格分按照下列公式计算： 投标报价得分=（评标基准价/投标报价）×10。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格式.docx</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详见附件：格式.docx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