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版本号：SXXZC202600220260610001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建设工程设计方案技术审查项目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SXXZC2026002</w:t>
      </w:r>
      <w:r>
        <w:br/>
      </w:r>
      <w:r>
        <w:br/>
      </w:r>
      <w:r>
        <w:br/>
      </w:r>
    </w:p>
    <w:p>
      <w:pPr>
        <w:pStyle w:val="null3"/>
        <w:jc w:val="center"/>
        <w:outlineLvl w:val="2"/>
      </w:pPr>
      <w:r>
        <w:rPr>
          <w:rFonts w:ascii="仿宋_GB2312" w:hAnsi="仿宋_GB2312" w:cs="仿宋_GB2312" w:eastAsia="仿宋_GB2312"/>
          <w:sz w:val="28"/>
          <w:b/>
        </w:rPr>
        <w:t>西安市自然资源和规划局鄠邑分局</w:t>
      </w:r>
    </w:p>
    <w:p>
      <w:pPr>
        <w:pStyle w:val="null3"/>
        <w:jc w:val="center"/>
        <w:outlineLvl w:val="2"/>
      </w:pPr>
      <w:r>
        <w:rPr>
          <w:rFonts w:ascii="仿宋_GB2312" w:hAnsi="仿宋_GB2312" w:cs="仿宋_GB2312" w:eastAsia="仿宋_GB2312"/>
          <w:sz w:val="28"/>
          <w:b/>
        </w:rPr>
        <w:t>陕西信智诚项目管理有限公司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陕西信智诚项目管理有限公司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西安市自然资源和规划局鄠邑分局</w:t>
      </w:r>
      <w:r>
        <w:rPr>
          <w:rFonts w:ascii="仿宋_GB2312" w:hAnsi="仿宋_GB2312" w:cs="仿宋_GB2312" w:eastAsia="仿宋_GB2312"/>
        </w:rPr>
        <w:t>委托，拟对</w:t>
      </w:r>
      <w:r>
        <w:rPr>
          <w:rFonts w:ascii="仿宋_GB2312" w:hAnsi="仿宋_GB2312" w:cs="仿宋_GB2312" w:eastAsia="仿宋_GB2312"/>
        </w:rPr>
        <w:t>建设工程设计方案技术审查项目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SXXZC2026002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建设工程设计方案技术审查项目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西安市自然资源和规划局鄠邑分局建设工程设计方案技术审查项目，具体详见竞争性磋商文件。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3、税收缴纳证明：提供2026年至今已缴纳的1个月的纳税证明或完税证明，依法免税的单位应提供相关证明材料。供应商需在项目电子化交易系统中按要求上传相应证明文件并进行电子签章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2026年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5、资质证书：供应商须具备城乡规划编制乙级及以上资质。供应商需在项目电子化交易系统中按要求上传相应证明文件并进行电子签章</w:t>
      </w:r>
    </w:p>
    <w:p>
      <w:pPr>
        <w:pStyle w:val="null3"/>
      </w:pPr>
      <w:r>
        <w:rPr>
          <w:rFonts w:ascii="仿宋_GB2312" w:hAnsi="仿宋_GB2312" w:cs="仿宋_GB2312" w:eastAsia="仿宋_GB2312"/>
        </w:rPr>
        <w:t>6、项目负责人：拟派项目负责人须具备注册城乡规划师证书。供应商需在项目电子化交易系统中按要求上传相应证明文件并进行电子签章</w:t>
      </w:r>
    </w:p>
    <w:p>
      <w:pPr>
        <w:pStyle w:val="null3"/>
      </w:pPr>
      <w:r>
        <w:rPr>
          <w:rFonts w:ascii="仿宋_GB2312" w:hAnsi="仿宋_GB2312" w:cs="仿宋_GB2312" w:eastAsia="仿宋_GB2312"/>
        </w:rPr>
        <w:t>7、履行合同所必需的设备和专业技术能力：提供具有履行合同所必需的设备和专业技术能力的承诺。供应商需在项目电子化交易系统中按要求上传相应证明文件并进行电子签章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8、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9、授权书被授权人身份证：法定代表人直接参加投标的，须出具法定代表人身份证；法定代表人授权代表参加投标的，须出具法定代表人授权书及授权代表身份证</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p>
      <w:pPr>
        <w:pStyle w:val="null3"/>
      </w:pPr>
      <w:r>
        <w:rPr>
          <w:rFonts w:ascii="仿宋_GB2312" w:hAnsi="仿宋_GB2312" w:cs="仿宋_GB2312" w:eastAsia="仿宋_GB2312"/>
        </w:rPr>
        <w:t>11、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12、是否接受联合体投标：本项目不接受联合体投标（提供非联合体声明函）。供应商需在项目电子化交易系统中按要求上传相应证明文件并进行电子签章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西安市自然资源和规划局鄠邑分局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南环中路3号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西安市自然资源和规划局鄠邑分局经办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029-89019439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陕西信智诚项目管理有限公司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陕西省西安市雁塔区科创路 106 号高新品阁 1302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18710356096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发的《招标代理服务收费管理暂行办法》（计价格〔2002〕1980号）和国家发展和改革委员会办公厅颁发的《关于招标代理服务收费有关问题的通知》（发改办价格〔2003〕857号）文件计取。 名 称：陕西信智诚项目管理有限公司 开户行：兴业银行股份有限公司西安经济开发区支行 账 号：456870100100379282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西安市自然资源和规划局鄠邑分局</w:t>
      </w:r>
      <w:r>
        <w:rPr>
          <w:rFonts w:ascii="仿宋_GB2312" w:hAnsi="仿宋_GB2312" w:cs="仿宋_GB2312" w:eastAsia="仿宋_GB2312"/>
        </w:rPr>
        <w:t>和</w:t>
      </w:r>
      <w:r>
        <w:rPr>
          <w:rFonts w:ascii="仿宋_GB2312" w:hAnsi="仿宋_GB2312" w:cs="仿宋_GB2312" w:eastAsia="仿宋_GB2312"/>
        </w:rPr>
        <w:t>陕西信智诚项目管理有限公司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西安市自然资源和规划局鄠邑分局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陕西信智诚项目管理有限公司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西安市自然资源和规划局鄠邑分局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陕西信智诚项目管理有限公司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陕西信智诚项目管理有限公司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陕西信智诚项目管理有限公司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陕西信智诚项目管理有限公司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联系电话：18710356096</w:t>
      </w:r>
    </w:p>
    <w:p>
      <w:pPr>
        <w:pStyle w:val="null3"/>
      </w:pPr>
      <w:r>
        <w:rPr>
          <w:rFonts w:ascii="仿宋_GB2312" w:hAnsi="仿宋_GB2312" w:cs="仿宋_GB2312" w:eastAsia="仿宋_GB2312"/>
        </w:rPr>
        <w:t>地址：陕西省西安市雁塔区科创路 106 号高新品阁 1302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西安市自然资源和规划局鄠邑分局建设工程设计方案技术审查项目，详见竞争性磋商文件。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建设工程设计方案技术审查项目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标的名称：建设工程设计方案技术审查项目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rPr>
              <w:t>采购需求</w:t>
            </w:r>
          </w:p>
          <w:p>
            <w:pPr>
              <w:pStyle w:val="null3"/>
              <w:ind w:firstLine="560"/>
              <w:jc w:val="both"/>
            </w:pPr>
            <w:r>
              <w:rPr>
                <w:rFonts w:ascii="仿宋_GB2312" w:hAnsi="仿宋_GB2312" w:cs="仿宋_GB2312" w:eastAsia="仿宋_GB2312"/>
                <w:sz w:val="28"/>
              </w:rPr>
              <w:t>1、建设工程设计方案技术审查工作</w:t>
            </w:r>
          </w:p>
          <w:p>
            <w:pPr>
              <w:pStyle w:val="null3"/>
              <w:ind w:firstLine="560"/>
              <w:jc w:val="both"/>
            </w:pPr>
            <w:r>
              <w:rPr>
                <w:rFonts w:ascii="仿宋_GB2312" w:hAnsi="仿宋_GB2312" w:cs="仿宋_GB2312" w:eastAsia="仿宋_GB2312"/>
                <w:sz w:val="28"/>
              </w:rPr>
              <w:t>（一）控制性指标</w:t>
            </w:r>
          </w:p>
          <w:p>
            <w:pPr>
              <w:pStyle w:val="null3"/>
              <w:ind w:firstLine="560"/>
              <w:jc w:val="both"/>
            </w:pPr>
            <w:r>
              <w:rPr>
                <w:rFonts w:ascii="仿宋_GB2312" w:hAnsi="仿宋_GB2312" w:cs="仿宋_GB2312" w:eastAsia="仿宋_GB2312"/>
                <w:sz w:val="28"/>
              </w:rPr>
              <w:t>用地范围与总平面图四址是否一致</w:t>
            </w:r>
          </w:p>
          <w:p>
            <w:pPr>
              <w:pStyle w:val="null3"/>
              <w:ind w:firstLine="560"/>
              <w:jc w:val="both"/>
            </w:pPr>
            <w:r>
              <w:rPr>
                <w:rFonts w:ascii="仿宋_GB2312" w:hAnsi="仿宋_GB2312" w:cs="仿宋_GB2312" w:eastAsia="仿宋_GB2312"/>
                <w:sz w:val="28"/>
              </w:rPr>
              <w:t>用地性质</w:t>
            </w:r>
          </w:p>
          <w:p>
            <w:pPr>
              <w:pStyle w:val="null3"/>
              <w:ind w:firstLine="560"/>
              <w:jc w:val="both"/>
            </w:pPr>
            <w:r>
              <w:rPr>
                <w:rFonts w:ascii="仿宋_GB2312" w:hAnsi="仿宋_GB2312" w:cs="仿宋_GB2312" w:eastAsia="仿宋_GB2312"/>
                <w:sz w:val="28"/>
              </w:rPr>
              <w:t>建筑性质是否与用地性质相匹配</w:t>
            </w:r>
          </w:p>
          <w:p>
            <w:pPr>
              <w:pStyle w:val="null3"/>
              <w:ind w:firstLine="560"/>
              <w:jc w:val="both"/>
            </w:pPr>
            <w:r>
              <w:rPr>
                <w:rFonts w:ascii="仿宋_GB2312" w:hAnsi="仿宋_GB2312" w:cs="仿宋_GB2312" w:eastAsia="仿宋_GB2312"/>
                <w:sz w:val="28"/>
              </w:rPr>
              <w:t>容积率是否满足规划条件及现行规范要求</w:t>
            </w:r>
          </w:p>
          <w:p>
            <w:pPr>
              <w:pStyle w:val="null3"/>
              <w:ind w:firstLine="560"/>
              <w:jc w:val="both"/>
            </w:pPr>
            <w:r>
              <w:rPr>
                <w:rFonts w:ascii="仿宋_GB2312" w:hAnsi="仿宋_GB2312" w:cs="仿宋_GB2312" w:eastAsia="仿宋_GB2312"/>
                <w:sz w:val="28"/>
              </w:rPr>
              <w:t>绿地率是否满足规划条件及现行规范要求</w:t>
            </w:r>
          </w:p>
          <w:p>
            <w:pPr>
              <w:pStyle w:val="null3"/>
              <w:ind w:firstLine="560"/>
              <w:jc w:val="both"/>
            </w:pPr>
            <w:r>
              <w:rPr>
                <w:rFonts w:ascii="仿宋_GB2312" w:hAnsi="仿宋_GB2312" w:cs="仿宋_GB2312" w:eastAsia="仿宋_GB2312"/>
                <w:sz w:val="28"/>
              </w:rPr>
              <w:t>建筑高度是否满足净空标准要求</w:t>
            </w:r>
          </w:p>
          <w:p>
            <w:pPr>
              <w:pStyle w:val="null3"/>
              <w:ind w:firstLine="560"/>
              <w:jc w:val="both"/>
            </w:pPr>
            <w:r>
              <w:rPr>
                <w:rFonts w:ascii="仿宋_GB2312" w:hAnsi="仿宋_GB2312" w:cs="仿宋_GB2312" w:eastAsia="仿宋_GB2312"/>
                <w:sz w:val="28"/>
              </w:rPr>
              <w:t>建筑面积、基底面积</w:t>
            </w:r>
          </w:p>
          <w:p>
            <w:pPr>
              <w:pStyle w:val="null3"/>
              <w:ind w:firstLine="560"/>
              <w:jc w:val="both"/>
            </w:pPr>
            <w:r>
              <w:rPr>
                <w:rFonts w:ascii="仿宋_GB2312" w:hAnsi="仿宋_GB2312" w:cs="仿宋_GB2312" w:eastAsia="仿宋_GB2312"/>
                <w:sz w:val="28"/>
              </w:rPr>
              <w:t>建筑密度是否满足规划条件要求</w:t>
            </w:r>
          </w:p>
          <w:p>
            <w:pPr>
              <w:pStyle w:val="null3"/>
              <w:ind w:firstLine="560"/>
              <w:jc w:val="both"/>
            </w:pPr>
            <w:r>
              <w:rPr>
                <w:rFonts w:ascii="仿宋_GB2312" w:hAnsi="仿宋_GB2312" w:cs="仿宋_GB2312" w:eastAsia="仿宋_GB2312"/>
                <w:sz w:val="28"/>
              </w:rPr>
              <w:t>建筑退道路红线、退城市绿线、退用地界线、建筑间距。停车位配置是否符合</w:t>
            </w:r>
          </w:p>
          <w:p>
            <w:pPr>
              <w:pStyle w:val="null3"/>
              <w:ind w:firstLine="560"/>
              <w:jc w:val="both"/>
            </w:pPr>
            <w:r>
              <w:rPr>
                <w:rFonts w:ascii="仿宋_GB2312" w:hAnsi="仿宋_GB2312" w:cs="仿宋_GB2312" w:eastAsia="仿宋_GB2312"/>
                <w:sz w:val="28"/>
              </w:rPr>
              <w:t>（二）制图标准</w:t>
            </w:r>
          </w:p>
          <w:p>
            <w:pPr>
              <w:pStyle w:val="null3"/>
              <w:ind w:firstLine="560"/>
              <w:jc w:val="both"/>
            </w:pPr>
            <w:r>
              <w:rPr>
                <w:rFonts w:ascii="仿宋_GB2312" w:hAnsi="仿宋_GB2312" w:cs="仿宋_GB2312" w:eastAsia="仿宋_GB2312"/>
                <w:sz w:val="28"/>
              </w:rPr>
              <w:t>图名、图例、区位图、风玫瑰图、比例尺、指北针是否齐全。</w:t>
            </w:r>
          </w:p>
          <w:p>
            <w:pPr>
              <w:pStyle w:val="null3"/>
              <w:ind w:firstLine="560"/>
              <w:jc w:val="both"/>
            </w:pPr>
            <w:r>
              <w:rPr>
                <w:rFonts w:ascii="仿宋_GB2312" w:hAnsi="仿宋_GB2312" w:cs="仿宋_GB2312" w:eastAsia="仿宋_GB2312"/>
                <w:sz w:val="28"/>
              </w:rPr>
              <w:t>核实比例尺、尺寸是否准确。</w:t>
            </w:r>
          </w:p>
          <w:p>
            <w:pPr>
              <w:pStyle w:val="null3"/>
              <w:ind w:firstLine="560"/>
              <w:jc w:val="both"/>
            </w:pPr>
            <w:r>
              <w:rPr>
                <w:rFonts w:ascii="仿宋_GB2312" w:hAnsi="仿宋_GB2312" w:cs="仿宋_GB2312" w:eastAsia="仿宋_GB2312"/>
                <w:sz w:val="28"/>
              </w:rPr>
              <w:t>单体表达：标注正负零标高、坐标点、建筑高度、消防高度、建筑外轮廓表达。</w:t>
            </w:r>
          </w:p>
          <w:p>
            <w:pPr>
              <w:pStyle w:val="null3"/>
              <w:ind w:firstLine="560"/>
              <w:jc w:val="both"/>
            </w:pPr>
            <w:r>
              <w:rPr>
                <w:rFonts w:ascii="仿宋_GB2312" w:hAnsi="仿宋_GB2312" w:cs="仿宋_GB2312" w:eastAsia="仿宋_GB2312"/>
                <w:sz w:val="28"/>
              </w:rPr>
              <w:t>单体平面布局，是否符合建筑性质</w:t>
            </w:r>
          </w:p>
          <w:p>
            <w:pPr>
              <w:pStyle w:val="null3"/>
              <w:ind w:firstLine="560"/>
              <w:jc w:val="both"/>
            </w:pPr>
            <w:r>
              <w:rPr>
                <w:rFonts w:ascii="仿宋_GB2312" w:hAnsi="仿宋_GB2312" w:cs="仿宋_GB2312" w:eastAsia="仿宋_GB2312"/>
                <w:sz w:val="28"/>
              </w:rPr>
              <w:t>单体立面，是否与平面剖面图相对应，是否与效果图一致</w:t>
            </w:r>
          </w:p>
          <w:p>
            <w:pPr>
              <w:pStyle w:val="null3"/>
              <w:ind w:firstLine="560"/>
              <w:jc w:val="both"/>
            </w:pPr>
            <w:r>
              <w:rPr>
                <w:rFonts w:ascii="仿宋_GB2312" w:hAnsi="仿宋_GB2312" w:cs="仿宋_GB2312" w:eastAsia="仿宋_GB2312"/>
                <w:sz w:val="28"/>
              </w:rPr>
              <w:t>2、建设工程设计方案日照审查工作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1）标准与依据核查核查</w:t>
            </w:r>
          </w:p>
          <w:p>
            <w:pPr>
              <w:pStyle w:val="null3"/>
              <w:ind w:firstLine="560"/>
              <w:jc w:val="both"/>
            </w:pPr>
            <w:r>
              <w:rPr>
                <w:rFonts w:ascii="仿宋_GB2312" w:hAnsi="仿宋_GB2312" w:cs="仿宋_GB2312" w:eastAsia="仿宋_GB2312"/>
                <w:sz w:val="28"/>
              </w:rPr>
              <w:t>日照分析是否符合《城市居住区规划设计标准》（</w:t>
            </w:r>
            <w:r>
              <w:rPr>
                <w:rFonts w:ascii="仿宋_GB2312" w:hAnsi="仿宋_GB2312" w:cs="仿宋_GB2312" w:eastAsia="仿宋_GB2312"/>
                <w:sz w:val="28"/>
              </w:rPr>
              <w:t>GB50180-2018）、《建筑日照计算参数标准》（GB/T50947-2014）及西安市现行日照管理规定。</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2）软件与参数核查</w:t>
            </w:r>
          </w:p>
          <w:p>
            <w:pPr>
              <w:pStyle w:val="null3"/>
              <w:ind w:firstLine="560"/>
              <w:jc w:val="both"/>
            </w:pPr>
            <w:r>
              <w:rPr>
                <w:rFonts w:ascii="仿宋_GB2312" w:hAnsi="仿宋_GB2312" w:cs="仿宋_GB2312" w:eastAsia="仿宋_GB2312"/>
                <w:sz w:val="28"/>
              </w:rPr>
              <w:t>是否采用住建部认证、西安市指定的日照分析软件（洛阳众智</w:t>
            </w:r>
            <w:r>
              <w:rPr>
                <w:rFonts w:ascii="仿宋_GB2312" w:hAnsi="仿宋_GB2312" w:cs="仿宋_GB2312" w:eastAsia="仿宋_GB2312"/>
                <w:sz w:val="28"/>
              </w:rPr>
              <w:t>SUN 等）；核对基准年、太阳时、计算时段、采样间隔、计算基准面、建筑建模精度等关键参数是否合规。</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3）分析范围与建模核查</w:t>
            </w:r>
          </w:p>
          <w:p>
            <w:pPr>
              <w:pStyle w:val="null3"/>
              <w:ind w:firstLine="560"/>
              <w:jc w:val="both"/>
            </w:pPr>
            <w:r>
              <w:rPr>
                <w:rFonts w:ascii="仿宋_GB2312" w:hAnsi="仿宋_GB2312" w:cs="仿宋_GB2312" w:eastAsia="仿宋_GB2312"/>
                <w:sz w:val="28"/>
              </w:rPr>
              <w:t>核查日照影响范围是否完整：拟建建筑北侧按高度</w:t>
            </w:r>
            <w:r>
              <w:rPr>
                <w:rFonts w:ascii="仿宋_GB2312" w:hAnsi="仿宋_GB2312" w:cs="仿宋_GB2312" w:eastAsia="仿宋_GB2312"/>
                <w:sz w:val="28"/>
              </w:rPr>
              <w:t>1.35倍、南侧按1.35倍划定影响区；周边现状建筑、已批未建项目、地形、构筑物及屋顶附属设施（电梯机房、水箱间等）是否全部纳入建模与叠加分析。</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4）客体建筑日照核查</w:t>
            </w:r>
          </w:p>
          <w:p>
            <w:pPr>
              <w:pStyle w:val="null3"/>
              <w:ind w:firstLine="560"/>
              <w:jc w:val="both"/>
            </w:pPr>
            <w:r>
              <w:rPr>
                <w:rFonts w:ascii="仿宋_GB2312" w:hAnsi="仿宋_GB2312" w:cs="仿宋_GB2312" w:eastAsia="仿宋_GB2312"/>
                <w:sz w:val="28"/>
              </w:rPr>
              <w:t>对范围内住宅及有日照要求的公共建筑，逐栋、逐户、逐窗核查。</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5）报告成果完整性核查核查</w:t>
            </w:r>
          </w:p>
          <w:p>
            <w:pPr>
              <w:pStyle w:val="null3"/>
              <w:ind w:firstLine="560"/>
              <w:jc w:val="both"/>
            </w:pPr>
            <w:r>
              <w:rPr>
                <w:rFonts w:ascii="仿宋_GB2312" w:hAnsi="仿宋_GB2312" w:cs="仿宋_GB2312" w:eastAsia="仿宋_GB2312"/>
                <w:sz w:val="28"/>
              </w:rPr>
              <w:t>日照分析报告是否包含：编制单位资质、软件信息、参数说明、现状与规划建筑资料、日照阴影图、沿线</w:t>
            </w:r>
            <w:r>
              <w:rPr>
                <w:rFonts w:ascii="仿宋_GB2312" w:hAnsi="仿宋_GB2312" w:cs="仿宋_GB2312" w:eastAsia="仿宋_GB2312"/>
                <w:sz w:val="28"/>
              </w:rPr>
              <w:t>/ 窗户分析图、日照时间表、不达标统计表、结论与建议；纸质与电子文件齐全、签章规范。</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8"/>
                <w:b/>
              </w:rPr>
              <w:t>商务要求</w:t>
            </w:r>
          </w:p>
          <w:p>
            <w:pPr>
              <w:pStyle w:val="null3"/>
              <w:ind w:firstLine="480"/>
              <w:jc w:val="both"/>
            </w:pPr>
            <w:r>
              <w:rPr>
                <w:rFonts w:ascii="仿宋_GB2312" w:hAnsi="仿宋_GB2312" w:cs="仿宋_GB2312" w:eastAsia="仿宋_GB2312"/>
                <w:sz w:val="28"/>
              </w:rPr>
              <w:t>1、服务期：自合同签订之日起365日。</w:t>
            </w:r>
          </w:p>
          <w:p>
            <w:pPr>
              <w:pStyle w:val="null3"/>
              <w:ind w:firstLine="480"/>
              <w:jc w:val="both"/>
            </w:pPr>
            <w:r>
              <w:rPr>
                <w:rFonts w:ascii="仿宋_GB2312" w:hAnsi="仿宋_GB2312" w:cs="仿宋_GB2312" w:eastAsia="仿宋_GB2312"/>
                <w:sz w:val="28"/>
              </w:rPr>
              <w:t>2、服务地点：采购人指定地点</w:t>
            </w:r>
          </w:p>
          <w:p>
            <w:pPr>
              <w:pStyle w:val="null3"/>
              <w:ind w:firstLine="480"/>
              <w:jc w:val="both"/>
            </w:pPr>
            <w:r>
              <w:rPr>
                <w:rFonts w:ascii="仿宋_GB2312" w:hAnsi="仿宋_GB2312" w:cs="仿宋_GB2312" w:eastAsia="仿宋_GB2312"/>
                <w:sz w:val="28"/>
              </w:rPr>
              <w:t>3、付款方式：</w:t>
            </w:r>
            <w:r>
              <w:rPr>
                <w:rFonts w:ascii="仿宋_GB2312" w:hAnsi="仿宋_GB2312" w:cs="仿宋_GB2312" w:eastAsia="仿宋_GB2312"/>
                <w:sz w:val="28"/>
              </w:rPr>
              <w:t>项目进度完成至</w:t>
            </w:r>
            <w:r>
              <w:rPr>
                <w:rFonts w:ascii="仿宋_GB2312" w:hAnsi="仿宋_GB2312" w:cs="仿宋_GB2312" w:eastAsia="仿宋_GB2312"/>
                <w:sz w:val="28"/>
              </w:rPr>
              <w:t>50%并提供完整的技术成果文件</w:t>
            </w:r>
            <w:r>
              <w:rPr>
                <w:rFonts w:ascii="仿宋_GB2312" w:hAnsi="仿宋_GB2312" w:cs="仿宋_GB2312" w:eastAsia="仿宋_GB2312"/>
                <w:sz w:val="28"/>
              </w:rPr>
              <w:t>后，达到付款条件起</w:t>
            </w:r>
            <w:r>
              <w:rPr>
                <w:rFonts w:ascii="仿宋_GB2312" w:hAnsi="仿宋_GB2312" w:cs="仿宋_GB2312" w:eastAsia="仿宋_GB2312"/>
                <w:sz w:val="28"/>
              </w:rPr>
              <w:t>30日内，支付合同总金额的</w:t>
            </w:r>
            <w:r>
              <w:rPr>
                <w:rFonts w:ascii="仿宋_GB2312" w:hAnsi="仿宋_GB2312" w:cs="仿宋_GB2312" w:eastAsia="仿宋_GB2312"/>
                <w:sz w:val="28"/>
              </w:rPr>
              <w:t>5</w:t>
            </w:r>
            <w:r>
              <w:rPr>
                <w:rFonts w:ascii="仿宋_GB2312" w:hAnsi="仿宋_GB2312" w:cs="仿宋_GB2312" w:eastAsia="仿宋_GB2312"/>
                <w:sz w:val="28"/>
              </w:rPr>
              <w:t>0%；项目</w:t>
            </w:r>
            <w:r>
              <w:rPr>
                <w:rFonts w:ascii="仿宋_GB2312" w:hAnsi="仿宋_GB2312" w:cs="仿宋_GB2312" w:eastAsia="仿宋_GB2312"/>
                <w:sz w:val="28"/>
              </w:rPr>
              <w:t>完成至</w:t>
            </w:r>
            <w:r>
              <w:rPr>
                <w:rFonts w:ascii="仿宋_GB2312" w:hAnsi="仿宋_GB2312" w:cs="仿宋_GB2312" w:eastAsia="仿宋_GB2312"/>
                <w:sz w:val="28"/>
              </w:rPr>
              <w:t>100%并提供完整的技术成果文件后，</w:t>
            </w:r>
            <w:r>
              <w:rPr>
                <w:rFonts w:ascii="仿宋_GB2312" w:hAnsi="仿宋_GB2312" w:cs="仿宋_GB2312" w:eastAsia="仿宋_GB2312"/>
                <w:sz w:val="28"/>
              </w:rPr>
              <w:t>达到付款条件起</w:t>
            </w:r>
            <w:r>
              <w:rPr>
                <w:rFonts w:ascii="仿宋_GB2312" w:hAnsi="仿宋_GB2312" w:cs="仿宋_GB2312" w:eastAsia="仿宋_GB2312"/>
                <w:sz w:val="28"/>
              </w:rPr>
              <w:t>30日内，支付合同总金额的</w:t>
            </w:r>
            <w:r>
              <w:rPr>
                <w:rFonts w:ascii="仿宋_GB2312" w:hAnsi="仿宋_GB2312" w:cs="仿宋_GB2312" w:eastAsia="仿宋_GB2312"/>
                <w:sz w:val="28"/>
              </w:rPr>
              <w:t>5</w:t>
            </w:r>
            <w:r>
              <w:rPr>
                <w:rFonts w:ascii="仿宋_GB2312" w:hAnsi="仿宋_GB2312" w:cs="仿宋_GB2312" w:eastAsia="仿宋_GB2312"/>
                <w:sz w:val="28"/>
              </w:rPr>
              <w:t>0%</w:t>
            </w:r>
            <w:r>
              <w:rPr>
                <w:rFonts w:ascii="仿宋_GB2312" w:hAnsi="仿宋_GB2312" w:cs="仿宋_GB2312" w:eastAsia="仿宋_GB2312"/>
                <w:sz w:val="28"/>
              </w:rPr>
              <w:t>。</w:t>
            </w:r>
          </w:p>
          <w:p>
            <w:pPr>
              <w:pStyle w:val="null3"/>
              <w:ind w:firstLine="480"/>
              <w:jc w:val="both"/>
            </w:pPr>
            <w:r>
              <w:rPr>
                <w:rFonts w:ascii="仿宋_GB2312" w:hAnsi="仿宋_GB2312" w:cs="仿宋_GB2312" w:eastAsia="仿宋_GB2312"/>
                <w:sz w:val="28"/>
              </w:rPr>
              <w:t>4、服务质量：合格。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满足本次采购需求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满足本次采购需求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满足本次采购需求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进度款，项目进度完成至50%并提供完整的技术成果文件后，达到付款条件起30个工作日内，支付合同总金额的50.0%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进度款，项目完成至100%并提供完整的技术成果文件后，达到付款条件起30个工作日内，支付合同总金额的50.0%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甲乙双方均应认真履行本协议所约定的职责，对执行协议中发生的问题，任何一方违约而造成本协议不能继续履行或其他严重后果，违约方须承担责任并赔偿受害方的经济损失。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如有分项报价，所有分项报价（与最后磋商报价比例一致）同比例下浮。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提供2026年至今已缴纳的1个月的纳税证明或完税证明，依法免税的单位应提供相关证明材料。供应商需在项目电子化交易系统中按要求上传相应证明文件并进行电子签章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供应商须具备城乡规划编制乙级及以上资质。供应商需在项目电子化交易系统中按要求上传相应证明文件并进行电子签章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拟派项目负责人须具备注册城乡规划师证书。供应商需在项目电子化交易系统中按要求上传相应证明文件并进行电子签章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法定代表人直接参加投标的，须出具法定代表人身份证；法定代表人授权代表参加投标的，须出具法定代表人授权书及授权代表身份证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本项目不接受联合体投标（提供非联合体声明函）。供应商需在项目电子化交易系统中按要求上传相应证明文件并进行电子签章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响应文件封面 供应商认为有必要补充说明的事项.docx 中小企业声明函 残疾人福利性单位声明函 商务应答表 服务方案 供应商应提交的相关资格证明材料 服务内容及服务要求应答表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响应文件封面 供应商认为有必要补充说明的事项.docx 中小企业声明函 残疾人福利性单位声明函 商务应答表 服务方案 供应商应提交的相关资格证明材料 服务内容及服务要求应答表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响应文件封面 供应商认为有必要补充说明的事项.docx 中小企业声明函 残疾人福利性单位声明函 商务应答表 服务方案 供应商应提交的相关资格证明材料 服务内容及服务要求应答表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供应商认为有必要补充说明的事项.docx 中小企业声明函 残疾人福利性单位声明函 商务应答表 服务方案 供应商应提交的相关资格证明材料 服务内容及服务要求应答表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供应商认为有必要补充说明的事项.docx 中小企业声明函 残疾人福利性单位声明函 商务应答表 服务方案 供应商应提交的相关资格证明材料 服务内容及服务要求应答表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响应文件封面 供应商认为有必要补充说明的事项.docx 中小企业声明函 残疾人福利性单位声明函 商务应答表 服务方案 供应商应提交的相关资格证明材料 服务内容及服务要求应答表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响应文件封面 供应商认为有必要补充说明的事项.docx 中小企业声明函 残疾人福利性单位声明函 商务应答表 服务方案 供应商应提交的相关资格证明材料 服务内容及服务要求应答表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响应文件封面 供应商认为有必要补充说明的事项.docx 中小企业声明函 残疾人福利性单位声明函 商务应答表 服务方案 供应商应提交的相关资格证明材料 服务内容及服务要求应答表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 供应商认为有必要补充说明的事项.docx 中小企业声明函 残疾人福利性单位声明函 商务应答表 服务方案 供应商应提交的相关资格证明材料 服务内容及服务要求应答表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评审内容：①项目需求分析理解；②总体框架及目标；③实施思路及方法；④服务理念及特色。 评审依据：每一项内容描述详细，切实可行符合项目实际内容得4.0分，①～④项合计得16分。内容①～④项任意一项缺项扣4.0分，扣完为止；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评审内容：①应急组织机构②应急响应流程③作业过程中突发状况的应急处理方案④应急保障措施。评审依据：每一项内容描述详细，切实可行符合项目实际内容得4.0分，①～④项合计得16分。内容①～④项任意一项缺项扣4.0分，扣完为止；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项目组织</w:t>
            </w:r>
          </w:p>
        </w:tc>
        <w:tc>
          <w:tcPr>
            <w:tcW w:type="dxa" w:w="2492"/>
          </w:tcPr>
          <w:p>
            <w:pPr>
              <w:pStyle w:val="null3"/>
            </w:pPr>
            <w:r>
              <w:rPr>
                <w:rFonts w:ascii="仿宋_GB2312" w:hAnsi="仿宋_GB2312" w:cs="仿宋_GB2312" w:eastAsia="仿宋_GB2312"/>
              </w:rPr>
              <w:t>评审内容：①提供组织框架；②人员保障措施；③拟投入硬件设施情况。 评审依据：每一项内容描述详细，切实可行符合项目实际内容得4.0分，①～③项合计得12分。内容①～③项任意一项缺项扣4.0分，扣完为止；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工作制度及内控制度</w:t>
            </w:r>
          </w:p>
        </w:tc>
        <w:tc>
          <w:tcPr>
            <w:tcW w:type="dxa" w:w="2492"/>
          </w:tcPr>
          <w:p>
            <w:pPr>
              <w:pStyle w:val="null3"/>
            </w:pPr>
            <w:r>
              <w:rPr>
                <w:rFonts w:ascii="仿宋_GB2312" w:hAnsi="仿宋_GB2312" w:cs="仿宋_GB2312" w:eastAsia="仿宋_GB2312"/>
              </w:rPr>
              <w:t>评审内容：①工作制度；②内控制度；③档案管理制度。评审依据：每一项内容描述详细，切实可行符合项目实际内容得4.0分，①～③项合计得12分。内容①～②项任意一项缺项扣4.0分，扣完为止；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工作进度保障</w:t>
            </w:r>
          </w:p>
        </w:tc>
        <w:tc>
          <w:tcPr>
            <w:tcW w:type="dxa" w:w="2492"/>
          </w:tcPr>
          <w:p>
            <w:pPr>
              <w:pStyle w:val="null3"/>
            </w:pPr>
            <w:r>
              <w:rPr>
                <w:rFonts w:ascii="仿宋_GB2312" w:hAnsi="仿宋_GB2312" w:cs="仿宋_GB2312" w:eastAsia="仿宋_GB2312"/>
              </w:rPr>
              <w:t>评审内容：①工作进度计划安排；②工作进度计划保障措施。评审依据：每一项内容描述详细，切实可行符合项目实际内容得4.0分，①～②项合计得8分。内容①～②项任意一项缺项扣4.0分，扣完为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重、难点分析的对策措施</w:t>
            </w:r>
          </w:p>
        </w:tc>
        <w:tc>
          <w:tcPr>
            <w:tcW w:type="dxa" w:w="2492"/>
          </w:tcPr>
          <w:p>
            <w:pPr>
              <w:pStyle w:val="null3"/>
            </w:pPr>
            <w:r>
              <w:rPr>
                <w:rFonts w:ascii="仿宋_GB2312" w:hAnsi="仿宋_GB2312" w:cs="仿宋_GB2312" w:eastAsia="仿宋_GB2312"/>
              </w:rPr>
              <w:t>评审内容：①对本项目的重点、难点进行分析；②对本项目重点、难点的应对措施。评审依据：每一项内容描述详细，切实可行符合项目实际内容得4.0分，①～②项合计得8分。内容①～②项任意一项缺项扣4.0分，扣完为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服务承诺及保密措施</w:t>
            </w:r>
          </w:p>
        </w:tc>
        <w:tc>
          <w:tcPr>
            <w:tcW w:type="dxa" w:w="2492"/>
          </w:tcPr>
          <w:p>
            <w:pPr>
              <w:pStyle w:val="null3"/>
            </w:pPr>
            <w:r>
              <w:rPr>
                <w:rFonts w:ascii="仿宋_GB2312" w:hAnsi="仿宋_GB2312" w:cs="仿宋_GB2312" w:eastAsia="仿宋_GB2312"/>
              </w:rPr>
              <w:t>评审内容：①服务承诺；②保密措施。评审依据：每一项内容描述详细，切实可行符合项目实际内容得4.0分，①～②项合计得8分。内容①～②项任意一项缺项扣4.0分，扣完为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服务保证及风险控制</w:t>
            </w:r>
          </w:p>
        </w:tc>
        <w:tc>
          <w:tcPr>
            <w:tcW w:type="dxa" w:w="2492"/>
          </w:tcPr>
          <w:p>
            <w:pPr>
              <w:pStyle w:val="null3"/>
            </w:pPr>
            <w:r>
              <w:rPr>
                <w:rFonts w:ascii="仿宋_GB2312" w:hAnsi="仿宋_GB2312" w:cs="仿宋_GB2312" w:eastAsia="仿宋_GB2312"/>
              </w:rPr>
              <w:t>评审内容：①质量保证措施；②风险控制措施。评审依据：每一项内容描述详细，切实可行符合项目实际内容得3.0分，①～②项合计得6分。内容①～②项任意一项缺项扣3.0分，扣完为止；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依据：内容描述详细，切实可行符合项目实际内容得4分。内容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采用低价优先法计算，即满足磋商文件要求且投标价格最低的投标报价为评标基准价，其价格分为满分。 对符合政策性扣减的供应商的有效投标价格进行政策性扣减，并依据扣减后的价格（评审价格）进行价格评审。 投标报价得分＝（评标基准价/投标报价）×10% ×100 备注：当磋商小组认为某个供应商的报价明显低于其他通过符合性审查供应商的报价，有可能影响产品质量和不能诚信履约的，应要求该供应商在评标现场合理的时间内提供书面说明，必要时提交相关证明材料；供应商不能证明其报价合理的，磋商小组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