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23BDD3">
      <w:pPr>
        <w:pStyle w:val="4"/>
        <w:ind w:firstLine="500"/>
        <w:jc w:val="both"/>
      </w:pPr>
      <w:r>
        <w:rPr>
          <w:rFonts w:ascii="仿宋_GB2312" w:hAnsi="仿宋_GB2312" w:eastAsia="仿宋_GB2312" w:cs="仿宋_GB2312"/>
          <w:b/>
          <w:color w:val="000000"/>
          <w:sz w:val="28"/>
        </w:rPr>
        <w:t>一、项目概况</w:t>
      </w:r>
    </w:p>
    <w:p w14:paraId="351495B8">
      <w:pPr>
        <w:pStyle w:val="4"/>
      </w:pPr>
      <w:r>
        <w:rPr>
          <w:rFonts w:ascii="仿宋_GB2312" w:hAnsi="仿宋_GB2312" w:eastAsia="仿宋_GB2312" w:cs="仿宋_GB2312"/>
          <w:color w:val="000000"/>
          <w:sz w:val="28"/>
        </w:rPr>
        <w:t>为保障西安市不动产档案管理中心计算机（含外设）及应用软件正常运行，保障对内、对外信息网络通信畅通，推动各项业务工作安全平稳开展，计划采取招投标方式选定具备专业技术实力与同类服务经验的运维服务供应商，负责中心硬件设备、软件支撑系统的运维保障相关工作。</w:t>
      </w:r>
    </w:p>
    <w:p w14:paraId="04EAFB89">
      <w:pPr>
        <w:pStyle w:val="4"/>
        <w:ind w:firstLine="500"/>
        <w:jc w:val="both"/>
      </w:pPr>
      <w:r>
        <w:rPr>
          <w:rFonts w:ascii="仿宋_GB2312" w:hAnsi="仿宋_GB2312" w:eastAsia="仿宋_GB2312" w:cs="仿宋_GB2312"/>
          <w:b/>
          <w:color w:val="000000"/>
          <w:sz w:val="28"/>
        </w:rPr>
        <w:t>二、服务内容（包括工作区域、工作内容等）</w:t>
      </w:r>
    </w:p>
    <w:p w14:paraId="22E908CD">
      <w:pPr>
        <w:pStyle w:val="4"/>
        <w:jc w:val="left"/>
      </w:pPr>
      <w:r>
        <w:rPr>
          <w:rFonts w:ascii="仿宋_GB2312" w:hAnsi="仿宋_GB2312" w:eastAsia="仿宋_GB2312" w:cs="仿宋_GB2312"/>
          <w:color w:val="000000"/>
          <w:sz w:val="28"/>
        </w:rPr>
        <w:t>服务内容包括浐灞大厅所有不动产终端、外设、大厅设备运行维护服务和数据处理、信息采集、硬件设备质保维修服务。</w:t>
      </w:r>
    </w:p>
    <w:p w14:paraId="5778A110">
      <w:pPr>
        <w:pStyle w:val="4"/>
        <w:ind w:firstLine="2828"/>
        <w:jc w:val="both"/>
      </w:pPr>
      <w:r>
        <w:rPr>
          <w:rFonts w:ascii="仿宋_GB2312" w:hAnsi="仿宋_GB2312" w:eastAsia="仿宋_GB2312" w:cs="仿宋_GB2312"/>
          <w:b/>
          <w:color w:val="000000"/>
          <w:sz w:val="28"/>
        </w:rPr>
        <w:t>服务大厅设备统计表</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028"/>
        <w:gridCol w:w="1595"/>
        <w:gridCol w:w="2400"/>
        <w:gridCol w:w="1577"/>
        <w:gridCol w:w="1580"/>
      </w:tblGrid>
      <w:tr w14:paraId="3607C9C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8180" w:type="dxa"/>
            <w:gridSpan w:val="5"/>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964E3D6">
            <w:pPr>
              <w:pStyle w:val="4"/>
              <w:ind w:firstLine="480"/>
            </w:pPr>
            <w:bookmarkStart w:id="0" w:name="_GoBack"/>
            <w:r>
              <w:rPr>
                <w:rFonts w:ascii="仿宋_GB2312" w:hAnsi="仿宋_GB2312" w:eastAsia="仿宋_GB2312" w:cs="仿宋_GB2312"/>
                <w:b/>
                <w:color w:val="000000"/>
                <w:sz w:val="24"/>
              </w:rPr>
              <w:t>浐灞服务大厅设备统计</w:t>
            </w:r>
          </w:p>
        </w:tc>
      </w:tr>
      <w:tr w14:paraId="19D022A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1028"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1629832">
            <w:pPr>
              <w:pStyle w:val="4"/>
              <w:jc w:val="left"/>
            </w:pPr>
            <w:r>
              <w:rPr>
                <w:rFonts w:ascii="仿宋_GB2312" w:hAnsi="仿宋_GB2312" w:eastAsia="仿宋_GB2312" w:cs="仿宋_GB2312"/>
                <w:color w:val="000000"/>
                <w:sz w:val="24"/>
              </w:rPr>
              <w:t>终端设备</w:t>
            </w:r>
          </w:p>
        </w:tc>
        <w:tc>
          <w:tcPr>
            <w:tcW w:w="1595"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AFB4A2A">
            <w:pPr>
              <w:pStyle w:val="4"/>
              <w:jc w:val="left"/>
            </w:pPr>
            <w:r>
              <w:rPr>
                <w:rFonts w:ascii="仿宋_GB2312" w:hAnsi="仿宋_GB2312" w:eastAsia="仿宋_GB2312" w:cs="仿宋_GB2312"/>
                <w:color w:val="000000"/>
                <w:sz w:val="24"/>
              </w:rPr>
              <w:t>计算机</w:t>
            </w:r>
          </w:p>
        </w:tc>
        <w:tc>
          <w:tcPr>
            <w:tcW w:w="240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92CFA25">
            <w:pPr>
              <w:pStyle w:val="4"/>
              <w:ind w:firstLine="480"/>
              <w:jc w:val="left"/>
            </w:pPr>
            <w:r>
              <w:rPr>
                <w:rFonts w:ascii="仿宋_GB2312" w:hAnsi="仿宋_GB2312" w:eastAsia="仿宋_GB2312" w:cs="仿宋_GB2312"/>
                <w:color w:val="000000"/>
                <w:sz w:val="24"/>
              </w:rPr>
              <w:t>120</w:t>
            </w:r>
          </w:p>
        </w:tc>
        <w:tc>
          <w:tcPr>
            <w:tcW w:w="1577"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71C46E0">
            <w:pPr>
              <w:pStyle w:val="4"/>
              <w:ind w:firstLine="240"/>
              <w:jc w:val="left"/>
            </w:pPr>
            <w:r>
              <w:rPr>
                <w:rFonts w:ascii="仿宋_GB2312" w:hAnsi="仿宋_GB2312" w:eastAsia="仿宋_GB2312" w:cs="仿宋_GB2312"/>
                <w:color w:val="000000"/>
                <w:sz w:val="24"/>
              </w:rPr>
              <w:t>台</w:t>
            </w:r>
          </w:p>
        </w:tc>
        <w:tc>
          <w:tcPr>
            <w:tcW w:w="158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2D44725">
            <w:pPr>
              <w:pStyle w:val="4"/>
              <w:ind w:firstLine="480"/>
            </w:pPr>
          </w:p>
        </w:tc>
      </w:tr>
      <w:tr w14:paraId="005BF2F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1028" w:type="dxa"/>
            <w:vMerge w:val="continue"/>
            <w:tcBorders>
              <w:top w:val="nil"/>
              <w:left w:val="single" w:color="000000" w:sz="4" w:space="0"/>
              <w:bottom w:val="single" w:color="000000" w:sz="4" w:space="0"/>
              <w:right w:val="single" w:color="000000" w:sz="4" w:space="0"/>
            </w:tcBorders>
          </w:tcPr>
          <w:p w14:paraId="5DB216BE"/>
        </w:tc>
        <w:tc>
          <w:tcPr>
            <w:tcW w:w="15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E9A3AF0">
            <w:pPr>
              <w:pStyle w:val="4"/>
              <w:jc w:val="left"/>
            </w:pPr>
            <w:r>
              <w:rPr>
                <w:rFonts w:ascii="仿宋_GB2312" w:hAnsi="仿宋_GB2312" w:eastAsia="仿宋_GB2312" w:cs="仿宋_GB2312"/>
                <w:color w:val="000000"/>
                <w:sz w:val="24"/>
              </w:rPr>
              <w:t>打印机</w:t>
            </w:r>
          </w:p>
        </w:tc>
        <w:tc>
          <w:tcPr>
            <w:tcW w:w="2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2FD944F">
            <w:pPr>
              <w:pStyle w:val="4"/>
              <w:ind w:firstLine="480"/>
              <w:jc w:val="left"/>
            </w:pPr>
            <w:r>
              <w:rPr>
                <w:rFonts w:ascii="仿宋_GB2312" w:hAnsi="仿宋_GB2312" w:eastAsia="仿宋_GB2312" w:cs="仿宋_GB2312"/>
                <w:color w:val="000000"/>
                <w:sz w:val="24"/>
              </w:rPr>
              <w:t>66</w:t>
            </w:r>
          </w:p>
        </w:tc>
        <w:tc>
          <w:tcPr>
            <w:tcW w:w="157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606FF10">
            <w:pPr>
              <w:pStyle w:val="4"/>
              <w:ind w:firstLine="240"/>
              <w:jc w:val="left"/>
            </w:pPr>
            <w:r>
              <w:rPr>
                <w:rFonts w:ascii="仿宋_GB2312" w:hAnsi="仿宋_GB2312" w:eastAsia="仿宋_GB2312" w:cs="仿宋_GB2312"/>
                <w:color w:val="000000"/>
                <w:sz w:val="24"/>
              </w:rPr>
              <w:t>台</w:t>
            </w:r>
          </w:p>
        </w:tc>
        <w:tc>
          <w:tcPr>
            <w:tcW w:w="158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F40659B">
            <w:pPr>
              <w:pStyle w:val="4"/>
              <w:ind w:firstLine="480"/>
            </w:pPr>
          </w:p>
        </w:tc>
      </w:tr>
      <w:tr w14:paraId="7EBB493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1028" w:type="dxa"/>
            <w:vMerge w:val="continue"/>
            <w:tcBorders>
              <w:top w:val="nil"/>
              <w:left w:val="single" w:color="000000" w:sz="4" w:space="0"/>
              <w:bottom w:val="single" w:color="000000" w:sz="4" w:space="0"/>
              <w:right w:val="single" w:color="000000" w:sz="4" w:space="0"/>
            </w:tcBorders>
          </w:tcPr>
          <w:p w14:paraId="3C6A24C9"/>
        </w:tc>
        <w:tc>
          <w:tcPr>
            <w:tcW w:w="15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A62F85F">
            <w:pPr>
              <w:pStyle w:val="4"/>
              <w:jc w:val="left"/>
            </w:pPr>
            <w:r>
              <w:rPr>
                <w:rFonts w:ascii="仿宋_GB2312" w:hAnsi="仿宋_GB2312" w:eastAsia="仿宋_GB2312" w:cs="仿宋_GB2312"/>
                <w:color w:val="000000"/>
                <w:sz w:val="24"/>
              </w:rPr>
              <w:t>复印机</w:t>
            </w:r>
          </w:p>
        </w:tc>
        <w:tc>
          <w:tcPr>
            <w:tcW w:w="2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3478734">
            <w:pPr>
              <w:pStyle w:val="4"/>
              <w:ind w:firstLine="480"/>
              <w:jc w:val="left"/>
            </w:pPr>
            <w:r>
              <w:rPr>
                <w:rFonts w:ascii="仿宋_GB2312" w:hAnsi="仿宋_GB2312" w:eastAsia="仿宋_GB2312" w:cs="仿宋_GB2312"/>
                <w:color w:val="000000"/>
                <w:sz w:val="24"/>
              </w:rPr>
              <w:t>4</w:t>
            </w:r>
          </w:p>
        </w:tc>
        <w:tc>
          <w:tcPr>
            <w:tcW w:w="157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5CDEB85">
            <w:pPr>
              <w:pStyle w:val="4"/>
              <w:ind w:firstLine="240"/>
              <w:jc w:val="left"/>
            </w:pPr>
            <w:r>
              <w:rPr>
                <w:rFonts w:ascii="仿宋_GB2312" w:hAnsi="仿宋_GB2312" w:eastAsia="仿宋_GB2312" w:cs="仿宋_GB2312"/>
                <w:color w:val="000000"/>
                <w:sz w:val="24"/>
              </w:rPr>
              <w:t>台</w:t>
            </w:r>
          </w:p>
        </w:tc>
        <w:tc>
          <w:tcPr>
            <w:tcW w:w="158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954478B">
            <w:pPr>
              <w:pStyle w:val="4"/>
              <w:ind w:firstLine="480"/>
            </w:pPr>
          </w:p>
        </w:tc>
      </w:tr>
      <w:tr w14:paraId="7CB164F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1028" w:type="dxa"/>
            <w:vMerge w:val="continue"/>
            <w:tcBorders>
              <w:top w:val="nil"/>
              <w:left w:val="single" w:color="000000" w:sz="4" w:space="0"/>
              <w:bottom w:val="single" w:color="000000" w:sz="4" w:space="0"/>
              <w:right w:val="single" w:color="000000" w:sz="4" w:space="0"/>
            </w:tcBorders>
          </w:tcPr>
          <w:p w14:paraId="57653F84"/>
        </w:tc>
        <w:tc>
          <w:tcPr>
            <w:tcW w:w="15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934007F">
            <w:pPr>
              <w:pStyle w:val="4"/>
              <w:jc w:val="left"/>
            </w:pPr>
            <w:r>
              <w:rPr>
                <w:rFonts w:ascii="仿宋_GB2312" w:hAnsi="仿宋_GB2312" w:eastAsia="仿宋_GB2312" w:cs="仿宋_GB2312"/>
                <w:color w:val="000000"/>
                <w:sz w:val="24"/>
              </w:rPr>
              <w:t>扫描仪</w:t>
            </w:r>
          </w:p>
        </w:tc>
        <w:tc>
          <w:tcPr>
            <w:tcW w:w="2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E34F032">
            <w:pPr>
              <w:pStyle w:val="4"/>
              <w:ind w:firstLine="480"/>
              <w:jc w:val="left"/>
            </w:pPr>
            <w:r>
              <w:rPr>
                <w:rFonts w:ascii="仿宋_GB2312" w:hAnsi="仿宋_GB2312" w:eastAsia="仿宋_GB2312" w:cs="仿宋_GB2312"/>
                <w:color w:val="000000"/>
                <w:sz w:val="24"/>
              </w:rPr>
              <w:t>10</w:t>
            </w:r>
          </w:p>
        </w:tc>
        <w:tc>
          <w:tcPr>
            <w:tcW w:w="157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29BE039">
            <w:pPr>
              <w:pStyle w:val="4"/>
              <w:ind w:firstLine="240"/>
              <w:jc w:val="left"/>
            </w:pPr>
            <w:r>
              <w:rPr>
                <w:rFonts w:ascii="仿宋_GB2312" w:hAnsi="仿宋_GB2312" w:eastAsia="仿宋_GB2312" w:cs="仿宋_GB2312"/>
                <w:color w:val="000000"/>
                <w:sz w:val="24"/>
              </w:rPr>
              <w:t>台</w:t>
            </w:r>
          </w:p>
        </w:tc>
        <w:tc>
          <w:tcPr>
            <w:tcW w:w="158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AB14961">
            <w:pPr>
              <w:pStyle w:val="4"/>
              <w:ind w:firstLine="480"/>
            </w:pPr>
          </w:p>
        </w:tc>
      </w:tr>
      <w:tr w14:paraId="41335A0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1028" w:type="dxa"/>
            <w:vMerge w:val="continue"/>
            <w:tcBorders>
              <w:top w:val="nil"/>
              <w:left w:val="single" w:color="000000" w:sz="4" w:space="0"/>
              <w:bottom w:val="single" w:color="000000" w:sz="4" w:space="0"/>
              <w:right w:val="single" w:color="000000" w:sz="4" w:space="0"/>
            </w:tcBorders>
          </w:tcPr>
          <w:p w14:paraId="70E68DFA"/>
        </w:tc>
        <w:tc>
          <w:tcPr>
            <w:tcW w:w="15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4A7476C">
            <w:pPr>
              <w:pStyle w:val="4"/>
              <w:jc w:val="left"/>
            </w:pPr>
            <w:r>
              <w:rPr>
                <w:rFonts w:ascii="仿宋_GB2312" w:hAnsi="仿宋_GB2312" w:eastAsia="仿宋_GB2312" w:cs="仿宋_GB2312"/>
                <w:color w:val="000000"/>
                <w:sz w:val="24"/>
              </w:rPr>
              <w:t>高拍仪</w:t>
            </w:r>
          </w:p>
        </w:tc>
        <w:tc>
          <w:tcPr>
            <w:tcW w:w="2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0605041">
            <w:pPr>
              <w:pStyle w:val="4"/>
              <w:ind w:firstLine="480"/>
              <w:jc w:val="left"/>
            </w:pPr>
            <w:r>
              <w:rPr>
                <w:rFonts w:ascii="仿宋_GB2312" w:hAnsi="仿宋_GB2312" w:eastAsia="仿宋_GB2312" w:cs="仿宋_GB2312"/>
                <w:color w:val="000000"/>
                <w:sz w:val="24"/>
              </w:rPr>
              <w:t>7</w:t>
            </w:r>
          </w:p>
        </w:tc>
        <w:tc>
          <w:tcPr>
            <w:tcW w:w="157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E1C3DCF">
            <w:pPr>
              <w:pStyle w:val="4"/>
              <w:ind w:firstLine="240"/>
              <w:jc w:val="left"/>
            </w:pPr>
            <w:r>
              <w:rPr>
                <w:rFonts w:ascii="仿宋_GB2312" w:hAnsi="仿宋_GB2312" w:eastAsia="仿宋_GB2312" w:cs="仿宋_GB2312"/>
                <w:color w:val="000000"/>
                <w:sz w:val="24"/>
              </w:rPr>
              <w:t>台</w:t>
            </w:r>
          </w:p>
        </w:tc>
        <w:tc>
          <w:tcPr>
            <w:tcW w:w="158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B53378E">
            <w:pPr>
              <w:pStyle w:val="4"/>
              <w:ind w:firstLine="480"/>
            </w:pPr>
          </w:p>
        </w:tc>
      </w:tr>
      <w:tr w14:paraId="5EDE9FA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4036" w:hRule="atLeast"/>
        </w:trPr>
        <w:tc>
          <w:tcPr>
            <w:tcW w:w="1028"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404698A">
            <w:pPr>
              <w:pStyle w:val="4"/>
              <w:jc w:val="left"/>
            </w:pPr>
            <w:r>
              <w:rPr>
                <w:rFonts w:ascii="仿宋_GB2312" w:hAnsi="仿宋_GB2312" w:eastAsia="仿宋_GB2312" w:cs="仿宋_GB2312"/>
                <w:color w:val="000000"/>
                <w:sz w:val="24"/>
              </w:rPr>
              <w:t>大厅设备</w:t>
            </w:r>
          </w:p>
        </w:tc>
        <w:tc>
          <w:tcPr>
            <w:tcW w:w="15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84A44DA">
            <w:pPr>
              <w:pStyle w:val="4"/>
              <w:jc w:val="left"/>
            </w:pPr>
            <w:r>
              <w:rPr>
                <w:rFonts w:ascii="仿宋_GB2312" w:hAnsi="仿宋_GB2312" w:eastAsia="仿宋_GB2312" w:cs="仿宋_GB2312"/>
                <w:color w:val="000000"/>
                <w:sz w:val="24"/>
              </w:rPr>
              <w:t>排队叫号设备</w:t>
            </w:r>
          </w:p>
        </w:tc>
        <w:tc>
          <w:tcPr>
            <w:tcW w:w="2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4170730">
            <w:pPr>
              <w:pStyle w:val="4"/>
              <w:ind w:firstLine="480"/>
              <w:jc w:val="left"/>
            </w:pPr>
            <w:r>
              <w:rPr>
                <w:rFonts w:ascii="仿宋_GB2312" w:hAnsi="仿宋_GB2312" w:eastAsia="仿宋_GB2312" w:cs="仿宋_GB2312"/>
                <w:color w:val="000000"/>
                <w:sz w:val="24"/>
              </w:rPr>
              <w:t>1</w:t>
            </w:r>
          </w:p>
        </w:tc>
        <w:tc>
          <w:tcPr>
            <w:tcW w:w="157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0CFF4DD">
            <w:pPr>
              <w:pStyle w:val="4"/>
              <w:ind w:firstLine="240"/>
              <w:jc w:val="both"/>
            </w:pPr>
            <w:r>
              <w:rPr>
                <w:rFonts w:ascii="仿宋_GB2312" w:hAnsi="仿宋_GB2312" w:eastAsia="仿宋_GB2312" w:cs="仿宋_GB2312"/>
                <w:color w:val="000000"/>
                <w:sz w:val="24"/>
              </w:rPr>
              <w:t>项</w:t>
            </w:r>
          </w:p>
        </w:tc>
        <w:tc>
          <w:tcPr>
            <w:tcW w:w="158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896C44">
            <w:pPr>
              <w:pStyle w:val="4"/>
              <w:jc w:val="left"/>
            </w:pPr>
            <w:r>
              <w:rPr>
                <w:rFonts w:ascii="仿宋_GB2312" w:hAnsi="仿宋_GB2312" w:eastAsia="仿宋_GB2312" w:cs="仿宋_GB2312"/>
                <w:color w:val="000000"/>
                <w:sz w:val="24"/>
              </w:rPr>
              <w:t>包含取号机1台、LED控制卡14个、无线AP 1个，无线喇叭3个等</w:t>
            </w:r>
          </w:p>
        </w:tc>
      </w:tr>
      <w:tr w14:paraId="24D879C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939" w:hRule="atLeast"/>
        </w:trPr>
        <w:tc>
          <w:tcPr>
            <w:tcW w:w="1028" w:type="dxa"/>
            <w:vMerge w:val="continue"/>
            <w:tcBorders>
              <w:top w:val="nil"/>
              <w:left w:val="single" w:color="000000" w:sz="4" w:space="0"/>
              <w:bottom w:val="single" w:color="000000" w:sz="4" w:space="0"/>
              <w:right w:val="single" w:color="000000" w:sz="4" w:space="0"/>
            </w:tcBorders>
          </w:tcPr>
          <w:p w14:paraId="34A07033"/>
        </w:tc>
        <w:tc>
          <w:tcPr>
            <w:tcW w:w="15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315CEB3">
            <w:pPr>
              <w:pStyle w:val="4"/>
              <w:jc w:val="left"/>
            </w:pPr>
            <w:r>
              <w:rPr>
                <w:rFonts w:ascii="仿宋_GB2312" w:hAnsi="仿宋_GB2312" w:eastAsia="仿宋_GB2312" w:cs="仿宋_GB2312"/>
                <w:color w:val="000000"/>
                <w:sz w:val="24"/>
              </w:rPr>
              <w:t>显示终端维保</w:t>
            </w:r>
          </w:p>
        </w:tc>
        <w:tc>
          <w:tcPr>
            <w:tcW w:w="2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15D3D45">
            <w:pPr>
              <w:pStyle w:val="4"/>
              <w:ind w:firstLine="480"/>
              <w:jc w:val="left"/>
            </w:pPr>
            <w:r>
              <w:rPr>
                <w:rFonts w:ascii="仿宋_GB2312" w:hAnsi="仿宋_GB2312" w:eastAsia="仿宋_GB2312" w:cs="仿宋_GB2312"/>
                <w:color w:val="000000"/>
                <w:sz w:val="24"/>
              </w:rPr>
              <w:t>3</w:t>
            </w:r>
          </w:p>
        </w:tc>
        <w:tc>
          <w:tcPr>
            <w:tcW w:w="157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45E9CD7">
            <w:pPr>
              <w:pStyle w:val="4"/>
              <w:ind w:firstLine="240"/>
              <w:jc w:val="both"/>
            </w:pPr>
            <w:r>
              <w:rPr>
                <w:rFonts w:ascii="仿宋_GB2312" w:hAnsi="仿宋_GB2312" w:eastAsia="仿宋_GB2312" w:cs="仿宋_GB2312"/>
                <w:color w:val="000000"/>
                <w:sz w:val="24"/>
              </w:rPr>
              <w:t>块</w:t>
            </w:r>
          </w:p>
        </w:tc>
        <w:tc>
          <w:tcPr>
            <w:tcW w:w="158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ACECA71">
            <w:pPr>
              <w:pStyle w:val="4"/>
              <w:ind w:firstLine="480"/>
            </w:pPr>
          </w:p>
        </w:tc>
      </w:tr>
      <w:tr w14:paraId="3DA724D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1028" w:type="dxa"/>
            <w:vMerge w:val="continue"/>
            <w:tcBorders>
              <w:top w:val="nil"/>
              <w:left w:val="single" w:color="000000" w:sz="4" w:space="0"/>
              <w:bottom w:val="single" w:color="000000" w:sz="4" w:space="0"/>
              <w:right w:val="single" w:color="000000" w:sz="4" w:space="0"/>
            </w:tcBorders>
          </w:tcPr>
          <w:p w14:paraId="089FA3C0"/>
        </w:tc>
        <w:tc>
          <w:tcPr>
            <w:tcW w:w="15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96D314D">
            <w:pPr>
              <w:pStyle w:val="4"/>
              <w:jc w:val="left"/>
            </w:pPr>
            <w:r>
              <w:rPr>
                <w:rFonts w:ascii="仿宋_GB2312" w:hAnsi="仿宋_GB2312" w:eastAsia="仿宋_GB2312" w:cs="仿宋_GB2312"/>
                <w:color w:val="000000"/>
                <w:sz w:val="24"/>
              </w:rPr>
              <w:t>信息屏</w:t>
            </w:r>
          </w:p>
        </w:tc>
        <w:tc>
          <w:tcPr>
            <w:tcW w:w="2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636580F">
            <w:pPr>
              <w:pStyle w:val="4"/>
              <w:ind w:firstLine="480"/>
              <w:jc w:val="left"/>
            </w:pPr>
            <w:r>
              <w:rPr>
                <w:rFonts w:ascii="仿宋_GB2312" w:hAnsi="仿宋_GB2312" w:eastAsia="仿宋_GB2312" w:cs="仿宋_GB2312"/>
                <w:color w:val="000000"/>
                <w:sz w:val="24"/>
              </w:rPr>
              <w:t>3</w:t>
            </w:r>
          </w:p>
        </w:tc>
        <w:tc>
          <w:tcPr>
            <w:tcW w:w="157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81CBC3D">
            <w:pPr>
              <w:pStyle w:val="4"/>
              <w:ind w:firstLine="240"/>
              <w:jc w:val="both"/>
            </w:pPr>
            <w:r>
              <w:rPr>
                <w:rFonts w:ascii="仿宋_GB2312" w:hAnsi="仿宋_GB2312" w:eastAsia="仿宋_GB2312" w:cs="仿宋_GB2312"/>
                <w:color w:val="000000"/>
                <w:sz w:val="24"/>
              </w:rPr>
              <w:t>个</w:t>
            </w:r>
          </w:p>
        </w:tc>
        <w:tc>
          <w:tcPr>
            <w:tcW w:w="158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296937A">
            <w:pPr>
              <w:pStyle w:val="4"/>
              <w:ind w:firstLine="480"/>
            </w:pPr>
          </w:p>
        </w:tc>
      </w:tr>
      <w:tr w14:paraId="27386BA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1028" w:type="dxa"/>
            <w:vMerge w:val="continue"/>
            <w:tcBorders>
              <w:top w:val="nil"/>
              <w:left w:val="single" w:color="000000" w:sz="4" w:space="0"/>
              <w:bottom w:val="single" w:color="000000" w:sz="4" w:space="0"/>
              <w:right w:val="single" w:color="000000" w:sz="4" w:space="0"/>
            </w:tcBorders>
          </w:tcPr>
          <w:p w14:paraId="1E311025"/>
        </w:tc>
        <w:tc>
          <w:tcPr>
            <w:tcW w:w="15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F43DF17">
            <w:pPr>
              <w:pStyle w:val="4"/>
              <w:jc w:val="left"/>
            </w:pPr>
            <w:r>
              <w:rPr>
                <w:rFonts w:ascii="仿宋_GB2312" w:hAnsi="仿宋_GB2312" w:eastAsia="仿宋_GB2312" w:cs="仿宋_GB2312"/>
                <w:color w:val="000000"/>
                <w:sz w:val="24"/>
              </w:rPr>
              <w:t>触摸屏</w:t>
            </w:r>
          </w:p>
        </w:tc>
        <w:tc>
          <w:tcPr>
            <w:tcW w:w="2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ED6BAA4">
            <w:pPr>
              <w:pStyle w:val="4"/>
              <w:ind w:firstLine="480"/>
              <w:jc w:val="left"/>
            </w:pPr>
            <w:r>
              <w:rPr>
                <w:rFonts w:ascii="仿宋_GB2312" w:hAnsi="仿宋_GB2312" w:eastAsia="仿宋_GB2312" w:cs="仿宋_GB2312"/>
                <w:color w:val="000000"/>
                <w:sz w:val="24"/>
              </w:rPr>
              <w:t>1</w:t>
            </w:r>
          </w:p>
        </w:tc>
        <w:tc>
          <w:tcPr>
            <w:tcW w:w="157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92DBC80">
            <w:pPr>
              <w:pStyle w:val="4"/>
              <w:ind w:firstLine="240"/>
              <w:jc w:val="both"/>
            </w:pPr>
            <w:r>
              <w:rPr>
                <w:rFonts w:ascii="仿宋_GB2312" w:hAnsi="仿宋_GB2312" w:eastAsia="仿宋_GB2312" w:cs="仿宋_GB2312"/>
                <w:color w:val="000000"/>
                <w:sz w:val="24"/>
              </w:rPr>
              <w:t>台</w:t>
            </w:r>
          </w:p>
        </w:tc>
        <w:tc>
          <w:tcPr>
            <w:tcW w:w="158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EB5E67E">
            <w:pPr>
              <w:pStyle w:val="4"/>
              <w:ind w:firstLine="480"/>
            </w:pPr>
          </w:p>
        </w:tc>
      </w:tr>
      <w:tr w14:paraId="7CE1072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1028" w:type="dxa"/>
            <w:vMerge w:val="continue"/>
            <w:tcBorders>
              <w:top w:val="nil"/>
              <w:left w:val="single" w:color="000000" w:sz="4" w:space="0"/>
              <w:bottom w:val="single" w:color="000000" w:sz="4" w:space="0"/>
              <w:right w:val="single" w:color="000000" w:sz="4" w:space="0"/>
            </w:tcBorders>
          </w:tcPr>
          <w:p w14:paraId="27C9EC14"/>
        </w:tc>
        <w:tc>
          <w:tcPr>
            <w:tcW w:w="15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F2FBB44">
            <w:pPr>
              <w:pStyle w:val="4"/>
              <w:jc w:val="left"/>
            </w:pPr>
            <w:r>
              <w:rPr>
                <w:rFonts w:ascii="仿宋_GB2312" w:hAnsi="仿宋_GB2312" w:eastAsia="仿宋_GB2312" w:cs="仿宋_GB2312"/>
                <w:color w:val="000000"/>
                <w:sz w:val="24"/>
              </w:rPr>
              <w:t>广告屏</w:t>
            </w:r>
          </w:p>
        </w:tc>
        <w:tc>
          <w:tcPr>
            <w:tcW w:w="2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CDBC4D9">
            <w:pPr>
              <w:pStyle w:val="4"/>
              <w:ind w:firstLine="480"/>
              <w:jc w:val="left"/>
            </w:pPr>
            <w:r>
              <w:rPr>
                <w:rFonts w:ascii="仿宋_GB2312" w:hAnsi="仿宋_GB2312" w:eastAsia="仿宋_GB2312" w:cs="仿宋_GB2312"/>
                <w:color w:val="000000"/>
                <w:sz w:val="24"/>
              </w:rPr>
              <w:t>2</w:t>
            </w:r>
          </w:p>
        </w:tc>
        <w:tc>
          <w:tcPr>
            <w:tcW w:w="157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5B77D55">
            <w:pPr>
              <w:pStyle w:val="4"/>
              <w:ind w:firstLine="240"/>
              <w:jc w:val="both"/>
            </w:pPr>
            <w:r>
              <w:rPr>
                <w:rFonts w:ascii="仿宋_GB2312" w:hAnsi="仿宋_GB2312" w:eastAsia="仿宋_GB2312" w:cs="仿宋_GB2312"/>
                <w:color w:val="000000"/>
                <w:sz w:val="24"/>
              </w:rPr>
              <w:t>台</w:t>
            </w:r>
          </w:p>
        </w:tc>
        <w:tc>
          <w:tcPr>
            <w:tcW w:w="158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6520791">
            <w:pPr>
              <w:pStyle w:val="4"/>
              <w:ind w:firstLine="480"/>
            </w:pPr>
          </w:p>
        </w:tc>
      </w:tr>
      <w:tr w14:paraId="7EAB885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939" w:hRule="atLeast"/>
        </w:trPr>
        <w:tc>
          <w:tcPr>
            <w:tcW w:w="1028" w:type="dxa"/>
            <w:vMerge w:val="continue"/>
            <w:tcBorders>
              <w:top w:val="nil"/>
              <w:left w:val="single" w:color="000000" w:sz="4" w:space="0"/>
              <w:bottom w:val="single" w:color="000000" w:sz="4" w:space="0"/>
              <w:right w:val="single" w:color="000000" w:sz="4" w:space="0"/>
            </w:tcBorders>
          </w:tcPr>
          <w:p w14:paraId="7DBBB1E8"/>
        </w:tc>
        <w:tc>
          <w:tcPr>
            <w:tcW w:w="15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2BBD6DA">
            <w:pPr>
              <w:pStyle w:val="4"/>
              <w:jc w:val="left"/>
            </w:pPr>
            <w:r>
              <w:rPr>
                <w:rFonts w:ascii="仿宋_GB2312" w:hAnsi="仿宋_GB2312" w:eastAsia="仿宋_GB2312" w:cs="仿宋_GB2312"/>
                <w:color w:val="000000"/>
                <w:sz w:val="24"/>
              </w:rPr>
              <w:t>窗口电子屏</w:t>
            </w:r>
          </w:p>
        </w:tc>
        <w:tc>
          <w:tcPr>
            <w:tcW w:w="2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C1C9C2E">
            <w:pPr>
              <w:pStyle w:val="4"/>
              <w:ind w:firstLine="480"/>
              <w:jc w:val="left"/>
            </w:pPr>
            <w:r>
              <w:rPr>
                <w:rFonts w:ascii="仿宋_GB2312" w:hAnsi="仿宋_GB2312" w:eastAsia="仿宋_GB2312" w:cs="仿宋_GB2312"/>
                <w:color w:val="000000"/>
                <w:sz w:val="24"/>
              </w:rPr>
              <w:t>12</w:t>
            </w:r>
          </w:p>
        </w:tc>
        <w:tc>
          <w:tcPr>
            <w:tcW w:w="157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D751EE9">
            <w:pPr>
              <w:pStyle w:val="4"/>
              <w:ind w:firstLine="240"/>
              <w:jc w:val="both"/>
            </w:pPr>
            <w:r>
              <w:rPr>
                <w:rFonts w:ascii="仿宋_GB2312" w:hAnsi="仿宋_GB2312" w:eastAsia="仿宋_GB2312" w:cs="仿宋_GB2312"/>
                <w:color w:val="000000"/>
                <w:sz w:val="24"/>
              </w:rPr>
              <w:t>块</w:t>
            </w:r>
          </w:p>
        </w:tc>
        <w:tc>
          <w:tcPr>
            <w:tcW w:w="158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9FC2D61">
            <w:pPr>
              <w:pStyle w:val="4"/>
              <w:ind w:firstLine="480"/>
            </w:pPr>
          </w:p>
        </w:tc>
      </w:tr>
      <w:tr w14:paraId="589DEC4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1249" w:hRule="atLeast"/>
        </w:trPr>
        <w:tc>
          <w:tcPr>
            <w:tcW w:w="1028" w:type="dxa"/>
            <w:vMerge w:val="continue"/>
            <w:tcBorders>
              <w:top w:val="nil"/>
              <w:left w:val="single" w:color="000000" w:sz="4" w:space="0"/>
              <w:bottom w:val="single" w:color="000000" w:sz="4" w:space="0"/>
              <w:right w:val="single" w:color="000000" w:sz="4" w:space="0"/>
            </w:tcBorders>
          </w:tcPr>
          <w:p w14:paraId="3F1912D1"/>
        </w:tc>
        <w:tc>
          <w:tcPr>
            <w:tcW w:w="15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65875E9">
            <w:pPr>
              <w:pStyle w:val="4"/>
              <w:jc w:val="left"/>
            </w:pPr>
            <w:r>
              <w:rPr>
                <w:rFonts w:ascii="仿宋_GB2312" w:hAnsi="仿宋_GB2312" w:eastAsia="仿宋_GB2312" w:cs="仿宋_GB2312"/>
                <w:color w:val="000000"/>
                <w:sz w:val="24"/>
              </w:rPr>
              <w:t>呼叫器维保及服务</w:t>
            </w:r>
          </w:p>
        </w:tc>
        <w:tc>
          <w:tcPr>
            <w:tcW w:w="2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432EA3D">
            <w:pPr>
              <w:pStyle w:val="4"/>
              <w:ind w:firstLine="480"/>
              <w:jc w:val="left"/>
            </w:pPr>
            <w:r>
              <w:rPr>
                <w:rFonts w:ascii="仿宋_GB2312" w:hAnsi="仿宋_GB2312" w:eastAsia="仿宋_GB2312" w:cs="仿宋_GB2312"/>
                <w:color w:val="000000"/>
                <w:sz w:val="24"/>
              </w:rPr>
              <w:t>12</w:t>
            </w:r>
          </w:p>
        </w:tc>
        <w:tc>
          <w:tcPr>
            <w:tcW w:w="157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50B582F">
            <w:pPr>
              <w:pStyle w:val="4"/>
              <w:ind w:firstLine="240"/>
              <w:jc w:val="both"/>
            </w:pPr>
            <w:r>
              <w:rPr>
                <w:rFonts w:ascii="仿宋_GB2312" w:hAnsi="仿宋_GB2312" w:eastAsia="仿宋_GB2312" w:cs="仿宋_GB2312"/>
                <w:color w:val="000000"/>
                <w:sz w:val="24"/>
              </w:rPr>
              <w:t>个</w:t>
            </w:r>
          </w:p>
        </w:tc>
        <w:tc>
          <w:tcPr>
            <w:tcW w:w="158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D228A26">
            <w:pPr>
              <w:pStyle w:val="4"/>
              <w:ind w:firstLine="480"/>
            </w:pPr>
          </w:p>
        </w:tc>
      </w:tr>
      <w:tr w14:paraId="3C32198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939" w:hRule="atLeast"/>
        </w:trPr>
        <w:tc>
          <w:tcPr>
            <w:tcW w:w="1028" w:type="dxa"/>
            <w:vMerge w:val="continue"/>
            <w:tcBorders>
              <w:top w:val="nil"/>
              <w:left w:val="single" w:color="000000" w:sz="4" w:space="0"/>
              <w:bottom w:val="single" w:color="000000" w:sz="4" w:space="0"/>
              <w:right w:val="single" w:color="000000" w:sz="4" w:space="0"/>
            </w:tcBorders>
          </w:tcPr>
          <w:p w14:paraId="3E01395B"/>
        </w:tc>
        <w:tc>
          <w:tcPr>
            <w:tcW w:w="15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B7452BA">
            <w:pPr>
              <w:pStyle w:val="4"/>
              <w:jc w:val="left"/>
            </w:pPr>
            <w:r>
              <w:rPr>
                <w:rFonts w:ascii="仿宋_GB2312" w:hAnsi="仿宋_GB2312" w:eastAsia="仿宋_GB2312" w:cs="仿宋_GB2312"/>
                <w:color w:val="000000"/>
                <w:sz w:val="24"/>
              </w:rPr>
              <w:t>自助查询机</w:t>
            </w:r>
          </w:p>
        </w:tc>
        <w:tc>
          <w:tcPr>
            <w:tcW w:w="2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D19B509">
            <w:pPr>
              <w:pStyle w:val="4"/>
              <w:ind w:firstLine="480"/>
              <w:jc w:val="left"/>
            </w:pPr>
            <w:r>
              <w:rPr>
                <w:rFonts w:ascii="仿宋_GB2312" w:hAnsi="仿宋_GB2312" w:eastAsia="仿宋_GB2312" w:cs="仿宋_GB2312"/>
                <w:color w:val="000000"/>
                <w:sz w:val="24"/>
              </w:rPr>
              <w:t>8</w:t>
            </w:r>
          </w:p>
        </w:tc>
        <w:tc>
          <w:tcPr>
            <w:tcW w:w="157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3B2F210">
            <w:pPr>
              <w:pStyle w:val="4"/>
              <w:ind w:firstLine="240"/>
              <w:jc w:val="both"/>
            </w:pPr>
            <w:r>
              <w:rPr>
                <w:rFonts w:ascii="仿宋_GB2312" w:hAnsi="仿宋_GB2312" w:eastAsia="仿宋_GB2312" w:cs="仿宋_GB2312"/>
                <w:color w:val="000000"/>
                <w:sz w:val="24"/>
              </w:rPr>
              <w:t>台</w:t>
            </w:r>
          </w:p>
        </w:tc>
        <w:tc>
          <w:tcPr>
            <w:tcW w:w="158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4808D15">
            <w:pPr>
              <w:pStyle w:val="4"/>
              <w:ind w:firstLine="480"/>
            </w:pPr>
          </w:p>
        </w:tc>
      </w:tr>
      <w:tr w14:paraId="24A3BF8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1259" w:hRule="atLeast"/>
        </w:trPr>
        <w:tc>
          <w:tcPr>
            <w:tcW w:w="1028" w:type="dxa"/>
            <w:vMerge w:val="continue"/>
            <w:tcBorders>
              <w:top w:val="nil"/>
              <w:left w:val="single" w:color="000000" w:sz="4" w:space="0"/>
              <w:bottom w:val="single" w:color="000000" w:sz="4" w:space="0"/>
              <w:right w:val="single" w:color="000000" w:sz="4" w:space="0"/>
            </w:tcBorders>
          </w:tcPr>
          <w:p w14:paraId="73612513"/>
        </w:tc>
        <w:tc>
          <w:tcPr>
            <w:tcW w:w="15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F54512B">
            <w:pPr>
              <w:pStyle w:val="4"/>
              <w:jc w:val="left"/>
            </w:pPr>
            <w:r>
              <w:rPr>
                <w:rFonts w:ascii="仿宋_GB2312" w:hAnsi="仿宋_GB2312" w:eastAsia="仿宋_GB2312" w:cs="仿宋_GB2312"/>
                <w:color w:val="000000"/>
                <w:sz w:val="24"/>
              </w:rPr>
              <w:t>评价器维保及服务</w:t>
            </w:r>
          </w:p>
        </w:tc>
        <w:tc>
          <w:tcPr>
            <w:tcW w:w="2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969BEE4">
            <w:pPr>
              <w:pStyle w:val="4"/>
              <w:ind w:firstLine="480"/>
              <w:jc w:val="left"/>
            </w:pPr>
            <w:r>
              <w:rPr>
                <w:rFonts w:ascii="仿宋_GB2312" w:hAnsi="仿宋_GB2312" w:eastAsia="仿宋_GB2312" w:cs="仿宋_GB2312"/>
                <w:color w:val="000000"/>
                <w:sz w:val="24"/>
              </w:rPr>
              <w:t>6</w:t>
            </w:r>
          </w:p>
        </w:tc>
        <w:tc>
          <w:tcPr>
            <w:tcW w:w="157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F51B689">
            <w:pPr>
              <w:pStyle w:val="4"/>
              <w:ind w:firstLine="240"/>
              <w:jc w:val="both"/>
            </w:pPr>
            <w:r>
              <w:rPr>
                <w:rFonts w:ascii="仿宋_GB2312" w:hAnsi="仿宋_GB2312" w:eastAsia="仿宋_GB2312" w:cs="仿宋_GB2312"/>
                <w:color w:val="000000"/>
                <w:sz w:val="24"/>
              </w:rPr>
              <w:t>个</w:t>
            </w:r>
          </w:p>
        </w:tc>
        <w:tc>
          <w:tcPr>
            <w:tcW w:w="158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212904D">
            <w:pPr>
              <w:pStyle w:val="4"/>
              <w:ind w:firstLine="480"/>
            </w:pPr>
          </w:p>
        </w:tc>
      </w:tr>
      <w:bookmarkEnd w:id="0"/>
    </w:tbl>
    <w:p w14:paraId="5A980CCB">
      <w:pPr>
        <w:pStyle w:val="4"/>
        <w:jc w:val="both"/>
      </w:pPr>
      <w:r>
        <w:rPr>
          <w:rFonts w:ascii="仿宋_GB2312" w:hAnsi="仿宋_GB2312" w:eastAsia="仿宋_GB2312" w:cs="仿宋_GB2312"/>
          <w:b/>
          <w:color w:val="000000"/>
          <w:sz w:val="28"/>
        </w:rPr>
        <w:t>三、技术要求</w:t>
      </w:r>
    </w:p>
    <w:p w14:paraId="068B6BCB">
      <w:pPr>
        <w:pStyle w:val="4"/>
        <w:ind w:firstLine="560"/>
      </w:pPr>
      <w:r>
        <w:rPr>
          <w:rFonts w:ascii="仿宋_GB2312" w:hAnsi="仿宋_GB2312" w:eastAsia="仿宋_GB2312" w:cs="仿宋_GB2312"/>
          <w:color w:val="000000"/>
          <w:sz w:val="28"/>
        </w:rPr>
        <w:t>1、管理制度</w:t>
      </w:r>
    </w:p>
    <w:p w14:paraId="3270AC0F">
      <w:pPr>
        <w:pStyle w:val="4"/>
        <w:ind w:firstLine="560"/>
      </w:pPr>
      <w:r>
        <w:rPr>
          <w:rFonts w:ascii="仿宋_GB2312" w:hAnsi="仿宋_GB2312" w:eastAsia="仿宋_GB2312" w:cs="仿宋_GB2312"/>
          <w:color w:val="000000"/>
          <w:sz w:val="28"/>
        </w:rPr>
        <w:t>服务商应主动与采购人开展对接沟通，技术人员进场前需针对各业务系统编制专项管理计划及配套管理制度。管理计划实施分阶段动态优化，结合历次定期工作汇报沟通情况迭代修订，形成下一阶段工作方案，确保管理计划贴合系统实际运行现状，适配业务工作需求。</w:t>
      </w:r>
    </w:p>
    <w:p w14:paraId="362008F8">
      <w:pPr>
        <w:pStyle w:val="4"/>
        <w:ind w:firstLine="560"/>
        <w:jc w:val="left"/>
      </w:pPr>
      <w:r>
        <w:rPr>
          <w:rFonts w:ascii="仿宋_GB2312" w:hAnsi="仿宋_GB2312" w:eastAsia="仿宋_GB2312" w:cs="仿宋_GB2312"/>
          <w:color w:val="000000"/>
          <w:sz w:val="28"/>
        </w:rPr>
        <w:t>2、设备维护服务</w:t>
      </w:r>
    </w:p>
    <w:p w14:paraId="4259F869">
      <w:pPr>
        <w:pStyle w:val="4"/>
        <w:ind w:firstLine="560"/>
      </w:pPr>
      <w:r>
        <w:rPr>
          <w:rFonts w:ascii="仿宋_GB2312" w:hAnsi="仿宋_GB2312" w:eastAsia="仿宋_GB2312" w:cs="仿宋_GB2312"/>
          <w:color w:val="000000"/>
          <w:sz w:val="28"/>
        </w:rPr>
        <w:t>服务商须向甲方报送完整的硬件系统维护资料及过程运维服务档案，档案应包含设备维护处置数量、维护全过程记录等相关内容。同时结合甲方实际业务需求，编制详实的服务支持计划，并对软硬件系统信息实行动态更新维护。</w:t>
      </w:r>
    </w:p>
    <w:p w14:paraId="5DE048A3">
      <w:pPr>
        <w:pStyle w:val="4"/>
        <w:ind w:firstLine="560"/>
        <w:jc w:val="left"/>
      </w:pPr>
      <w:r>
        <w:rPr>
          <w:rFonts w:ascii="仿宋_GB2312" w:hAnsi="仿宋_GB2312" w:eastAsia="仿宋_GB2312" w:cs="仿宋_GB2312"/>
          <w:color w:val="000000"/>
          <w:sz w:val="28"/>
        </w:rPr>
        <w:t>3、定期巡检</w:t>
      </w:r>
    </w:p>
    <w:p w14:paraId="0A51D84B">
      <w:pPr>
        <w:pStyle w:val="4"/>
        <w:ind w:firstLine="560"/>
        <w:jc w:val="left"/>
      </w:pPr>
      <w:r>
        <w:rPr>
          <w:rFonts w:ascii="仿宋_GB2312" w:hAnsi="仿宋_GB2312" w:eastAsia="仿宋_GB2312" w:cs="仿宋_GB2312"/>
          <w:color w:val="000000"/>
          <w:sz w:val="28"/>
        </w:rPr>
        <w:t>服务商须派驻驻场运维工程师，工作日每日对大厅设备运行状态开展巡检，对大厅工作人员提出的业务需求做到及时响应。每月组织开展大厅设备例行巡检及预防性维护工作，梳理汇总故障处置情况，向采购人报送月度运维服务报告，并同步提出优化改进意见。运维工程师须定期对服务范围内硬件设备、操作系统开展检测，重点核查系统性能、终端杀毒状态、终端补丁安装情况，依据检测结果及时优化调整，保障系统持续稳定良好运行。针对潜在风险隐患开展预判分析，制定科学可行的预防及整改措施，在获得采购人授权前提下，落实必要的预防与处置手段，实现风险前置防范。</w:t>
      </w:r>
    </w:p>
    <w:p w14:paraId="736E99D1">
      <w:pPr>
        <w:pStyle w:val="4"/>
        <w:ind w:firstLine="560"/>
        <w:jc w:val="left"/>
      </w:pPr>
      <w:r>
        <w:rPr>
          <w:rFonts w:ascii="仿宋_GB2312" w:hAnsi="仿宋_GB2312" w:eastAsia="仿宋_GB2312" w:cs="仿宋_GB2312"/>
          <w:color w:val="000000"/>
          <w:sz w:val="28"/>
        </w:rPr>
        <w:t>4、运维服务</w:t>
      </w:r>
    </w:p>
    <w:p w14:paraId="64B026D1">
      <w:pPr>
        <w:pStyle w:val="4"/>
        <w:ind w:firstLine="560"/>
        <w:jc w:val="left"/>
      </w:pPr>
      <w:r>
        <w:rPr>
          <w:rFonts w:ascii="仿宋_GB2312" w:hAnsi="仿宋_GB2312" w:eastAsia="仿宋_GB2312" w:cs="仿宋_GB2312"/>
          <w:color w:val="000000"/>
          <w:sz w:val="28"/>
        </w:rPr>
        <w:t>服务内容主要包括：</w:t>
      </w:r>
    </w:p>
    <w:p w14:paraId="36DEDD46">
      <w:pPr>
        <w:pStyle w:val="4"/>
        <w:ind w:firstLine="1120"/>
        <w:jc w:val="left"/>
      </w:pPr>
      <w:r>
        <w:rPr>
          <w:rFonts w:ascii="仿宋_GB2312" w:hAnsi="仿宋_GB2312" w:eastAsia="仿宋_GB2312" w:cs="仿宋_GB2312"/>
          <w:color w:val="000000"/>
          <w:sz w:val="28"/>
        </w:rPr>
        <w:t>1、硬件设备检测维护</w:t>
      </w:r>
    </w:p>
    <w:p w14:paraId="02BDDEF8">
      <w:pPr>
        <w:pStyle w:val="4"/>
        <w:ind w:firstLine="1120"/>
        <w:jc w:val="left"/>
      </w:pPr>
      <w:r>
        <w:rPr>
          <w:rFonts w:ascii="仿宋_GB2312" w:hAnsi="仿宋_GB2312" w:eastAsia="仿宋_GB2312" w:cs="仿宋_GB2312"/>
          <w:color w:val="000000"/>
          <w:sz w:val="28"/>
        </w:rPr>
        <w:t>2、业务系统故障的初步分析与协调</w:t>
      </w:r>
    </w:p>
    <w:p w14:paraId="5C5B972C">
      <w:pPr>
        <w:pStyle w:val="4"/>
        <w:ind w:firstLine="1120"/>
        <w:jc w:val="left"/>
      </w:pPr>
      <w:r>
        <w:rPr>
          <w:rFonts w:ascii="仿宋_GB2312" w:hAnsi="仿宋_GB2312" w:eastAsia="仿宋_GB2312" w:cs="仿宋_GB2312"/>
          <w:color w:val="000000"/>
          <w:sz w:val="28"/>
        </w:rPr>
        <w:t>3、病毒防范和消除</w:t>
      </w:r>
    </w:p>
    <w:p w14:paraId="7319B513">
      <w:pPr>
        <w:pStyle w:val="4"/>
        <w:ind w:firstLine="1120"/>
        <w:jc w:val="left"/>
      </w:pPr>
      <w:r>
        <w:rPr>
          <w:rFonts w:ascii="仿宋_GB2312" w:hAnsi="仿宋_GB2312" w:eastAsia="仿宋_GB2312" w:cs="仿宋_GB2312"/>
          <w:color w:val="000000"/>
          <w:sz w:val="28"/>
        </w:rPr>
        <w:t>4、硬盘垃圾清理</w:t>
      </w:r>
    </w:p>
    <w:p w14:paraId="444FE8A8">
      <w:pPr>
        <w:pStyle w:val="4"/>
        <w:ind w:firstLine="1120"/>
        <w:jc w:val="left"/>
      </w:pPr>
      <w:r>
        <w:rPr>
          <w:rFonts w:ascii="仿宋_GB2312" w:hAnsi="仿宋_GB2312" w:eastAsia="仿宋_GB2312" w:cs="仿宋_GB2312"/>
          <w:color w:val="000000"/>
          <w:sz w:val="28"/>
        </w:rPr>
        <w:t>5、软件故障排除和恢复</w:t>
      </w:r>
    </w:p>
    <w:p w14:paraId="0ED2CF7D">
      <w:pPr>
        <w:pStyle w:val="4"/>
        <w:ind w:firstLine="1120"/>
        <w:jc w:val="left"/>
      </w:pPr>
      <w:r>
        <w:rPr>
          <w:rFonts w:ascii="仿宋_GB2312" w:hAnsi="仿宋_GB2312" w:eastAsia="仿宋_GB2312" w:cs="仿宋_GB2312"/>
          <w:color w:val="000000"/>
          <w:sz w:val="28"/>
        </w:rPr>
        <w:t>6、电脑系统软件升级</w:t>
      </w:r>
    </w:p>
    <w:p w14:paraId="7BBA714C">
      <w:pPr>
        <w:pStyle w:val="4"/>
        <w:ind w:firstLine="1120"/>
        <w:jc w:val="left"/>
      </w:pPr>
      <w:r>
        <w:rPr>
          <w:rFonts w:ascii="仿宋_GB2312" w:hAnsi="仿宋_GB2312" w:eastAsia="仿宋_GB2312" w:cs="仿宋_GB2312"/>
          <w:color w:val="000000"/>
          <w:sz w:val="28"/>
        </w:rPr>
        <w:t>7、电脑数据备份恢复</w:t>
      </w:r>
    </w:p>
    <w:p w14:paraId="149E8C0B">
      <w:pPr>
        <w:pStyle w:val="4"/>
        <w:ind w:firstLine="1120"/>
        <w:jc w:val="left"/>
      </w:pPr>
      <w:r>
        <w:rPr>
          <w:rFonts w:ascii="仿宋_GB2312" w:hAnsi="仿宋_GB2312" w:eastAsia="仿宋_GB2312" w:cs="仿宋_GB2312"/>
          <w:color w:val="000000"/>
          <w:sz w:val="28"/>
        </w:rPr>
        <w:t>8、电脑安装调试</w:t>
      </w:r>
    </w:p>
    <w:p w14:paraId="7C37B9D1">
      <w:pPr>
        <w:pStyle w:val="4"/>
        <w:ind w:firstLine="1120"/>
        <w:jc w:val="left"/>
      </w:pPr>
      <w:r>
        <w:rPr>
          <w:rFonts w:ascii="仿宋_GB2312" w:hAnsi="仿宋_GB2312" w:eastAsia="仿宋_GB2312" w:cs="仿宋_GB2312"/>
          <w:color w:val="000000"/>
          <w:sz w:val="28"/>
        </w:rPr>
        <w:t>9、系统安装调试</w:t>
      </w:r>
    </w:p>
    <w:p w14:paraId="49B72321">
      <w:pPr>
        <w:pStyle w:val="4"/>
        <w:ind w:firstLine="1120"/>
        <w:jc w:val="left"/>
      </w:pPr>
      <w:r>
        <w:rPr>
          <w:rFonts w:ascii="仿宋_GB2312" w:hAnsi="仿宋_GB2312" w:eastAsia="仿宋_GB2312" w:cs="仿宋_GB2312"/>
          <w:color w:val="000000"/>
          <w:sz w:val="28"/>
        </w:rPr>
        <w:t>10、综合布线维护</w:t>
      </w:r>
    </w:p>
    <w:p w14:paraId="774C8C2C">
      <w:pPr>
        <w:pStyle w:val="4"/>
        <w:ind w:firstLine="1120"/>
        <w:jc w:val="left"/>
      </w:pPr>
      <w:r>
        <w:rPr>
          <w:rFonts w:ascii="仿宋_GB2312" w:hAnsi="仿宋_GB2312" w:eastAsia="仿宋_GB2312" w:cs="仿宋_GB2312"/>
          <w:color w:val="000000"/>
          <w:sz w:val="28"/>
        </w:rPr>
        <w:t>11、保障业务正常运行的其他问题</w:t>
      </w:r>
    </w:p>
    <w:p w14:paraId="378DEF0F">
      <w:pPr>
        <w:pStyle w:val="4"/>
        <w:spacing w:after="195"/>
        <w:ind w:firstLine="480"/>
        <w:jc w:val="left"/>
      </w:pPr>
      <w:r>
        <w:rPr>
          <w:rFonts w:ascii="仿宋_GB2312" w:hAnsi="仿宋_GB2312" w:eastAsia="仿宋_GB2312" w:cs="仿宋_GB2312"/>
          <w:b/>
          <w:color w:val="000000"/>
          <w:sz w:val="28"/>
        </w:rPr>
        <w:t>四、服务要求</w:t>
      </w:r>
    </w:p>
    <w:p w14:paraId="2432BCEB">
      <w:pPr>
        <w:pStyle w:val="4"/>
        <w:ind w:firstLine="560"/>
        <w:jc w:val="left"/>
      </w:pPr>
      <w:r>
        <w:rPr>
          <w:rFonts w:ascii="仿宋_GB2312" w:hAnsi="仿宋_GB2312" w:eastAsia="仿宋_GB2312" w:cs="仿宋_GB2312"/>
          <w:color w:val="000000"/>
          <w:sz w:val="28"/>
        </w:rPr>
        <w:t>服务人数：服务商服务期间需提供常驻服务人员不少于2人作为一线工程师5×8小时（工作日）驻场服务，完成不动产浐灞大厅日常维护和故障解决。</w:t>
      </w:r>
    </w:p>
    <w:p w14:paraId="2767CD51">
      <w:pPr>
        <w:pStyle w:val="4"/>
        <w:ind w:firstLine="560"/>
        <w:jc w:val="left"/>
      </w:pPr>
      <w:r>
        <w:rPr>
          <w:rFonts w:ascii="仿宋_GB2312" w:hAnsi="仿宋_GB2312" w:eastAsia="仿宋_GB2312" w:cs="仿宋_GB2312"/>
          <w:color w:val="000000"/>
          <w:sz w:val="28"/>
        </w:rPr>
        <w:t>备用服务工程师一人，作为临时顶替人员及负责处理临时性的突发任务。</w:t>
      </w:r>
    </w:p>
    <w:p w14:paraId="525E0926">
      <w:pPr>
        <w:pStyle w:val="4"/>
        <w:ind w:firstLine="560"/>
        <w:jc w:val="left"/>
      </w:pPr>
      <w:r>
        <w:rPr>
          <w:rFonts w:ascii="仿宋_GB2312" w:hAnsi="仿宋_GB2312" w:eastAsia="仿宋_GB2312" w:cs="仿宋_GB2312"/>
          <w:color w:val="000000"/>
          <w:sz w:val="28"/>
        </w:rPr>
        <w:t>项目经理一人（项目经理可由驻场运维工程师兼任），负责大厅运维的总体管理、问题处理进度跟进、疑难问题处理等。</w:t>
      </w:r>
    </w:p>
    <w:p w14:paraId="35BD6D17">
      <w:pPr>
        <w:pStyle w:val="4"/>
        <w:ind w:firstLine="560"/>
        <w:jc w:val="left"/>
      </w:pPr>
      <w:r>
        <w:rPr>
          <w:rFonts w:ascii="仿宋_GB2312" w:hAnsi="仿宋_GB2312" w:eastAsia="仿宋_GB2312" w:cs="仿宋_GB2312"/>
          <w:color w:val="000000"/>
          <w:sz w:val="28"/>
        </w:rPr>
        <w:t>运维过程中出现现场工程师无法解决的问题时，服务商需提供二线工程师现场协助解决，保证大厅终端设备的运行稳定。</w:t>
      </w:r>
    </w:p>
    <w:p w14:paraId="7A8AF145">
      <w:pPr>
        <w:pStyle w:val="4"/>
        <w:ind w:firstLine="560"/>
        <w:jc w:val="left"/>
      </w:pPr>
      <w:r>
        <w:rPr>
          <w:rFonts w:ascii="仿宋_GB2312" w:hAnsi="仿宋_GB2312" w:eastAsia="仿宋_GB2312" w:cs="仿宋_GB2312"/>
          <w:color w:val="000000"/>
          <w:sz w:val="28"/>
        </w:rPr>
        <w:t>服务商签订合同同时，需与采购人签订该项目保密协议，服务商需向采购人提供驻场人员及项目经理在公安机关开具的无犯罪记录的证明文件。</w:t>
      </w:r>
    </w:p>
    <w:p w14:paraId="55DA1EF0">
      <w:pPr>
        <w:pStyle w:val="4"/>
        <w:ind w:firstLine="560"/>
        <w:jc w:val="left"/>
      </w:pPr>
      <w:r>
        <w:rPr>
          <w:rFonts w:ascii="仿宋_GB2312" w:hAnsi="仿宋_GB2312" w:eastAsia="仿宋_GB2312" w:cs="仿宋_GB2312"/>
          <w:color w:val="000000"/>
          <w:sz w:val="28"/>
        </w:rPr>
        <w:t>成交单位不得对运维服务业务分包或转包。否则采购人有权终止合同，成交单位要承担由此造成的一切经济损失。</w:t>
      </w:r>
    </w:p>
    <w:p w14:paraId="271F0036">
      <w:pPr>
        <w:pStyle w:val="4"/>
        <w:ind w:firstLine="560"/>
        <w:jc w:val="left"/>
      </w:pPr>
      <w:r>
        <w:rPr>
          <w:rFonts w:ascii="仿宋_GB2312" w:hAnsi="仿宋_GB2312" w:eastAsia="仿宋_GB2312" w:cs="仿宋_GB2312"/>
          <w:color w:val="000000"/>
          <w:sz w:val="28"/>
        </w:rPr>
        <w:t>成交单位不得在服务期间对项目管理人员进行更换，如遇特殊情况须经采购人同意；采购人发现项目管理人员工作不力时，有权提出更换人员，更换的人员必须及时到场。</w:t>
      </w:r>
    </w:p>
    <w:p w14:paraId="608D0E7F">
      <w:pPr>
        <w:pStyle w:val="4"/>
        <w:spacing w:after="120"/>
        <w:ind w:firstLine="480"/>
        <w:jc w:val="left"/>
      </w:pPr>
      <w:r>
        <w:rPr>
          <w:rFonts w:ascii="仿宋_GB2312" w:hAnsi="仿宋_GB2312" w:eastAsia="仿宋_GB2312" w:cs="仿宋_GB2312"/>
          <w:b/>
          <w:color w:val="000000"/>
          <w:sz w:val="28"/>
        </w:rPr>
        <w:t>五、其他</w:t>
      </w:r>
    </w:p>
    <w:p w14:paraId="1718747A">
      <w:pPr>
        <w:pStyle w:val="4"/>
        <w:ind w:firstLine="560"/>
        <w:jc w:val="both"/>
      </w:pPr>
      <w:r>
        <w:rPr>
          <w:rFonts w:ascii="仿宋_GB2312" w:hAnsi="仿宋_GB2312" w:eastAsia="仿宋_GB2312" w:cs="仿宋_GB2312"/>
          <w:color w:val="000000"/>
          <w:sz w:val="28"/>
        </w:rPr>
        <w:t>（一）对服务商的其他服务要求</w:t>
      </w:r>
    </w:p>
    <w:p w14:paraId="50720FA7">
      <w:pPr>
        <w:pStyle w:val="4"/>
        <w:ind w:firstLine="560"/>
        <w:jc w:val="both"/>
      </w:pPr>
      <w:r>
        <w:rPr>
          <w:rFonts w:ascii="仿宋_GB2312" w:hAnsi="仿宋_GB2312" w:eastAsia="仿宋_GB2312" w:cs="仿宋_GB2312"/>
          <w:color w:val="000000"/>
          <w:sz w:val="28"/>
        </w:rPr>
        <w:t>服务商须按合同约定保质保量完成不动产采购服务，确保采购效率、质量与合规性达标；按时提交成果、响应需求，配合验收与整改；年度履约率、满意度、合规率须达约定标准，未达标将影响考核与续约。</w:t>
      </w:r>
    </w:p>
    <w:p w14:paraId="7FD4A5DA">
      <w:pPr>
        <w:pStyle w:val="4"/>
        <w:numPr>
          <w:ilvl w:val="0"/>
          <w:numId w:val="1"/>
        </w:numPr>
        <w:jc w:val="both"/>
      </w:pPr>
      <w:r>
        <w:rPr>
          <w:rFonts w:ascii="仿宋_GB2312" w:hAnsi="仿宋_GB2312" w:eastAsia="仿宋_GB2312" w:cs="仿宋_GB2312"/>
          <w:color w:val="000000"/>
          <w:sz w:val="28"/>
        </w:rPr>
        <w:t>进度要求</w:t>
      </w:r>
    </w:p>
    <w:p w14:paraId="05012D8B">
      <w:pPr>
        <w:pStyle w:val="4"/>
        <w:ind w:firstLine="560"/>
        <w:jc w:val="both"/>
      </w:pPr>
      <w:r>
        <w:rPr>
          <w:rFonts w:ascii="仿宋_GB2312" w:hAnsi="仿宋_GB2312" w:eastAsia="仿宋_GB2312" w:cs="仿宋_GB2312"/>
          <w:color w:val="000000"/>
          <w:sz w:val="28"/>
        </w:rPr>
        <w:t>1.每日及时记录大厅运维事项并将结果进行汇总成运维日报上传禅道指派给甲方进行审查。</w:t>
      </w:r>
    </w:p>
    <w:p w14:paraId="6D022061">
      <w:pPr>
        <w:pStyle w:val="4"/>
        <w:ind w:firstLine="560"/>
        <w:jc w:val="both"/>
      </w:pPr>
      <w:r>
        <w:rPr>
          <w:rFonts w:ascii="仿宋_GB2312" w:hAnsi="仿宋_GB2312" w:eastAsia="仿宋_GB2312" w:cs="仿宋_GB2312"/>
          <w:color w:val="000000"/>
          <w:sz w:val="28"/>
        </w:rPr>
        <w:t>2.每周五下班前，运维人员对本周的运维文档进行整理和归档，包括《运维每日监测日志》《运维每日汇总表》《运维问题周统计表》、故障处理记录、巡检记录等，确保文档完整、规范。</w:t>
      </w:r>
    </w:p>
    <w:p w14:paraId="1A0A5689">
      <w:pPr>
        <w:pStyle w:val="4"/>
        <w:ind w:firstLine="560"/>
        <w:jc w:val="both"/>
      </w:pPr>
      <w:r>
        <w:rPr>
          <w:rFonts w:ascii="仿宋_GB2312" w:hAnsi="仿宋_GB2312" w:eastAsia="仿宋_GB2312" w:cs="仿宋_GB2312"/>
          <w:color w:val="000000"/>
          <w:sz w:val="28"/>
        </w:rPr>
        <w:t>定期将《运维工作周报》建立禅道任务，同时上报至运维负责人。</w:t>
      </w:r>
    </w:p>
    <w:p w14:paraId="420EC7CC">
      <w:pPr>
        <w:pStyle w:val="4"/>
        <w:ind w:firstLine="720"/>
        <w:jc w:val="left"/>
      </w:pPr>
      <w:r>
        <w:rPr>
          <w:rFonts w:ascii="仿宋_GB2312" w:hAnsi="仿宋_GB2312" w:eastAsia="仿宋_GB2312" w:cs="仿宋_GB2312"/>
          <w:color w:val="000000"/>
          <w:sz w:val="28"/>
        </w:rPr>
        <w:t>3.每月深度巡检、认真排查安全隐患强化安全生产：硬件状态巡检、软件合规巡检、安全防护巡检。根据巡检情况，将本月大厅运维情况汇制成月报上传禅道指派甲方进行检阅。</w:t>
      </w:r>
      <w:r>
        <w:rPr>
          <w:rFonts w:ascii="仿宋_GB2312" w:hAnsi="仿宋_GB2312" w:eastAsia="仿宋_GB2312" w:cs="仿宋_GB2312"/>
          <w:color w:val="000000"/>
          <w:sz w:val="24"/>
        </w:rPr>
        <w:t xml:space="preserve"> </w:t>
      </w:r>
    </w:p>
    <w:p w14:paraId="050BA48A">
      <w:pPr>
        <w:pStyle w:val="4"/>
        <w:ind w:firstLine="560"/>
        <w:jc w:val="both"/>
      </w:pPr>
      <w:r>
        <w:rPr>
          <w:rFonts w:ascii="仿宋_GB2312" w:hAnsi="仿宋_GB2312" w:eastAsia="仿宋_GB2312" w:cs="仿宋_GB2312"/>
          <w:color w:val="000000"/>
          <w:sz w:val="28"/>
        </w:rPr>
        <w:t>（三）质量验收标准或规范</w:t>
      </w:r>
    </w:p>
    <w:p w14:paraId="0ADE8BCB">
      <w:pPr>
        <w:pStyle w:val="4"/>
        <w:ind w:firstLine="560"/>
        <w:jc w:val="both"/>
      </w:pPr>
      <w:r>
        <w:rPr>
          <w:rFonts w:ascii="仿宋_GB2312" w:hAnsi="仿宋_GB2312" w:eastAsia="仿宋_GB2312" w:cs="仿宋_GB2312"/>
          <w:color w:val="000000"/>
          <w:sz w:val="28"/>
        </w:rPr>
        <w:t>1. 服务内容、成果、交付时间与合同约定一致，流程合规、资料完整；</w:t>
      </w:r>
    </w:p>
    <w:p w14:paraId="7837F091">
      <w:pPr>
        <w:pStyle w:val="4"/>
        <w:ind w:firstLine="560"/>
        <w:jc w:val="both"/>
      </w:pPr>
      <w:r>
        <w:rPr>
          <w:rFonts w:ascii="仿宋_GB2312" w:hAnsi="仿宋_GB2312" w:eastAsia="仿宋_GB2312" w:cs="仿宋_GB2312"/>
          <w:color w:val="000000"/>
          <w:sz w:val="28"/>
        </w:rPr>
        <w:t>2. 服务响应及时、沟通高效，问题处理闭环，满足采购方实际需求；</w:t>
      </w:r>
    </w:p>
    <w:p w14:paraId="34EFBA26">
      <w:pPr>
        <w:pStyle w:val="4"/>
        <w:ind w:firstLine="560"/>
        <w:jc w:val="both"/>
      </w:pPr>
      <w:r>
        <w:rPr>
          <w:rFonts w:ascii="仿宋_GB2312" w:hAnsi="仿宋_GB2312" w:eastAsia="仿宋_GB2312" w:cs="仿宋_GB2312"/>
          <w:color w:val="000000"/>
          <w:sz w:val="28"/>
        </w:rPr>
        <w:t>3. 服务质量、专业度达标，无违规操作与安全隐患；</w:t>
      </w:r>
    </w:p>
    <w:p w14:paraId="4F588D8D">
      <w:pPr>
        <w:pStyle w:val="4"/>
        <w:ind w:firstLine="560"/>
        <w:jc w:val="both"/>
      </w:pPr>
      <w:r>
        <w:rPr>
          <w:rFonts w:ascii="仿宋_GB2312" w:hAnsi="仿宋_GB2312" w:eastAsia="仿宋_GB2312" w:cs="仿宋_GB2312"/>
          <w:color w:val="000000"/>
          <w:sz w:val="28"/>
        </w:rPr>
        <w:t>4. 验收合格签署确认，不合格限期整改后复验。</w:t>
      </w:r>
    </w:p>
    <w:p w14:paraId="5A352755">
      <w:pPr>
        <w:pStyle w:val="4"/>
        <w:ind w:firstLine="560"/>
        <w:jc w:val="both"/>
      </w:pPr>
      <w:r>
        <w:rPr>
          <w:rFonts w:ascii="仿宋_GB2312" w:hAnsi="仿宋_GB2312" w:eastAsia="仿宋_GB2312" w:cs="仿宋_GB2312"/>
          <w:color w:val="000000"/>
          <w:sz w:val="28"/>
        </w:rPr>
        <w:t>（四）违约责任</w:t>
      </w:r>
    </w:p>
    <w:p w14:paraId="32A98F5F">
      <w:r>
        <w:rPr>
          <w:rFonts w:ascii="仿宋_GB2312" w:hAnsi="仿宋_GB2312" w:eastAsia="仿宋_GB2312" w:cs="仿宋_GB2312"/>
          <w:color w:val="000000"/>
          <w:sz w:val="28"/>
        </w:rPr>
        <w:t>乙方未按合同约定时限交付成果，或运维服务质量达不到合同及信息化运维相关规范要求的，每逾期一日，应按合同总金额的0.05% 向甲方支付违约金；违约金累计总额不超过合同总金额。服务质量不符合约定标准的，甲方有权要求乙方限期完成整改，乙方应当采取补救措施，并承担由此给甲方造成的全部经济损失。经甲方催告后，乙方在约定期限内仍未整改到位，或发生严重违约情形，影响不动产相关业务正常运行的，甲方有权单方解除合同，并就全部实际损失向乙方进行追偿。</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singleLevel"/>
    <w:tmpl w:val="0053208E"/>
    <w:lvl w:ilvl="0" w:tentative="0">
      <w:start w:val="1"/>
      <w:numFmt w:val="bullet"/>
      <w:lvlText w:val=""/>
      <w:lvlJc w:val="left"/>
      <w:pPr>
        <w:ind w:left="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6EE543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2026-09-30T03:33:21Z</dcterms:created>
  <dc:creator>Administrator</dc:creator>
  <cp:lastModifiedBy>7⃣️℃ </cp:lastModifiedBy>
  <dcterms:modified xsi:type="dcterms:W3CDTF">2026-09-30T03:33:31Z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eyJoZGlkIjoiYzBjNmQxMWNiYzI4NTU2YjkwNjBkZDM2MzE5YzVjNmQiLCJ1c2VySWQiOiIyODM2OTI1NzIifQ==</vt:lpwstr>
  </property>
  <property fmtid="{D5CDD505-2E9C-101B-9397-08002B2CF9AE}" pid="4" name="ICV">
    <vt:lpwstr>250FEA6F00A149EC8A521A012969B510_12</vt:lpwstr>
  </property>
</Properties>
</file>