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版本号：SXZM-CS-202614020260816001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咸阳市泾阳县入河排污口规范化建设及整治项目勘察设计服务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SXZM-CS-2026140</w:t>
      </w:r>
      <w:r>
        <w:br/>
      </w:r>
      <w:r>
        <w:br/>
      </w:r>
      <w:r>
        <w:br/>
      </w:r>
    </w:p>
    <w:p>
      <w:pPr>
        <w:pStyle w:val="null3"/>
        <w:jc w:val="center"/>
        <w:outlineLvl w:val="2"/>
      </w:pPr>
      <w:r>
        <w:rPr>
          <w:rFonts w:ascii="仿宋_GB2312" w:hAnsi="仿宋_GB2312" w:cs="仿宋_GB2312" w:eastAsia="仿宋_GB2312"/>
          <w:sz w:val="28"/>
          <w:b/>
        </w:rPr>
        <w:t>咸阳市生态环境局泾阳分局</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咸阳市生态环境局泾阳分局</w:t>
      </w:r>
      <w:r>
        <w:rPr>
          <w:rFonts w:ascii="仿宋_GB2312" w:hAnsi="仿宋_GB2312" w:cs="仿宋_GB2312" w:eastAsia="仿宋_GB2312"/>
        </w:rPr>
        <w:t>委托，拟对</w:t>
      </w:r>
      <w:r>
        <w:rPr>
          <w:rFonts w:ascii="仿宋_GB2312" w:hAnsi="仿宋_GB2312" w:cs="仿宋_GB2312" w:eastAsia="仿宋_GB2312"/>
        </w:rPr>
        <w:t>咸阳市泾阳县入河排污口规范化建设及整治项目勘察设计服务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SXZM-CS-2026140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咸阳市泾阳县入河排污口规范化建设及整治项目勘察设计服务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泾阳县入河排污口规范化建设及整治项目。项目拟新建3座污水处理站（总处理规模达100m³/日）、敷设污水收集管网53530米、配套检查井938座；新建16座污水资源化利用设施（总处理规模达60m³/日）；修建生态沟渠1690米。本次项目是对泾阳县入河排污口规范化建设及整治项目前期工程勘察、工程测量、初步设计、施工图设计等专业服务内容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采购包1（咸阳市泾阳县入河排污口规范化建设及整治项目勘察设计服务）：属于专门面向中小企业采购。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1、营业执照等主体资格证明文件：提供有效存续的企业营业执照（副本）/事业单位法人证书/专业服务机构执业许可证/民办非企业单位登记证书/自然人身份证明；</w:t>
      </w:r>
    </w:p>
    <w:p>
      <w:pPr>
        <w:pStyle w:val="null3"/>
      </w:pPr>
      <w:r>
        <w:rPr>
          <w:rFonts w:ascii="仿宋_GB2312" w:hAnsi="仿宋_GB2312" w:cs="仿宋_GB2312" w:eastAsia="仿宋_GB2312"/>
        </w:rPr>
        <w:t>2、财务状况报告：提供具有经审计资质单位出具赋码的完整2025年度的财务审计报告，成立时间至递交首次响应文件截止时间不足一年的可提供成立后任意时段的资产负债表；或其开标前六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首次磋商响应文件递交截止时间前1年内已缴纳至少一个月的纳税证明或完税证明（除印花税、个人所得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保缴纳证明：提供首次磋商响应文件递交截止时间前1年内已缴纳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5、履行合同承诺函：提供具有履行合同所必需的设备和专业技术能力的承诺；</w:t>
      </w:r>
    </w:p>
    <w:p>
      <w:pPr>
        <w:pStyle w:val="null3"/>
      </w:pPr>
      <w:r>
        <w:rPr>
          <w:rFonts w:ascii="仿宋_GB2312" w:hAnsi="仿宋_GB2312" w:cs="仿宋_GB2312" w:eastAsia="仿宋_GB2312"/>
        </w:rPr>
        <w:t>6、无重大违法记录书面声明：参加政府采购活动前3年内，在经营活动中没有重大违法记录的书面声明；</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 评审依据：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8、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9、企业资质要求：供应商须具备国家建设行政主管部门颁发的【工程勘察专业类(岩土工程)乙级及以上资质或工程勘察综合资质甲级资质】及具备建设行政主管部门颁发的【工程设计综合甲级资质或市政行业（给水工程、排水工程）乙级及以上资质或市政行业乙级及以上资质或市政行业(燃气工程、轨道交通工程除外)乙级及以上资质或环境工程专项资质水污染防治工程乙级及以上资质】。</w:t>
      </w:r>
    </w:p>
    <w:p>
      <w:pPr>
        <w:pStyle w:val="null3"/>
      </w:pPr>
      <w:r>
        <w:rPr>
          <w:rFonts w:ascii="仿宋_GB2312" w:hAnsi="仿宋_GB2312" w:cs="仿宋_GB2312" w:eastAsia="仿宋_GB2312"/>
        </w:rPr>
        <w:t>10、拟派项目负责人资格要求：拟派项目负责人具备相关专业高级及以上技术职称；</w:t>
      </w:r>
    </w:p>
    <w:p>
      <w:pPr>
        <w:pStyle w:val="null3"/>
      </w:pPr>
      <w:r>
        <w:rPr>
          <w:rFonts w:ascii="仿宋_GB2312" w:hAnsi="仿宋_GB2312" w:cs="仿宋_GB2312" w:eastAsia="仿宋_GB2312"/>
        </w:rPr>
        <w:t>11、基本信息要求：供应商资质基本信息及项目负责人基本信息应在“陕西省住房和城乡建设厅网（http://js.shaanxi.gov.cn/）-办事服务-企业库/人员库-可查询或全国建筑市场监管公共服务平台可查询；</w:t>
      </w:r>
    </w:p>
    <w:p>
      <w:pPr>
        <w:pStyle w:val="null3"/>
      </w:pPr>
      <w:r>
        <w:rPr>
          <w:rFonts w:ascii="仿宋_GB2312" w:hAnsi="仿宋_GB2312" w:cs="仿宋_GB2312" w:eastAsia="仿宋_GB2312"/>
        </w:rPr>
        <w:t>12、信用记录：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13、控股管理关系：单位负责人为同一人或者存在直接控股、管理关系的供应商，不得参加同一合同下的政府采购活动；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14、供应商书面声明：供应商未为本项目提供整体设计、规范编制或者项目管理、监理、检测等服务的书面声明；</w:t>
      </w:r>
    </w:p>
    <w:p>
      <w:pPr>
        <w:pStyle w:val="null3"/>
      </w:pPr>
      <w:r>
        <w:rPr>
          <w:rFonts w:ascii="仿宋_GB2312" w:hAnsi="仿宋_GB2312" w:cs="仿宋_GB2312" w:eastAsia="仿宋_GB2312"/>
        </w:rPr>
        <w:t>15、供应商参与磋商的承诺函：符合竞争性磋商文件要求。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咸阳市生态环境局泾阳分局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咸阳市泾阳县泾干街道粮集路与中心街交汇处西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029-36227681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樊睿、陶艳双、寻宇超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029-88855325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 招标代理服务费公布方式：代理服务费金额将在成交公告中明确，成交单位在领取成交通知书前，须向采购代理机构一次性支付招标代理服务费。 代理服务费账户信息： 户 名：陕西正明项目管理有限公司 开户行：中国民生银行股份有限公司西安高新科技支行 账 号：170455461;请成交供应商按照要求将服务费汇入以上指定账户，如因自身原因发生错误，产生的不利后果均由供应商自行承担。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咸阳市生态环境局泾阳分局</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咸阳市生态环境局泾阳分局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咸阳市生态环境局泾阳分局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联系人：樊睿、陶艳双、寻宇超</w:t>
      </w:r>
    </w:p>
    <w:p>
      <w:pPr>
        <w:pStyle w:val="null3"/>
      </w:pPr>
      <w:r>
        <w:rPr>
          <w:rFonts w:ascii="仿宋_GB2312" w:hAnsi="仿宋_GB2312" w:cs="仿宋_GB2312" w:eastAsia="仿宋_GB2312"/>
        </w:rPr>
        <w:t>联系电话：029-88855325</w:t>
      </w:r>
    </w:p>
    <w:p>
      <w:pPr>
        <w:pStyle w:val="null3"/>
      </w:pPr>
      <w:r>
        <w:rPr>
          <w:rFonts w:ascii="仿宋_GB2312" w:hAnsi="仿宋_GB2312" w:cs="仿宋_GB2312" w:eastAsia="仿宋_GB2312"/>
        </w:rPr>
        <w:t>地址：陕西省西安市雁塔区科技二路71号竹园天寰国际1807室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泾阳县入河排污口规范化建设及整治项目。项目拟新建3座污水处理站（总处理规模达100m³/日）、敷设污水收集管网53530米、配套检查井938座；新建16座污水资源化利用设施（总处理规模达60m³/日）；修建生态沟渠1690米。本次项目是对泾阳县入河排污口规范化建设及整治项目前期工程勘察、工程测量、初步设计、施工图设计等专业服务内容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1,045,000.00</w:t>
      </w:r>
    </w:p>
    <w:p>
      <w:pPr>
        <w:pStyle w:val="null3"/>
      </w:pPr>
      <w:r>
        <w:rPr>
          <w:rFonts w:ascii="仿宋_GB2312" w:hAnsi="仿宋_GB2312" w:cs="仿宋_GB2312" w:eastAsia="仿宋_GB2312"/>
        </w:rPr>
        <w:t>采购包最高限价（元）: 1,045,000.00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工程勘察、测量、初设、施工图设计等专业服务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标的名称：工程勘察、测量、初设、施工图设计等专业服务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服务内容</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现场工程勘察、岩土勘察</w:t>
            </w:r>
            <w:r>
              <w:rPr>
                <w:rFonts w:ascii="仿宋_GB2312" w:hAnsi="仿宋_GB2312" w:cs="仿宋_GB2312" w:eastAsia="仿宋_GB2312"/>
                <w:sz w:val="20"/>
                <w:color w:val="000000"/>
              </w:rPr>
              <w:t>、全域工程测量，形成完整勘察测量成果资料；</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编制项目初步设计文件，配合</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组织技术评审，根据评审意见修改完善，直至取得主管部门项目审批意见；</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编制全套施工图设计文件，完成图纸自查，配合第三方图纸审查机构完成审图，取得合格审图意见；</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全程提供设计技术交底、施工现场驻场技术服务、设计变更、工程量技术核对、竣工验收技术配合等后续服务；</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按</w:t>
            </w:r>
            <w:r>
              <w:rPr>
                <w:rFonts w:ascii="仿宋_GB2312" w:hAnsi="仿宋_GB2312" w:cs="仿宋_GB2312" w:eastAsia="仿宋_GB2312"/>
                <w:sz w:val="20"/>
                <w:color w:val="000000"/>
              </w:rPr>
              <w:t>采购人</w:t>
            </w:r>
            <w:r>
              <w:rPr>
                <w:rFonts w:ascii="仿宋_GB2312" w:hAnsi="仿宋_GB2312" w:cs="仿宋_GB2312" w:eastAsia="仿宋_GB2312"/>
                <w:sz w:val="20"/>
                <w:color w:val="000000"/>
              </w:rPr>
              <w:t>要求整理全套勘察、测量、设计纸质版、电子版成果档案并移交甲方。</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）服务要求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1）供应商承诺成交后按采购人的意愿优化设计方案，并做好服务等工作。（提供承诺函，格式自拟）</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2）供应商承诺成交后按采购人的意愿对工程变更所造成的设计方案变更配合并做好相应的服务等工作。（提供承诺函，格式自拟）</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3）供应商不得向第三人泄露、泄露采购单位的产品图纸等技术经济资料。如发生以上情况并给采购单位造成损失，采购人有权向供应商追责。</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4）提交的勘察设计文件应符合现行规程、规范等要求。并应通过相关部门的审查。</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5）在设计过程中，如果国家或有关部门颁布了新的技术标准或规范，则供应商应采用新的标准或规范进行设计。</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6）编制成果符合现行国家或行业、</w:t>
            </w:r>
            <w:r>
              <w:rPr>
                <w:rFonts w:ascii="仿宋_GB2312" w:hAnsi="仿宋_GB2312" w:cs="仿宋_GB2312" w:eastAsia="仿宋_GB2312"/>
                <w:sz w:val="20"/>
                <w:color w:val="000000"/>
              </w:rPr>
              <w:t>陕西</w:t>
            </w:r>
            <w:r>
              <w:rPr>
                <w:rFonts w:ascii="仿宋_GB2312" w:hAnsi="仿宋_GB2312" w:cs="仿宋_GB2312" w:eastAsia="仿宋_GB2312"/>
                <w:sz w:val="20"/>
                <w:color w:val="000000"/>
              </w:rPr>
              <w:t>省及地方有关规定、标准、规范的要求。若相关国家标准、行业标准等规定、规范内容不一致或冲突的，以国家标准为准。</w:t>
            </w:r>
          </w:p>
          <w:p>
            <w:pPr>
              <w:pStyle w:val="null3"/>
              <w:jc w:val="both"/>
            </w:pPr>
            <w:r>
              <w:rPr>
                <w:rFonts w:ascii="仿宋_GB2312" w:hAnsi="仿宋_GB2312" w:cs="仿宋_GB2312" w:eastAsia="仿宋_GB2312"/>
                <w:sz w:val="20"/>
                <w:b/>
                <w:color w:val="000000"/>
              </w:rPr>
              <w:t>（三）成果要求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初步设计及工程概算4套、施工图设计6套、勘察报告6套、电子文档1套。报告须经相关部门、机构审查合格。提交成果资料以双方书面交接为准。成交供应商应保证所提供的服务或其任何一部分均不会侵犯任何第三方的专利权、商标权或著作权。 （2）主要成果版本包括纸质文档和相对应的电子版文件，供应商须按采购人提出的内容和要求完成最终成果的编制，并提交相应的最终成果。</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3）最终成果内容必须清晰完整，说明应准确、完整地阐述其项目意图和内容。供应商应按上报所需的要求向采购人提供相应的文本及资料。</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4）电子版文件要求：全部最终成果均应制作电子版文件，图片采用JPG的文件格式，图册说明书文件采用图文文本格式文件。</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5）按要求配合完成财政投资评审中心相关评审工作。</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6）若采购人要求增加成果文件份数，供应商按要求提供。</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服务标准</w:t>
            </w:r>
          </w:p>
          <w:p>
            <w:pPr>
              <w:pStyle w:val="null3"/>
              <w:jc w:val="both"/>
            </w:pPr>
            <w:r>
              <w:rPr>
                <w:rFonts w:ascii="仿宋_GB2312" w:hAnsi="仿宋_GB2312" w:cs="仿宋_GB2312" w:eastAsia="仿宋_GB2312"/>
                <w:sz w:val="20"/>
                <w:color w:val="000000"/>
              </w:rPr>
              <w:t>通过精准勘察测量与合规设计，构建</w:t>
            </w:r>
            <w:r>
              <w:rPr>
                <w:rFonts w:ascii="仿宋_GB2312" w:hAnsi="仿宋_GB2312" w:cs="仿宋_GB2312" w:eastAsia="仿宋_GB2312"/>
                <w:sz w:val="20"/>
                <w:color w:val="000000"/>
              </w:rPr>
              <w:t>“末端管控 + 源头治理” 协同治污体系，保障农村污水收集处置、生态拦截工程落地实施，削减入河污染物负荷，确保泾河、冶峪河、清峪河水质稳定达到《地表水环境质量标准》（GB 3838-2002）Ⅲ 类标准，满足黄河流域水生态保护治理要求。</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）其它要求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）成交供应商在服务实施过程中的安全责任由供应商负全责，采购人不承担任何安全责任，也不承担如发生安全事故产生的任何责任。</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）其他未尽事宜由采购人与成交供应商在采购合同中约定。</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）本章引用的法律法规和技术规范若出现更新，以最新文件要求执行。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自本合同签订之日起45 个工作日内，完成全部勘察、测量、初步设计、施工图及审图配合工作。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预付款，本合同签订后30个工作日内，乙方向甲方提交付款申请及等额合法发票，甲方审核无误后3个工作日内支付合同总价款40%。，达到付款条件起30个工作日内，支付合同总金额的40.0%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进度款，乙方完成岩土勘察成果、完整初步设计文件，根据甲方组织技术评审意见完成修改，提交评审修订版成果，取得主管部门项目审批意见后，乙方提交付款申请与发票，甲方3个工作日内支付合同总价款 20%。，达到付款条件起3个工作日内，支付合同总金额的20.0%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进度款，乙方提交全套施工图，经第三方图纸审查合格并取得审图合格意见，交付完整施工图纸及审图资料，乙方提交付款申请与发票，甲方3个工作日内支付合同总价款 30%。，达到付款条件起3个工作日内，支付合同总金额的30.0%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进度款，本项目整体工程交工验收合格，乙方完成全部技术配合、成果资料完整移交，履约验收通过后，乙方提交付款申请与发票，甲方3个工作日内付清剩余10% 尾款。，达到付款条件起3个工作日内，支付合同总金额的10.0%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在领取中标（成交）通知书时，向采购代理机构提供一正两副纸质响应文件，用于项目归档使用。纸质版与电子交易平台上传的响应文件必须保持一致，若纸质版响应文件与上传政府采购系统电子版不一致时，以政府采购平台上传版为准。 2.供应商应自磋商文件递交截止时间起至磋商结束，保持在线状态。 3.本项目所属行业为：其他未列明行业。按照《工信部 国家统计局 发改委 财政部 工信部联企业》中小企业划型标准（〔2011〕300号）规定，其他未列明行业中小企业判定标准为：从业人员 300 人以下的为中小微型企业。其中，从业人员 100 人及以上的为中型企业;从业人员10人及以上的为小型企业;从业人员 10 人以下的为微型企业。 4.关于信用记录的查询和使用：①采购人将在资格审查阶段通过【信用中国（www.creditchina.gov.cn）】、【中国政府采购网（www.ccgp.gov.cn）】网站的截图对投标文件中的《供应商书面声明函》的信用情况进行甄别。对列入失信被执行人、重大税收违法失信主体、政府采购严重违法失信行为记录名单及其他不符合《中华人民共和国政府采购法》第二十二条规定条件的供应商，根据《关于在政府采购活动中查询及使用信用记录有关问题的通知》（财库〔2016〕125号）的第二条第（三）款规定，其投标或中标资格将被取消。 ②截至本项目开标前三年内因违法经营受到刑事处罚或者责令停产停业、吊销许可证或者执照、较大数额罚款等行政处罚的，其响应无效，无效响应供应商的信用记录查询结果截图将作为项目材料的组成部分。③较大数额罚款认定为200万元以上的罚款，法律、行政法规以及国务院有关部门明确规定相关领域“较大数额罚款”标准高于200万元的，从其规定。④供应商在参加政府采购活动前3年内因违法经营被禁止在一定期限内参加政府采购活动，期限届满的，可以参加政府采购活动的，但供应商应提供相关证明材料。⑤供应商信用记录查询的时间段为“招标公告发布之日（含当日）至提交投标文件截止之日（含当日）”。信用记录查询的结果，可以纸质截图或将截图保存至电子介质的形式留存。供应商未如实填报《供应商书面声明函》的，视为“供应商提供虚假材料谋取中标的”行为。 5.因政府采购系统设置局限性，本项目实际支付结算方式以第八章拟签订采购合同文本为准。 6.代理机构邮箱：sxzmxmgl@163.com。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赋码的完整2025年度的财务审计报告，成立时间至递交首次响应文件截止时间不足一年的可提供成立后任意时段的资产负债表；或其开标前六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除印花税、个人所得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提供首次磋商响应文件递交截止时间前1年内已缴纳至少一个月的社会保障资金缴存单据或社保机构开具的社会保险参保缴费情况证明，依法不需要缴纳社会保障资金的单位应提供相关证明材料；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 评审依据：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国家建设行政主管部门颁发的【工程勘察专业类(岩土工程)乙级及以上资质或工程勘察综合资质甲级资质】及具备建设行政主管部门颁发的【工程设计综合甲级资质或市政行业（给水工程、排水工程）乙级及以上资质或市政行业乙级及以上资质或市政行业(燃气工程、轨道交通工程除外)乙级及以上资质或环境工程专项资质水污染防治工程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拟派项目负责人具备相关专业高级及以上技术职称；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供应商资质基本信息及项目负责人基本信息应在“陕西省住房和城乡建设厅网（http://js.shaanxi.gov.cn/）-办事服务-企业库/人员库-可查询或全国建筑市场监管公共服务平台可查询；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15</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技术方案.docx 标的清单 符合性证明文件.docx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响应文件封面 符合性证明文件.docx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符合性证明文件.docx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符合性证明文件.docx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技术服务条款响应</w:t>
            </w:r>
          </w:p>
        </w:tc>
        <w:tc>
          <w:tcPr>
            <w:tcW w:type="dxa" w:w="3322"/>
          </w:tcPr>
          <w:p>
            <w:pPr>
              <w:pStyle w:val="null3"/>
            </w:pPr>
            <w:r>
              <w:rPr>
                <w:rFonts w:ascii="仿宋_GB2312" w:hAnsi="仿宋_GB2312" w:cs="仿宋_GB2312" w:eastAsia="仿宋_GB2312"/>
              </w:rPr>
              <w:t>完全理解并接受磋商文件第三章磋商项目技术、服务、商务及其他要求的规定，不得负偏离。</w:t>
            </w:r>
          </w:p>
        </w:tc>
        <w:tc>
          <w:tcPr>
            <w:tcW w:type="dxa" w:w="1661"/>
          </w:tcPr>
          <w:p>
            <w:pPr>
              <w:pStyle w:val="null3"/>
            </w:pPr>
            <w:r>
              <w:rPr>
                <w:rFonts w:ascii="仿宋_GB2312" w:hAnsi="仿宋_GB2312" w:cs="仿宋_GB2312" w:eastAsia="仿宋_GB2312"/>
              </w:rPr>
              <w:t>符合性证明文件.docx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完全理解并接受磋商文件第八章拟签订采购合同文本的规定，不得负偏离。</w:t>
            </w:r>
          </w:p>
        </w:tc>
        <w:tc>
          <w:tcPr>
            <w:tcW w:type="dxa" w:w="1661"/>
          </w:tcPr>
          <w:p>
            <w:pPr>
              <w:pStyle w:val="null3"/>
            </w:pPr>
            <w:r>
              <w:rPr>
                <w:rFonts w:ascii="仿宋_GB2312" w:hAnsi="仿宋_GB2312" w:cs="仿宋_GB2312" w:eastAsia="仿宋_GB2312"/>
              </w:rPr>
              <w:t>符合性证明文件.docx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没有不符合磋商文件及法律法规规定的被视为无效响应的其他条款，不能有采购人不能接受的附加条件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响应文件封面 技术方案.docx 符合性证明文件.docx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对本项目的需求分析、关键技术问题的分析及其对策措施</w:t>
            </w:r>
          </w:p>
        </w:tc>
        <w:tc>
          <w:tcPr>
            <w:tcW w:type="dxa" w:w="2492"/>
          </w:tcPr>
          <w:p>
            <w:pPr>
              <w:pStyle w:val="null3"/>
            </w:pPr>
            <w:r>
              <w:rPr>
                <w:rFonts w:ascii="仿宋_GB2312" w:hAnsi="仿宋_GB2312" w:cs="仿宋_GB2312" w:eastAsia="仿宋_GB2312"/>
              </w:rPr>
              <w:t>根据供应商针对本项目实际需求编制的需求分析、关键技术问题的分析及其对策措施进行评审； 措施内容完整、完全结合本项目特点编制；所有措实具体详实、可落地、可执行、可核查，权责清晰、管控闭环完善，无任何实质性缺陷、无一般性瑕疵，针对性极强得4分； 措施内容完整、思路合理，贴合本项目实际需求，具备较强的项目针对性；不存在实质性缺陷；仅存在少量非关键性、不影响整体落地的细节瑕疵（如表述简略、个别细节不够细化）得3分； 措施内容基本合理，具备基本的项目针对性，能够匹配项目基础需求；但存在部分实质性缺陷，与项目现场实际结合度一般等，措施有限得2分； 措施内容单薄、较为笼统；项目贴合度、针对性偏弱，未有效结合本项目特点；实质性缺陷较多得1分；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勘察设计依据及工作目标</w:t>
            </w:r>
          </w:p>
        </w:tc>
        <w:tc>
          <w:tcPr>
            <w:tcW w:type="dxa" w:w="2492"/>
          </w:tcPr>
          <w:p>
            <w:pPr>
              <w:pStyle w:val="null3"/>
            </w:pPr>
            <w:r>
              <w:rPr>
                <w:rFonts w:ascii="仿宋_GB2312" w:hAnsi="仿宋_GB2312" w:cs="仿宋_GB2312" w:eastAsia="仿宋_GB2312"/>
              </w:rPr>
              <w:t>根据供应商针对本项目实际需求编制勘察设计依据及工作目标进行评审； 内容完整、完全结合本项目特点编制；所有依据及目标详实、可落地、可执行、可核查，无任何实质性缺陷、无一般性瑕疵，针对性极强得4分； 内容完整、思路合理，贴合本项目实际需求，具备较强的项目针对性；不存在实质性缺陷；仅存在少量非关键性、不影响整体落地的细节瑕疵（如表述简略、个别细节不够细化）得3分； 内容基本合理，具备基本的项目针对性，能够匹配项目基础需求；但存在部分实质性缺陷，与项目现场实际结合度一般等2分； 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勘察设计机构设置和岗位职责</w:t>
            </w:r>
          </w:p>
        </w:tc>
        <w:tc>
          <w:tcPr>
            <w:tcW w:type="dxa" w:w="2492"/>
          </w:tcPr>
          <w:p>
            <w:pPr>
              <w:pStyle w:val="null3"/>
            </w:pPr>
            <w:r>
              <w:rPr>
                <w:rFonts w:ascii="仿宋_GB2312" w:hAnsi="仿宋_GB2312" w:cs="仿宋_GB2312" w:eastAsia="仿宋_GB2312"/>
              </w:rPr>
              <w:t>根据供应商针对本项目实际需求编制勘察设计机构设置和岗位职责进行评审； 内容完整、完全结合本项目特点编制；内容标详实、可落地、可执行、可核查，无任何实质性缺陷、无一般性瑕疵，针对性极强得4分； 内容完整、思路合理，贴合本项目实际需求，具备较强的项目针对性；不存在实质性缺陷；仅存在少量非关键性、不影响整体落地的细节瑕疵（如表述简略、个别细节不够细化）得3分； 内容基本合理，具备基本的项目针对性，能够匹配项目基础需求；但存在部分实质性缺陷，与项目现场实际结合度一般等2分； 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根据供应商针对本项目实际需求编制质量保证措施进行评审； 措施内容完整、完全结合本项目特点编制；内容标详实、可落地、可执行、可核查，无任何实质性缺陷、无一般性瑕疵，针对性极强得4分； 措施内容完整、思路合理，贴合本项目实际需求，具备较强的项目针对性；不存在实质性缺陷；仅存在少量非关键性、不影响整体落地的细节瑕疵（如表述简略、个别细节不够细化）得3分； 措施内容基本合理，具备基本的项目针对性，能够匹配项目基础需求；但存在部分实质性缺陷，与项目现场实际结合度一般等2分； 措施内容单薄、较为笼统；项目贴合度、针对性偏弱，未有效结合本项目特点；实质性缺陷较多得1分；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根据供应商针对本项目实际需求编制进度保障措施进行评审； 措施内容完整、完全结合本项目特点编制；内容标详实、可落地、可执行、可核查，无任何实质性缺陷、无一般性瑕疵，针对性极强得4分； 措施内容完整、思路合理，贴合本项目实际需求，具备较强的项目针对性；不存在实质性缺陷；仅存在少量非关键性、不影响整体落地的细节瑕疵（如表述简略、个别细节不够细化）得3分； 措施内容基本合理，具备基本的项目针对性，能够匹配项目基础需求；但存在部分实质性缺陷，与项目现场实际结合度一般等2分； 措施内容单薄、较为笼统；项目贴合度、针对性偏弱，未有效结合本项目特点；实质性缺陷较多得1分；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根据供应商针对本项目实际需求编制安全保证措施进行评审； 措施内容完整、完全结合本项目特点编制；内容标详实、可落地、可执行、可核查，无任何实质性缺陷、无一般性瑕疵，针对性极强得4分； 措施内容完整、思路合理，贴合本项目实际需求，具备较强的项目针对性；不存在实质性缺陷；仅存在少量非关键性、不影响整体落地的细节瑕疵（如表述简略、个别细节不够细化）得3分； 措施内容基本合理，具备基本的项目针对性，能够匹配项目基础需求；但存在部分实质性缺陷，与项目现场实际结合度一般等2分； 措施内容单薄、较为笼统；项目贴合度、针对性偏弱，未有效结合本项目特点；实质性缺陷较多得1分；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后续服务计划、工作及人员安排</w:t>
            </w:r>
          </w:p>
        </w:tc>
        <w:tc>
          <w:tcPr>
            <w:tcW w:type="dxa" w:w="2492"/>
          </w:tcPr>
          <w:p>
            <w:pPr>
              <w:pStyle w:val="null3"/>
            </w:pPr>
            <w:r>
              <w:rPr>
                <w:rFonts w:ascii="仿宋_GB2312" w:hAnsi="仿宋_GB2312" w:cs="仿宋_GB2312" w:eastAsia="仿宋_GB2312"/>
              </w:rPr>
              <w:t>根据供应商针对本项目实际需求编制后续服务计划、工作及人员安排进行评审； 内容完整、完全结合本项目特点编制；内容标详实、可落地、可执行、可核查，无任何实质性缺陷、无一般性瑕疵，针对性极强得4分； 内容完整、思路合理，贴合本项目实际需求，具备较强的项目针对性；不存在实质性缺陷；仅存在少量非关键性、不影响整体落地的细节瑕疵（如表述简略、个别细节不够细化）得3分； 内容基本合理，具备基本的项目针对性，能够匹配项目基础需求；但存在部分实质性缺陷，与项目现场实际结合度一般等2分； 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根据供应商针对本项目实际需求编制后续服务保障措施进行评审； 措施内容完整、完全结合本项目特点编制；内容标详实、可落地、可执行、可核查，无任何实质性缺陷、无一般性瑕疵，针对性极强得4分； 措施内容完整、思路合理，贴合本项目实际需求，具备较强的项目针对性；不存在实质性缺陷；仅存在少量非关键性、不影响整体落地的细节瑕疵（如表述简略、个别细节不够细化）得3分； 措施内容基本合理，具备基本的项目针对性，能够匹配项目基础需求；但存在部分实质性缺陷，与项目现场实际结合度一般等2分； 措施内容单薄、较为笼统；项目贴合度、针对性偏弱，未有效结合本项目特点；实质性缺陷较多得1分；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后续服务响应时间</w:t>
            </w:r>
          </w:p>
        </w:tc>
        <w:tc>
          <w:tcPr>
            <w:tcW w:type="dxa" w:w="2492"/>
          </w:tcPr>
          <w:p>
            <w:pPr>
              <w:pStyle w:val="null3"/>
            </w:pPr>
            <w:r>
              <w:rPr>
                <w:rFonts w:ascii="仿宋_GB2312" w:hAnsi="仿宋_GB2312" w:cs="仿宋_GB2312" w:eastAsia="仿宋_GB2312"/>
              </w:rPr>
              <w:t>根据供应商针对本项目实际需求编制后续服务响应时间进行评审； 内容完整、完全结合本项目特点编制；内容标详实、可落地、可执行、可核查，无任何实质性缺陷、无一般性瑕疵，针对性极强得4分； 内容完整、思路合理，贴合本项目实际需求，具备较强的项目针对性；不存在实质性缺陷；仅存在少量非关键性、不影响整体落地的细节瑕疵（如表述简略、个别细节不够细化）得3分； 内容基本合理，具备基本的项目针对性，能够匹配项目基础需求；但存在部分实质性缺陷，与项目现场实际结合度一般等2分； 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根据供应商针对本项目实际需求编制应急处理方案进行评审； 方案内容完整、完全结合本项目特点编制；内容标详实、可落地、可执行、可核查，无任何实质性缺陷、无一般性瑕疵，针对性极强得4分； 方案内容完整、思路合理，贴合本项目实际需求，具备较强的项目针对性；不存在实质性缺陷；仅存在少量非关键性、不影响整体落地的细节瑕疵（如表述简略、个别细节不够细化）得3分； 方案内容基本合理，具备基本的项目针对性，能够匹配项目基础需求；但存在部分实质性缺陷，与项目现场实际结合度一般等2分； 方案内容单薄、较为笼统；项目贴合度、针对性偏弱，未有效结合本项目特点；实质性缺陷较多得1分； 未提供相关内容不得分。 备注：方案出现下列任意一种情形，即判定存在实质性缺陷：①不满足本项目需求的；②缺少关键节点或表述不完整；③方案有误或前后矛盾、不一致；④内容与本项目无关、仅有标题或简单的文字描述、存在项目名称或地点区域错误；⑤涉及的规范、标准与本项目要求不一致或存在与专业知识不符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（1）项目负责人:具有注册公用设备工程师（给水排水）证书的得5分。 （2）技术负责人：具有市政工程相关专业中级技术职称或环境工程中级技术职称得3分，具有市政工程相关专业高级及以上技术职称或环境工程高级及以上技术职称得5分。 （3）勘察负责人:具有注册土木工程师（岩土）得3分；同时具有相关工程专业中级技术职称加1分，具有相关工程专业高级及以上技术职称加2分。本小项满分5分。 （4）结构专业负责人：具有二级及以上注册结构工程师证书得3分，同时具有结构工程相关专业中级及以上职称加2分。本小项满分5分。 （5）造价专业负责人：具有二级及以上注册造价工程师证书得3分，同时具有工程造价中级及以上职称加2分。本小项满分5分。 注：以上人员不重复计分，须提供相应证书扫描件或电子件。</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（1）2023年1月1日（含）以来，供应商每具有一个类似勘察项目业绩得5分，每增加一个业绩加5分，本项最多得10分（类似项目业绩是指市政工程类勘察业绩）； （2）2023年1月1日（含）以来，供应商每具有一个类似设计项目业绩得5分，每增加一个业绩加5分，本项最多得10分。（类似项目业绩是指市政工程类设计业绩） 注：①提供合同/协议，时间以合同/协议签订时间为准。供应商提供的同一业绩包含勘察和设计，可同时计分。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满足竞争性磋商文件要求且评审报价最低的报价为评标基准价，其价格分为满分。其他供应商的价格分统一按照下列公式计算： 磋商报价得分=（有效最低报价/有效磋商报价）×15的公式计算其得分。 磋商报价不完整的，不进入评标基准价的计算，本项得0分。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详见附件：符合性证明文件.docx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