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版本号：DRZB2026-ZC-108.1B120260827001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医院信息系统(HIS)售后运维服务采购项目(二次)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DRZB2026-ZC-108.1B1</w:t>
      </w:r>
      <w:r>
        <w:br/>
      </w:r>
      <w:r>
        <w:br/>
      </w:r>
      <w:r>
        <w:br/>
      </w:r>
    </w:p>
    <w:p>
      <w:pPr>
        <w:pStyle w:val="null3"/>
        <w:jc w:val="center"/>
        <w:outlineLvl w:val="5"/>
      </w:pPr>
      <w:r>
        <w:rPr>
          <w:rFonts w:ascii="仿宋_GB2312" w:hAnsi="仿宋_GB2312" w:cs="仿宋_GB2312" w:eastAsia="仿宋_GB2312"/>
          <w:sz w:val="15"/>
          <w:b/>
        </w:rPr>
        <w:t>陕西省交通医院</w:t>
      </w:r>
    </w:p>
    <w:p>
      <w:pPr>
        <w:pStyle w:val="null3"/>
        <w:jc w:val="center"/>
        <w:outlineLvl w:val="5"/>
      </w:pPr>
      <w:r>
        <w:rPr>
          <w:rFonts w:ascii="仿宋_GB2312" w:hAnsi="仿宋_GB2312" w:cs="仿宋_GB2312" w:eastAsia="仿宋_GB2312"/>
          <w:sz w:val="15"/>
          <w:b/>
        </w:rPr>
        <w:t>陕西德仁招标有限公司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陕西省交通医院</w:t>
      </w:r>
      <w:r>
        <w:rPr>
          <w:rFonts w:ascii="仿宋_GB2312" w:hAnsi="仿宋_GB2312" w:cs="仿宋_GB2312" w:eastAsia="仿宋_GB2312"/>
        </w:rPr>
        <w:t>委托，拟对</w:t>
      </w:r>
      <w:r>
        <w:rPr>
          <w:rFonts w:ascii="仿宋_GB2312" w:hAnsi="仿宋_GB2312" w:cs="仿宋_GB2312" w:eastAsia="仿宋_GB2312"/>
        </w:rPr>
        <w:t>医院信息系统(HIS)售后运维服务采购项目(二次)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DRZB2026-ZC-108.1B1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医院信息系统(HIS)售后运维服务采购项目(二次)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陕西省交通医院医院信息系统(HIS)售后运维服务采购项目（二次），具体内容详见采购文件及服务要求。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协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6、无重大违纪声明：参加本次政府采购活动前3年内在经营活动中没有重大违纪，以及未被列入失信被执行人、重大税收违法失信主体、政府采购严重违法失信行为记录名单的书面声明；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7、法定代表人授权书：法定代表人直接参加协商的，须出具法定代表人身份证明书及身份证；授权代表参加协商的，须出具法定代表人授权书及授权代表身份证；</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9、非联合体协商：本项目不接受联合体协商。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陕西省交通医院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西安市大学南路276号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师宏钟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029-88496852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贺培文、赵璐、曹静、任红欠、张昕玥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029-85565073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采购包1：515,000.00元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采购包1：515,000.00元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中标金额在100万元以内的按照国家计委关于印发《招标代理服务收费管理暂行办法的通知》（计价格[ 2002]1980号）的收费标准收取；中标金额100万元及以上的按照国家计委关于印发《招标代理服务收费管理暂行办法的通知》（计价格[ 2002]1980号）的收费标准下浮20%。 银行户名：陕西德仁招标有限公司 开户银行：招商银行股份有限公司西安城南支行 账 号：1299 0904 6810 901 联系人：苏会计 联系电话：029-89185132 邮箱：sxdrzb@qq.com</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陕西省交通医院</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陕西省交通医院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以采购文件、响应文件及签订合同要求为准。</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联系人：贺培文、赵璐</w:t>
      </w:r>
    </w:p>
    <w:p>
      <w:pPr>
        <w:pStyle w:val="null3"/>
      </w:pPr>
      <w:r>
        <w:rPr>
          <w:rFonts w:ascii="仿宋_GB2312" w:hAnsi="仿宋_GB2312" w:cs="仿宋_GB2312" w:eastAsia="仿宋_GB2312"/>
        </w:rPr>
        <w:t>联系电话： 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陕西省交通医院医院信息系统(HIS)售后运维服务采购项目（二次），具体内容详见采购文件及服务要求。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515,000.00</w:t>
      </w:r>
    </w:p>
    <w:p>
      <w:pPr>
        <w:pStyle w:val="null3"/>
      </w:pPr>
      <w:r>
        <w:rPr>
          <w:rFonts w:ascii="仿宋_GB2312" w:hAnsi="仿宋_GB2312" w:cs="仿宋_GB2312" w:eastAsia="仿宋_GB2312"/>
        </w:rPr>
        <w:t>采购包最高限价（元）: 515,000.00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中联医院信息系统（HIS）售后服务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315,000.00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接口开发服务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标的名称：中联医院信息系统（HIS）售后服务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一、项目概述</w:t>
            </w:r>
          </w:p>
          <w:p>
            <w:pPr>
              <w:pStyle w:val="null3"/>
              <w:jc w:val="both"/>
            </w:pPr>
            <w:r>
              <w:rPr>
                <w:rFonts w:ascii="仿宋_GB2312" w:hAnsi="仿宋_GB2312" w:cs="仿宋_GB2312" w:eastAsia="仿宋_GB2312"/>
                <w:sz w:val="21"/>
              </w:rPr>
              <w:t>采购人自2011年启用医院信息系统（HIS），至今已上线运行多个子系统，包含HIS、CIS、LIS、PACS、EMR、HQMS等信息系统，为保障采购人信息系统正常运行，维护正常的医疗秩序，确保采购人各信息系统数据共享，充分保障患者的医疗权益，现委托具备对应系统原厂维护授权、专业信息系统运维服务能力的供应商，为采购人提供上述系统的全流程售后运维与技术支持服务，进一步加强医院信息系统维护管理与技术支持，完善医院信息系统运维管理体系，提升系统安全保障与服务支撑能力。</w:t>
            </w:r>
          </w:p>
          <w:p>
            <w:pPr>
              <w:pStyle w:val="null3"/>
              <w:jc w:val="both"/>
            </w:pPr>
            <w:r>
              <w:rPr>
                <w:rFonts w:ascii="仿宋_GB2312" w:hAnsi="仿宋_GB2312" w:cs="仿宋_GB2312" w:eastAsia="仿宋_GB2312"/>
                <w:sz w:val="21"/>
              </w:rPr>
              <w:t>本项目服务商须为系统原软件厂商，或取得原厂商针对本项目出具的唯一专项授权文件，具备系统源代码级维护、原厂补丁更新、合规性升级的完整技术能力，确保服务的合法性、连续性与技术匹配性。</w:t>
            </w:r>
          </w:p>
          <w:p>
            <w:pPr>
              <w:pStyle w:val="null3"/>
              <w:jc w:val="both"/>
            </w:pPr>
            <w:r>
              <w:rPr>
                <w:rFonts w:ascii="仿宋_GB2312" w:hAnsi="仿宋_GB2312" w:cs="仿宋_GB2312" w:eastAsia="仿宋_GB2312"/>
                <w:sz w:val="21"/>
                <w:b/>
              </w:rPr>
              <w:t>二、技术要求</w:t>
            </w:r>
          </w:p>
          <w:p>
            <w:pPr>
              <w:pStyle w:val="null3"/>
              <w:jc w:val="both"/>
            </w:pPr>
            <w:r>
              <w:rPr>
                <w:rFonts w:ascii="仿宋_GB2312" w:hAnsi="仿宋_GB2312" w:cs="仿宋_GB2312" w:eastAsia="仿宋_GB2312"/>
                <w:sz w:val="21"/>
                <w:b/>
              </w:rPr>
              <w:t>1. 名词解释</w:t>
            </w:r>
          </w:p>
          <w:p>
            <w:pPr>
              <w:pStyle w:val="null3"/>
              <w:jc w:val="both"/>
            </w:pPr>
            <w:r>
              <w:rPr>
                <w:rFonts w:ascii="仿宋_GB2312" w:hAnsi="仿宋_GB2312" w:cs="仿宋_GB2312" w:eastAsia="仿宋_GB2312"/>
                <w:sz w:val="21"/>
              </w:rPr>
              <w:t>本文件所涉及名词定义严格遵循国家信息技术服务标准（ITSS）、医疗信息化行业规范及相关法律法规，具体如下：</w:t>
            </w:r>
          </w:p>
          <w:p>
            <w:pPr>
              <w:pStyle w:val="null3"/>
              <w:jc w:val="both"/>
            </w:pPr>
            <w:r>
              <w:rPr>
                <w:rFonts w:ascii="仿宋_GB2312" w:hAnsi="仿宋_GB2312" w:cs="仿宋_GB2312" w:eastAsia="仿宋_GB2312"/>
                <w:sz w:val="21"/>
              </w:rPr>
              <w:t xml:space="preserve">1.1 </w:t>
            </w:r>
            <w:r>
              <w:rPr>
                <w:rFonts w:ascii="仿宋_GB2312" w:hAnsi="仿宋_GB2312" w:cs="仿宋_GB2312" w:eastAsia="仿宋_GB2312"/>
                <w:sz w:val="21"/>
                <w:b/>
              </w:rPr>
              <w:t>维护</w:t>
            </w:r>
            <w:r>
              <w:rPr>
                <w:rFonts w:ascii="仿宋_GB2312" w:hAnsi="仿宋_GB2312" w:cs="仿宋_GB2312" w:eastAsia="仿宋_GB2312"/>
                <w:sz w:val="21"/>
              </w:rPr>
              <w:t>：指服务供应商为采购人提供许可软件的全生命周期技术支撑，包括但不限于故障排查与修复、技术指导、运行优化、合规适配、安全加固等服务工作的总称。</w:t>
            </w:r>
          </w:p>
          <w:p>
            <w:pPr>
              <w:pStyle w:val="null3"/>
              <w:jc w:val="both"/>
            </w:pPr>
            <w:r>
              <w:rPr>
                <w:rFonts w:ascii="仿宋_GB2312" w:hAnsi="仿宋_GB2312" w:cs="仿宋_GB2312" w:eastAsia="仿宋_GB2312"/>
                <w:sz w:val="21"/>
              </w:rPr>
              <w:t xml:space="preserve">1.2 </w:t>
            </w:r>
            <w:r>
              <w:rPr>
                <w:rFonts w:ascii="仿宋_GB2312" w:hAnsi="仿宋_GB2312" w:cs="仿宋_GB2312" w:eastAsia="仿宋_GB2312"/>
                <w:sz w:val="21"/>
                <w:b/>
              </w:rPr>
              <w:t>现场</w:t>
            </w:r>
            <w:r>
              <w:rPr>
                <w:rFonts w:ascii="仿宋_GB2312" w:hAnsi="仿宋_GB2312" w:cs="仿宋_GB2312" w:eastAsia="仿宋_GB2312"/>
                <w:sz w:val="21"/>
              </w:rPr>
              <w:t>：指采购人许可系统部署、使用的全部场所，含医院本部院区、各分院区、社区服务点等所有系统终端部署点位。</w:t>
            </w:r>
          </w:p>
          <w:p>
            <w:pPr>
              <w:pStyle w:val="null3"/>
              <w:jc w:val="both"/>
            </w:pPr>
            <w:r>
              <w:rPr>
                <w:rFonts w:ascii="仿宋_GB2312" w:hAnsi="仿宋_GB2312" w:cs="仿宋_GB2312" w:eastAsia="仿宋_GB2312"/>
                <w:sz w:val="21"/>
              </w:rPr>
              <w:t xml:space="preserve">1.3 </w:t>
            </w:r>
            <w:r>
              <w:rPr>
                <w:rFonts w:ascii="仿宋_GB2312" w:hAnsi="仿宋_GB2312" w:cs="仿宋_GB2312" w:eastAsia="仿宋_GB2312"/>
                <w:sz w:val="21"/>
                <w:b/>
              </w:rPr>
              <w:t>现场维护</w:t>
            </w:r>
            <w:r>
              <w:rPr>
                <w:rFonts w:ascii="仿宋_GB2312" w:hAnsi="仿宋_GB2312" w:cs="仿宋_GB2312" w:eastAsia="仿宋_GB2312"/>
                <w:sz w:val="21"/>
              </w:rPr>
              <w:t>：指服务供应商针对采购人提出的技术服务请求，派遣具备对应资质的技术人员到采购人指定现场，完成问题处置、技术服务的全过程。</w:t>
            </w:r>
          </w:p>
          <w:p>
            <w:pPr>
              <w:pStyle w:val="null3"/>
              <w:jc w:val="both"/>
            </w:pPr>
            <w:r>
              <w:rPr>
                <w:rFonts w:ascii="仿宋_GB2312" w:hAnsi="仿宋_GB2312" w:cs="仿宋_GB2312" w:eastAsia="仿宋_GB2312"/>
                <w:sz w:val="21"/>
              </w:rPr>
              <w:t xml:space="preserve">1.4 </w:t>
            </w:r>
            <w:r>
              <w:rPr>
                <w:rFonts w:ascii="仿宋_GB2312" w:hAnsi="仿宋_GB2312" w:cs="仿宋_GB2312" w:eastAsia="仿宋_GB2312"/>
                <w:sz w:val="21"/>
                <w:b/>
              </w:rPr>
              <w:t>远程维护</w:t>
            </w:r>
            <w:r>
              <w:rPr>
                <w:rFonts w:ascii="仿宋_GB2312" w:hAnsi="仿宋_GB2312" w:cs="仿宋_GB2312" w:eastAsia="仿宋_GB2312"/>
                <w:sz w:val="21"/>
              </w:rPr>
              <w:t>：指服务供应商针对采购人提出的技术服务请求，通过加密专线、安全远程接入方式，向采购人提供问题解答、技术指导、远程故障排查与修复的服务过程，远程操作须全程留痕、符合医院网络安全管理规定。</w:t>
            </w:r>
          </w:p>
          <w:p>
            <w:pPr>
              <w:pStyle w:val="null3"/>
              <w:jc w:val="both"/>
            </w:pPr>
            <w:r>
              <w:rPr>
                <w:rFonts w:ascii="仿宋_GB2312" w:hAnsi="仿宋_GB2312" w:cs="仿宋_GB2312" w:eastAsia="仿宋_GB2312"/>
                <w:sz w:val="21"/>
              </w:rPr>
              <w:t xml:space="preserve">1.5 </w:t>
            </w:r>
            <w:r>
              <w:rPr>
                <w:rFonts w:ascii="仿宋_GB2312" w:hAnsi="仿宋_GB2312" w:cs="仿宋_GB2312" w:eastAsia="仿宋_GB2312"/>
                <w:sz w:val="21"/>
                <w:b/>
              </w:rPr>
              <w:t>软件更新</w:t>
            </w:r>
            <w:r>
              <w:rPr>
                <w:rFonts w:ascii="仿宋_GB2312" w:hAnsi="仿宋_GB2312" w:cs="仿宋_GB2312" w:eastAsia="仿宋_GB2312"/>
                <w:sz w:val="21"/>
              </w:rPr>
              <w:t>：指为保障系统合规性、安全性、功能性，对许可软件进行的安全补丁更新、故障优化、版本迭代、政策适配性升级、功能完善的全过程，不限于仅故障场景。</w:t>
            </w:r>
          </w:p>
          <w:p>
            <w:pPr>
              <w:pStyle w:val="null3"/>
              <w:jc w:val="both"/>
            </w:pPr>
            <w:r>
              <w:rPr>
                <w:rFonts w:ascii="仿宋_GB2312" w:hAnsi="仿宋_GB2312" w:cs="仿宋_GB2312" w:eastAsia="仿宋_GB2312"/>
                <w:sz w:val="21"/>
              </w:rPr>
              <w:t xml:space="preserve">1.6 </w:t>
            </w:r>
            <w:r>
              <w:rPr>
                <w:rFonts w:ascii="仿宋_GB2312" w:hAnsi="仿宋_GB2312" w:cs="仿宋_GB2312" w:eastAsia="仿宋_GB2312"/>
                <w:sz w:val="21"/>
                <w:b/>
              </w:rPr>
              <w:t>技术支持</w:t>
            </w:r>
            <w:r>
              <w:rPr>
                <w:rFonts w:ascii="仿宋_GB2312" w:hAnsi="仿宋_GB2312" w:cs="仿宋_GB2312" w:eastAsia="仿宋_GB2312"/>
                <w:sz w:val="21"/>
              </w:rPr>
              <w:t>：指服务供应商为保障许可软件和系统持续稳定运行，在服务期内通过电话、互联网、现场服务等方式，向采购人提供的7×24小时技术援助、操作指导与问题处置服务。</w:t>
            </w:r>
          </w:p>
          <w:p>
            <w:pPr>
              <w:pStyle w:val="null3"/>
              <w:jc w:val="both"/>
            </w:pPr>
            <w:r>
              <w:rPr>
                <w:rFonts w:ascii="仿宋_GB2312" w:hAnsi="仿宋_GB2312" w:cs="仿宋_GB2312" w:eastAsia="仿宋_GB2312"/>
                <w:sz w:val="21"/>
              </w:rPr>
              <w:t xml:space="preserve">1.7 </w:t>
            </w:r>
            <w:r>
              <w:rPr>
                <w:rFonts w:ascii="仿宋_GB2312" w:hAnsi="仿宋_GB2312" w:cs="仿宋_GB2312" w:eastAsia="仿宋_GB2312"/>
                <w:sz w:val="21"/>
                <w:b/>
              </w:rPr>
              <w:t>热线支持</w:t>
            </w:r>
            <w:r>
              <w:rPr>
                <w:rFonts w:ascii="仿宋_GB2312" w:hAnsi="仿宋_GB2312" w:cs="仿宋_GB2312" w:eastAsia="仿宋_GB2312"/>
                <w:sz w:val="21"/>
              </w:rPr>
              <w:t>：指服务供应商客户服务中心通过专属服务热线，7×24小时向采购人提供技术问题解答、服务请求受理、故障派单的服务过程。</w:t>
            </w:r>
          </w:p>
          <w:p>
            <w:pPr>
              <w:pStyle w:val="null3"/>
              <w:jc w:val="both"/>
            </w:pPr>
            <w:r>
              <w:rPr>
                <w:rFonts w:ascii="仿宋_GB2312" w:hAnsi="仿宋_GB2312" w:cs="仿宋_GB2312" w:eastAsia="仿宋_GB2312"/>
                <w:sz w:val="21"/>
              </w:rPr>
              <w:t xml:space="preserve">1.8 </w:t>
            </w:r>
            <w:r>
              <w:rPr>
                <w:rFonts w:ascii="仿宋_GB2312" w:hAnsi="仿宋_GB2312" w:cs="仿宋_GB2312" w:eastAsia="仿宋_GB2312"/>
                <w:sz w:val="21"/>
                <w:b/>
              </w:rPr>
              <w:t>在线技术支持</w:t>
            </w:r>
            <w:r>
              <w:rPr>
                <w:rFonts w:ascii="仿宋_GB2312" w:hAnsi="仿宋_GB2312" w:cs="仿宋_GB2312" w:eastAsia="仿宋_GB2312"/>
                <w:sz w:val="21"/>
              </w:rPr>
              <w:t>：指服务供应商客户服务中心通过安全在线支持系统，接收、解答采购人问题，发布相关技术解决方案、操作指引的服务过程。</w:t>
            </w:r>
          </w:p>
          <w:p>
            <w:pPr>
              <w:pStyle w:val="null3"/>
              <w:jc w:val="both"/>
            </w:pPr>
            <w:r>
              <w:rPr>
                <w:rFonts w:ascii="仿宋_GB2312" w:hAnsi="仿宋_GB2312" w:cs="仿宋_GB2312" w:eastAsia="仿宋_GB2312"/>
                <w:sz w:val="21"/>
              </w:rPr>
              <w:t xml:space="preserve">1.9 </w:t>
            </w:r>
            <w:r>
              <w:rPr>
                <w:rFonts w:ascii="仿宋_GB2312" w:hAnsi="仿宋_GB2312" w:cs="仿宋_GB2312" w:eastAsia="仿宋_GB2312"/>
                <w:sz w:val="21"/>
                <w:b/>
              </w:rPr>
              <w:t>响应时间</w:t>
            </w:r>
            <w:r>
              <w:rPr>
                <w:rFonts w:ascii="仿宋_GB2312" w:hAnsi="仿宋_GB2312" w:cs="仿宋_GB2312" w:eastAsia="仿宋_GB2312"/>
                <w:sz w:val="21"/>
              </w:rPr>
              <w:t>：指服务供应商接到采购人正式服务请求后，到与采购人完成沟通、明确故障情况、出具服务承诺与初步处置方案的时间。</w:t>
            </w:r>
          </w:p>
          <w:p>
            <w:pPr>
              <w:pStyle w:val="null3"/>
              <w:jc w:val="both"/>
            </w:pPr>
            <w:r>
              <w:rPr>
                <w:rFonts w:ascii="仿宋_GB2312" w:hAnsi="仿宋_GB2312" w:cs="仿宋_GB2312" w:eastAsia="仿宋_GB2312"/>
                <w:sz w:val="21"/>
              </w:rPr>
              <w:t xml:space="preserve">1.10 </w:t>
            </w:r>
            <w:r>
              <w:rPr>
                <w:rFonts w:ascii="仿宋_GB2312" w:hAnsi="仿宋_GB2312" w:cs="仿宋_GB2312" w:eastAsia="仿宋_GB2312"/>
                <w:sz w:val="21"/>
                <w:b/>
              </w:rPr>
              <w:t>解决时间</w:t>
            </w:r>
            <w:r>
              <w:rPr>
                <w:rFonts w:ascii="仿宋_GB2312" w:hAnsi="仿宋_GB2312" w:cs="仿宋_GB2312" w:eastAsia="仿宋_GB2312"/>
                <w:sz w:val="21"/>
              </w:rPr>
              <w:t>：指服务供应商从接到服务请求起，到系统故障完全修复、业务恢复正常运行、问题闭环处置的时间。</w:t>
            </w:r>
          </w:p>
          <w:p>
            <w:pPr>
              <w:pStyle w:val="null3"/>
              <w:jc w:val="both"/>
            </w:pPr>
            <w:r>
              <w:rPr>
                <w:rFonts w:ascii="仿宋_GB2312" w:hAnsi="仿宋_GB2312" w:cs="仿宋_GB2312" w:eastAsia="仿宋_GB2312"/>
                <w:sz w:val="21"/>
              </w:rPr>
              <w:t xml:space="preserve">1.11 </w:t>
            </w:r>
            <w:r>
              <w:rPr>
                <w:rFonts w:ascii="仿宋_GB2312" w:hAnsi="仿宋_GB2312" w:cs="仿宋_GB2312" w:eastAsia="仿宋_GB2312"/>
                <w:sz w:val="21"/>
                <w:b/>
              </w:rPr>
              <w:t>数据安全事件</w:t>
            </w:r>
            <w:r>
              <w:rPr>
                <w:rFonts w:ascii="仿宋_GB2312" w:hAnsi="仿宋_GB2312" w:cs="仿宋_GB2312" w:eastAsia="仿宋_GB2312"/>
                <w:sz w:val="21"/>
              </w:rPr>
              <w:t>：指系统运行过程中发生的，可能或已经导致医疗数据、患者个人信息泄露、损毁、篡改、丢失，以及系统被非法入侵、攻击等影响数据安全的事件。</w:t>
            </w:r>
          </w:p>
          <w:p>
            <w:pPr>
              <w:pStyle w:val="null3"/>
              <w:jc w:val="both"/>
            </w:pPr>
            <w:r>
              <w:rPr>
                <w:rFonts w:ascii="仿宋_GB2312" w:hAnsi="仿宋_GB2312" w:cs="仿宋_GB2312" w:eastAsia="仿宋_GB2312"/>
                <w:sz w:val="21"/>
              </w:rPr>
              <w:t xml:space="preserve">1.12 </w:t>
            </w:r>
            <w:r>
              <w:rPr>
                <w:rFonts w:ascii="仿宋_GB2312" w:hAnsi="仿宋_GB2312" w:cs="仿宋_GB2312" w:eastAsia="仿宋_GB2312"/>
                <w:sz w:val="21"/>
                <w:b/>
              </w:rPr>
              <w:t>等保合规</w:t>
            </w:r>
            <w:r>
              <w:rPr>
                <w:rFonts w:ascii="仿宋_GB2312" w:hAnsi="仿宋_GB2312" w:cs="仿宋_GB2312" w:eastAsia="仿宋_GB2312"/>
                <w:sz w:val="21"/>
              </w:rPr>
              <w:t>：指系统运行与运维服务须符合国家网络安全等级保护2.0标准对应级别的全部要求。</w:t>
            </w:r>
          </w:p>
          <w:p>
            <w:pPr>
              <w:pStyle w:val="null3"/>
              <w:jc w:val="both"/>
            </w:pPr>
            <w:r>
              <w:rPr>
                <w:rFonts w:ascii="仿宋_GB2312" w:hAnsi="仿宋_GB2312" w:cs="仿宋_GB2312" w:eastAsia="仿宋_GB2312"/>
                <w:sz w:val="21"/>
                <w:b/>
              </w:rPr>
              <w:t>2. 运维服务系统范围</w:t>
            </w:r>
          </w:p>
          <w:p>
            <w:pPr>
              <w:pStyle w:val="null3"/>
              <w:jc w:val="both"/>
            </w:pPr>
            <w:r>
              <w:rPr>
                <w:rFonts w:ascii="仿宋_GB2312" w:hAnsi="仿宋_GB2312" w:cs="仿宋_GB2312" w:eastAsia="仿宋_GB2312"/>
                <w:sz w:val="21"/>
              </w:rPr>
              <w:t>采购人委托供应商提供售后运维服务的信息系统，包含但不限于下表所列全部模块、子系统及配套硬件设备，同时覆盖系统与院内第三方PACS/RIS系统、心电系统、手麻系统、体检系统、医保结算系统、互联网医院平台等现有及未来新增信息系统的接口运维服务，确保系统互联互通。</w:t>
            </w:r>
          </w:p>
          <w:tbl>
            <w:tblPr>
              <w:tblInd w:type="dxa" w:w="120"/>
              <w:tblBorders>
                <w:top w:val="none" w:color="000000" w:sz="4"/>
                <w:left w:val="none" w:color="000000" w:sz="4"/>
                <w:bottom w:val="none" w:color="000000" w:sz="4"/>
                <w:right w:val="none" w:color="000000" w:sz="4"/>
                <w:insideH w:val="none"/>
                <w:insideV w:val="none"/>
              </w:tblBorders>
            </w:tblPr>
            <w:tblGrid>
              <w:gridCol w:w="580"/>
              <w:gridCol w:w="1972"/>
            </w:tblGrid>
            <w:tr>
              <w:tc>
                <w:tcPr>
                  <w:tcW w:type="dxa" w:w="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系统名称</w:t>
                  </w:r>
                </w:p>
              </w:tc>
              <w:tc>
                <w:tcPr>
                  <w:tcW w:type="dxa" w:w="19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子系统 / 模块</w:t>
                  </w:r>
                </w:p>
              </w:tc>
            </w:tr>
            <w:tr>
              <w:tc>
                <w:tcPr>
                  <w:tcW w:type="dxa" w:w="5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医院基础信息系统</w:t>
                  </w:r>
                </w:p>
                <w:p>
                  <w:pPr>
                    <w:pStyle w:val="null3"/>
                    <w:jc w:val="center"/>
                  </w:pPr>
                  <w:r>
                    <w:rPr>
                      <w:rFonts w:ascii="仿宋_GB2312" w:hAnsi="仿宋_GB2312" w:cs="仿宋_GB2312" w:eastAsia="仿宋_GB2312"/>
                      <w:sz w:val="21"/>
                      <w:color w:val="000000"/>
                    </w:rPr>
                    <w:t>（HIS）</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门急诊挂号系统</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门急诊收费系统</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住院费用管理系统</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门诊中西医药房管理系统</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住院药房管理系统</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住院病人入出转管理系统</w:t>
                  </w:r>
                </w:p>
              </w:tc>
            </w:tr>
            <w:tr>
              <w:tc>
                <w:tcPr>
                  <w:tcW w:type="dxa" w:w="5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临床信息系统</w:t>
                  </w:r>
                  <w:r>
                    <w:br/>
                  </w:r>
                  <w:r>
                    <w:rPr>
                      <w:rFonts w:ascii="仿宋_GB2312" w:hAnsi="仿宋_GB2312" w:cs="仿宋_GB2312" w:eastAsia="仿宋_GB2312"/>
                      <w:sz w:val="21"/>
                      <w:color w:val="000000"/>
                    </w:rPr>
                    <w:t>（CIS）</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门急诊医生工作站</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住院医生工作站</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病区护士工作站</w:t>
                  </w:r>
                </w:p>
              </w:tc>
            </w:tr>
            <w:tr>
              <w:tc>
                <w:tcPr>
                  <w:tcW w:type="dxa" w:w="5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新版电子病历系统</w:t>
                  </w:r>
                  <w:r>
                    <w:br/>
                  </w:r>
                  <w:r>
                    <w:rPr>
                      <w:rFonts w:ascii="仿宋_GB2312" w:hAnsi="仿宋_GB2312" w:cs="仿宋_GB2312" w:eastAsia="仿宋_GB2312"/>
                      <w:sz w:val="21"/>
                      <w:color w:val="000000"/>
                    </w:rPr>
                    <w:t>（EMR）</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一体化门急诊电子病历系统</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一体化住院电子病历系统</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一体化电子病历质控系统</w:t>
                  </w:r>
                </w:p>
              </w:tc>
            </w:tr>
            <w:tr>
              <w:tc>
                <w:tcPr>
                  <w:tcW w:type="dxa" w:w="58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检验信息系统</w:t>
                  </w:r>
                  <w:r>
                    <w:br/>
                  </w:r>
                  <w:r>
                    <w:rPr>
                      <w:rFonts w:ascii="仿宋_GB2312" w:hAnsi="仿宋_GB2312" w:cs="仿宋_GB2312" w:eastAsia="仿宋_GB2312"/>
                      <w:sz w:val="21"/>
                      <w:color w:val="000000"/>
                    </w:rPr>
                    <w:t>（LIS）</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新检验信息系统</w:t>
                  </w:r>
                </w:p>
              </w:tc>
            </w:tr>
            <w:tr>
              <w:tc>
                <w:tcPr>
                  <w:tcW w:type="dxa" w:w="580"/>
                  <w:vMerge/>
                  <w:tcBorders>
                    <w:top w:val="none" w:color="000000" w:sz="4"/>
                    <w:left w:val="single" w:color="000000" w:sz="4"/>
                    <w:bottom w:val="non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检查设备接口系统</w:t>
                  </w:r>
                </w:p>
              </w:tc>
            </w:tr>
            <w:tr>
              <w:tc>
                <w:tcPr>
                  <w:tcW w:type="dxa" w:w="58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医学影像系统</w:t>
                  </w:r>
                </w:p>
                <w:p>
                  <w:pPr>
                    <w:pStyle w:val="null3"/>
                    <w:jc w:val="center"/>
                  </w:pPr>
                  <w:r>
                    <w:rPr>
                      <w:rFonts w:ascii="仿宋_GB2312" w:hAnsi="仿宋_GB2312" w:cs="仿宋_GB2312" w:eastAsia="仿宋_GB2312"/>
                      <w:sz w:val="21"/>
                      <w:color w:val="000000"/>
                    </w:rPr>
                    <w:t>（PACS）</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医技观片工作站</w:t>
                  </w:r>
                </w:p>
              </w:tc>
            </w:tr>
            <w:tr>
              <w:tc>
                <w:tcPr>
                  <w:tcW w:type="dxa" w:w="580"/>
                  <w:vMerge/>
                  <w:tcBorders>
                    <w:top w:val="none" w:color="000000" w:sz="4"/>
                    <w:left w:val="single" w:color="000000" w:sz="4"/>
                    <w:bottom w:val="non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临床影像浏览标准版</w:t>
                  </w:r>
                </w:p>
              </w:tc>
            </w:tr>
            <w:tr>
              <w:tc>
                <w:tcPr>
                  <w:tcW w:type="dxa" w:w="580"/>
                  <w:vMerge/>
                  <w:tcBorders>
                    <w:top w:val="none" w:color="000000" w:sz="4"/>
                    <w:left w:val="single" w:color="000000" w:sz="4"/>
                    <w:bottom w:val="non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放射信息系统标准版</w:t>
                  </w:r>
                </w:p>
              </w:tc>
            </w:tr>
            <w:tr>
              <w:tc>
                <w:tcPr>
                  <w:tcW w:type="dxa" w:w="580"/>
                  <w:vMerge/>
                  <w:tcBorders>
                    <w:top w:val="none" w:color="000000" w:sz="4"/>
                    <w:left w:val="single" w:color="000000" w:sz="4"/>
                    <w:bottom w:val="non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超声信息系统标准版</w:t>
                  </w:r>
                </w:p>
              </w:tc>
            </w:tr>
            <w:tr>
              <w:tc>
                <w:tcPr>
                  <w:tcW w:type="dxa" w:w="58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临床路径管理系统</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路径设计</w:t>
                  </w:r>
                </w:p>
              </w:tc>
            </w:tr>
            <w:tr>
              <w:tc>
                <w:tcPr>
                  <w:tcW w:type="dxa" w:w="580"/>
                  <w:vMerge/>
                  <w:tcBorders>
                    <w:top w:val="none" w:color="000000" w:sz="4"/>
                    <w:left w:val="single" w:color="000000" w:sz="4"/>
                    <w:bottom w:val="non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病种管理</w:t>
                  </w:r>
                </w:p>
              </w:tc>
            </w:tr>
            <w:tr>
              <w:tc>
                <w:tcPr>
                  <w:tcW w:type="dxa" w:w="580"/>
                  <w:vMerge/>
                  <w:tcBorders>
                    <w:top w:val="none" w:color="000000" w:sz="4"/>
                    <w:left w:val="single" w:color="000000" w:sz="4"/>
                    <w:bottom w:val="non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路径表单审核管理</w:t>
                  </w:r>
                </w:p>
              </w:tc>
            </w:tr>
            <w:tr>
              <w:tc>
                <w:tcPr>
                  <w:tcW w:type="dxa" w:w="5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医技管理系统</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医技执行管理系统</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手术安排与费用管理系统</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血库管理系统</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病理管理系统</w:t>
                  </w:r>
                </w:p>
              </w:tc>
            </w:tr>
            <w:tr>
              <w:tc>
                <w:tcPr>
                  <w:tcW w:type="dxa" w:w="5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运营管理系统</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药库管理与药品会计系统</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财务票据管理系统</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财务监管系统</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设备管理系统</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后勤物资管理系统</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卫生材料管理系统</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供应室管理系统</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医生开立权管理系统</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综合查询与统计报表</w:t>
                  </w:r>
                </w:p>
              </w:tc>
            </w:tr>
            <w:tr>
              <w:tc>
                <w:tcPr>
                  <w:tcW w:type="dxa" w:w="58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疾病监测上报系统</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食源性疾病监测系统</w:t>
                  </w:r>
                </w:p>
              </w:tc>
            </w:tr>
            <w:tr>
              <w:tc>
                <w:tcPr>
                  <w:tcW w:type="dxa" w:w="580"/>
                  <w:vMerge/>
                  <w:tcBorders>
                    <w:top w:val="none" w:color="000000" w:sz="4"/>
                    <w:left w:val="single" w:color="000000" w:sz="4"/>
                    <w:bottom w:val="non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传染性疾病监测系统</w:t>
                  </w:r>
                </w:p>
              </w:tc>
            </w:tr>
            <w:tr>
              <w:tc>
                <w:tcPr>
                  <w:tcW w:type="dxa" w:w="580"/>
                  <w:vMerge/>
                  <w:tcBorders>
                    <w:top w:val="none" w:color="000000" w:sz="4"/>
                    <w:left w:val="single" w:color="000000" w:sz="4"/>
                    <w:bottom w:val="non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慢性病监测系统</w:t>
                  </w:r>
                </w:p>
              </w:tc>
            </w:tr>
            <w:tr>
              <w:tc>
                <w:tcPr>
                  <w:tcW w:type="dxa" w:w="580"/>
                  <w:vMerge/>
                  <w:tcBorders>
                    <w:top w:val="none" w:color="000000" w:sz="4"/>
                    <w:left w:val="single" w:color="000000" w:sz="4"/>
                    <w:bottom w:val="non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死亡病例监测系统</w:t>
                  </w:r>
                </w:p>
              </w:tc>
            </w:tr>
            <w:tr>
              <w:tc>
                <w:tcPr>
                  <w:tcW w:type="dxa" w:w="58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医疗辅助系统</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治疗系统</w:t>
                  </w:r>
                </w:p>
              </w:tc>
            </w:tr>
            <w:tr>
              <w:tc>
                <w:tcPr>
                  <w:tcW w:type="dxa" w:w="580"/>
                  <w:vMerge/>
                  <w:tcBorders>
                    <w:top w:val="none" w:color="000000" w:sz="4"/>
                    <w:left w:val="single" w:color="000000" w:sz="4"/>
                    <w:bottom w:val="non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检查系统</w:t>
                  </w:r>
                </w:p>
              </w:tc>
            </w:tr>
            <w:tr>
              <w:tc>
                <w:tcPr>
                  <w:tcW w:type="dxa" w:w="58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医疗管理系统</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病案管理系统</w:t>
                  </w:r>
                </w:p>
              </w:tc>
            </w:tr>
            <w:tr>
              <w:tc>
                <w:tcPr>
                  <w:tcW w:type="dxa" w:w="580"/>
                  <w:vMerge/>
                  <w:tcBorders>
                    <w:top w:val="none" w:color="000000" w:sz="4"/>
                    <w:left w:val="single" w:color="000000" w:sz="4"/>
                    <w:bottom w:val="non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电子病历质控系统</w:t>
                  </w:r>
                </w:p>
              </w:tc>
            </w:tr>
            <w:tr>
              <w:tc>
                <w:tcPr>
                  <w:tcW w:type="dxa" w:w="5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患者服务系统</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一卡通管理系统</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移动医保结算系统</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线上患者服务平台</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病人自助服务系统</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自助挂号系统</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自助报告打印系统</w:t>
                  </w:r>
                </w:p>
              </w:tc>
            </w:tr>
            <w:tr>
              <w:tc>
                <w:tcPr>
                  <w:tcW w:type="dxa" w:w="5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外部接口系统</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医保结算与数据上传接口</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临床药学管理系统接口</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第三方PACS/RIS系统接口</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健康体检系统接口</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手术麻醉系统接口</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电生理系统接口</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单病种管理系统接口</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财务管理系统接口</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院感管理系统接口</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排队叫号系统接口</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院外检验信息平台接口</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医保药品追溯系统接口</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传染病监测预警系统接口</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食源性疾病监测系统接口</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检验互认平台接口</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国家“码上放心”管理平台接口</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DRG管理平台接口</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门（急）诊诊疗信息页上报接口</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国家卫生统计网络直报接口</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国家抗菌药物临床应用监测上报系统接口</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系统管理工具</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数据处理平台</w:t>
                  </w:r>
                </w:p>
              </w:tc>
            </w:tr>
            <w:tr>
              <w:tc>
                <w:tcPr>
                  <w:tcW w:type="dxa" w:w="580"/>
                  <w:vMerge/>
                  <w:tcBorders>
                    <w:top w:val="none" w:color="000000" w:sz="4"/>
                    <w:left w:val="single" w:color="000000" w:sz="4"/>
                    <w:bottom w:val="single" w:color="000000" w:sz="4"/>
                    <w:right w:val="single" w:color="000000" w:sz="4"/>
                  </w:tcBorders>
                </w:tcP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自定义报表系统</w:t>
                  </w:r>
                </w:p>
              </w:tc>
            </w:tr>
          </w:tbl>
          <w:p>
            <w:pPr>
              <w:pStyle w:val="null3"/>
              <w:jc w:val="both"/>
            </w:pPr>
            <w:r>
              <w:rPr>
                <w:rFonts w:ascii="仿宋_GB2312" w:hAnsi="仿宋_GB2312" w:cs="仿宋_GB2312" w:eastAsia="仿宋_GB2312"/>
                <w:sz w:val="21"/>
                <w:b/>
              </w:rPr>
              <w:t>3. 故障分级标准及服务级别协议（SLA）要求</w:t>
            </w:r>
          </w:p>
          <w:p>
            <w:pPr>
              <w:pStyle w:val="null3"/>
              <w:jc w:val="both"/>
            </w:pPr>
            <w:r>
              <w:rPr>
                <w:rFonts w:ascii="仿宋_GB2312" w:hAnsi="仿宋_GB2312" w:cs="仿宋_GB2312" w:eastAsia="仿宋_GB2312"/>
                <w:sz w:val="21"/>
              </w:rPr>
              <w:t>结合医疗行业业务连续性要求与《医疗卫生机构网络安全管理办法》事件分级标准，制定四级故障分级与刚性SLA要求，服务商须提供7×24小时全时段服务，工作日、节假日、夜间执行统一响应与处置标准，具体如下：</w:t>
            </w:r>
          </w:p>
          <w:tbl>
            <w:tblPr>
              <w:tblInd w:type="dxa" w:w="120"/>
              <w:tblBorders>
                <w:top w:val="none" w:color="000000" w:sz="4"/>
                <w:left w:val="none" w:color="000000" w:sz="4"/>
                <w:bottom w:val="none" w:color="000000" w:sz="4"/>
                <w:right w:val="none" w:color="000000" w:sz="4"/>
                <w:insideH w:val="none"/>
                <w:insideV w:val="none"/>
              </w:tblBorders>
            </w:tblPr>
            <w:tblGrid>
              <w:gridCol w:w="378"/>
              <w:gridCol w:w="554"/>
              <w:gridCol w:w="880"/>
              <w:gridCol w:w="740"/>
            </w:tblGrid>
            <w:tr>
              <w:tc>
                <w:tcPr>
                  <w:tcW w:type="dxa" w:w="37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b/>
                    </w:rPr>
                    <w:t>序号</w:t>
                  </w:r>
                </w:p>
              </w:tc>
              <w:tc>
                <w:tcPr>
                  <w:tcW w:type="dxa" w:w="554"/>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b/>
                    </w:rPr>
                    <w:t>故障等级</w:t>
                  </w:r>
                </w:p>
              </w:tc>
              <w:tc>
                <w:tcPr>
                  <w:tcW w:type="dxa" w:w="880"/>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b/>
                    </w:rPr>
                    <w:t>故障情况描述</w:t>
                  </w:r>
                </w:p>
              </w:tc>
              <w:tc>
                <w:tcPr>
                  <w:tcW w:type="dxa" w:w="740"/>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b/>
                    </w:rPr>
                    <w:t>刚性SLA要求</w:t>
                  </w:r>
                </w:p>
              </w:tc>
            </w:tr>
            <w:tr>
              <w:tc>
                <w:tcPr>
                  <w:tcW w:type="dxa" w:w="37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rPr>
                    <w:t>1</w:t>
                  </w:r>
                </w:p>
              </w:tc>
              <w:tc>
                <w:tcPr>
                  <w:tcW w:type="dxa" w:w="554"/>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rPr>
                    <w:t>一级故障（重大）</w:t>
                  </w:r>
                </w:p>
              </w:tc>
              <w:tc>
                <w:tcPr>
                  <w:tcW w:type="dxa" w:w="88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1"/>
                    </w:rPr>
                    <w:t>1. 系统核心服务瘫痪，导致业务中断，多部门终端无法办理业务，严重影响医院正常医疗秩序；</w:t>
                  </w:r>
                </w:p>
                <w:p>
                  <w:pPr>
                    <w:pStyle w:val="null3"/>
                    <w:jc w:val="both"/>
                  </w:pPr>
                  <w:r>
                    <w:rPr>
                      <w:rFonts w:ascii="仿宋_GB2312" w:hAnsi="仿宋_GB2312" w:cs="仿宋_GB2312" w:eastAsia="仿宋_GB2312"/>
                      <w:sz w:val="21"/>
                    </w:rPr>
                    <w:t>2. 系统与PACS、心电系统、手麻系统等核心系统接口完全中断，导致业务数据无法传输，严重影响医院正常医疗秩序</w:t>
                  </w:r>
                </w:p>
                <w:p>
                  <w:pPr>
                    <w:pStyle w:val="null3"/>
                    <w:jc w:val="both"/>
                  </w:pPr>
                  <w:r>
                    <w:rPr>
                      <w:rFonts w:ascii="仿宋_GB2312" w:hAnsi="仿宋_GB2312" w:cs="仿宋_GB2312" w:eastAsia="仿宋_GB2312"/>
                      <w:sz w:val="21"/>
                    </w:rPr>
                    <w:t>3.  发生患者个人信息批量泄露、医疗数据被篡改/丢失等重大数据安全事件；</w:t>
                  </w:r>
                </w:p>
                <w:p>
                  <w:pPr>
                    <w:pStyle w:val="null3"/>
                    <w:jc w:val="both"/>
                  </w:pPr>
                  <w:r>
                    <w:rPr>
                      <w:rFonts w:ascii="仿宋_GB2312" w:hAnsi="仿宋_GB2312" w:cs="仿宋_GB2312" w:eastAsia="仿宋_GB2312"/>
                      <w:sz w:val="21"/>
                    </w:rPr>
                    <w:t>4. 系统被非法入侵、攻击，出现高危安全漏洞，威胁医院整体网络安全。</w:t>
                  </w:r>
                </w:p>
              </w:tc>
              <w:tc>
                <w:tcPr>
                  <w:tcW w:type="dxa" w:w="74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1"/>
                    </w:rPr>
                    <w:t>1. 10分钟内必须响应，与采购人明确故障情况，出具应急处置方案；</w:t>
                  </w:r>
                </w:p>
                <w:p>
                  <w:pPr>
                    <w:pStyle w:val="null3"/>
                    <w:jc w:val="both"/>
                  </w:pPr>
                  <w:r>
                    <w:rPr>
                      <w:rFonts w:ascii="仿宋_GB2312" w:hAnsi="仿宋_GB2312" w:cs="仿宋_GB2312" w:eastAsia="仿宋_GB2312"/>
                      <w:sz w:val="21"/>
                    </w:rPr>
                    <w:t>2. 4小时内派驻具备资质的技术人员到达现场；</w:t>
                  </w:r>
                </w:p>
                <w:p>
                  <w:pPr>
                    <w:pStyle w:val="null3"/>
                    <w:jc w:val="both"/>
                  </w:pPr>
                  <w:r>
                    <w:rPr>
                      <w:rFonts w:ascii="仿宋_GB2312" w:hAnsi="仿宋_GB2312" w:cs="仿宋_GB2312" w:eastAsia="仿宋_GB2312"/>
                      <w:sz w:val="21"/>
                    </w:rPr>
                    <w:t>3. 6小时内完成故障修复，恢复系统核心业务正常运行；</w:t>
                  </w:r>
                </w:p>
                <w:p>
                  <w:pPr>
                    <w:pStyle w:val="null3"/>
                    <w:jc w:val="both"/>
                  </w:pPr>
                  <w:r>
                    <w:rPr>
                      <w:rFonts w:ascii="仿宋_GB2312" w:hAnsi="仿宋_GB2312" w:cs="仿宋_GB2312" w:eastAsia="仿宋_GB2312"/>
                      <w:sz w:val="21"/>
                    </w:rPr>
                    <w:t>4. 无法在时限内完全修复的，须提供临时应急方案保障业务连续性，直至系统完全恢复；</w:t>
                  </w:r>
                </w:p>
                <w:p>
                  <w:pPr>
                    <w:pStyle w:val="null3"/>
                    <w:jc w:val="both"/>
                  </w:pPr>
                  <w:r>
                    <w:rPr>
                      <w:rFonts w:ascii="仿宋_GB2312" w:hAnsi="仿宋_GB2312" w:cs="仿宋_GB2312" w:eastAsia="仿宋_GB2312"/>
                      <w:sz w:val="21"/>
                    </w:rPr>
                    <w:t>5. 故障处置完成后24小时内提交正式故障分析与复盘报告。</w:t>
                  </w:r>
                </w:p>
              </w:tc>
            </w:tr>
            <w:tr>
              <w:tc>
                <w:tcPr>
                  <w:tcW w:type="dxa" w:w="37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rPr>
                    <w:t>2</w:t>
                  </w:r>
                </w:p>
              </w:tc>
              <w:tc>
                <w:tcPr>
                  <w:tcW w:type="dxa" w:w="554"/>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rPr>
                    <w:t>二级故障（严重）</w:t>
                  </w:r>
                </w:p>
              </w:tc>
              <w:tc>
                <w:tcPr>
                  <w:tcW w:type="dxa" w:w="88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1"/>
                    </w:rPr>
                    <w:t>1. 系统操作性能严重降级，核心功能响应延迟超500%，严重影响医生操作与患者业务办理；</w:t>
                  </w:r>
                </w:p>
                <w:p>
                  <w:pPr>
                    <w:pStyle w:val="null3"/>
                    <w:jc w:val="both"/>
                  </w:pPr>
                  <w:r>
                    <w:rPr>
                      <w:rFonts w:ascii="仿宋_GB2312" w:hAnsi="仿宋_GB2312" w:cs="仿宋_GB2312" w:eastAsia="仿宋_GB2312"/>
                      <w:sz w:val="21"/>
                    </w:rPr>
                    <w:t>2. 核心科室、门诊3个及以上科室系统无法正常使用，影响大面积患者就医；</w:t>
                  </w:r>
                </w:p>
                <w:p>
                  <w:pPr>
                    <w:pStyle w:val="null3"/>
                    <w:jc w:val="both"/>
                  </w:pPr>
                  <w:r>
                    <w:rPr>
                      <w:rFonts w:ascii="仿宋_GB2312" w:hAnsi="仿宋_GB2312" w:cs="仿宋_GB2312" w:eastAsia="仿宋_GB2312"/>
                      <w:sz w:val="21"/>
                    </w:rPr>
                    <w:t>3. 系统出现数据异常、统计错误，影响医疗业务正常开展，存在数据安全隐患。</w:t>
                  </w:r>
                </w:p>
              </w:tc>
              <w:tc>
                <w:tcPr>
                  <w:tcW w:type="dxa" w:w="74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1"/>
                    </w:rPr>
                    <w:t>1. 30分钟内必须响应，出具初步处置方案；</w:t>
                  </w:r>
                </w:p>
                <w:p>
                  <w:pPr>
                    <w:pStyle w:val="null3"/>
                    <w:jc w:val="both"/>
                  </w:pPr>
                  <w:r>
                    <w:rPr>
                      <w:rFonts w:ascii="仿宋_GB2312" w:hAnsi="仿宋_GB2312" w:cs="仿宋_GB2312" w:eastAsia="仿宋_GB2312"/>
                      <w:sz w:val="21"/>
                    </w:rPr>
                    <w:t>2. 6小时内到达现场或通过安全远程方式完成故障处置；</w:t>
                  </w:r>
                </w:p>
                <w:p>
                  <w:pPr>
                    <w:pStyle w:val="null3"/>
                    <w:jc w:val="both"/>
                  </w:pPr>
                  <w:r>
                    <w:rPr>
                      <w:rFonts w:ascii="仿宋_GB2312" w:hAnsi="仿宋_GB2312" w:cs="仿宋_GB2312" w:eastAsia="仿宋_GB2312"/>
                      <w:sz w:val="21"/>
                    </w:rPr>
                    <w:t>3. 12小时内完成故障修复，系统恢复正常运行；</w:t>
                  </w:r>
                </w:p>
                <w:p>
                  <w:pPr>
                    <w:pStyle w:val="null3"/>
                    <w:jc w:val="both"/>
                  </w:pPr>
                  <w:r>
                    <w:rPr>
                      <w:rFonts w:ascii="仿宋_GB2312" w:hAnsi="仿宋_GB2312" w:cs="仿宋_GB2312" w:eastAsia="仿宋_GB2312"/>
                      <w:sz w:val="21"/>
                    </w:rPr>
                    <w:t>4. 故障处置完成后3个工作日内提交故障分析报告。</w:t>
                  </w:r>
                </w:p>
              </w:tc>
            </w:tr>
            <w:tr>
              <w:tc>
                <w:tcPr>
                  <w:tcW w:type="dxa" w:w="37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rPr>
                    <w:t>3</w:t>
                  </w:r>
                </w:p>
              </w:tc>
              <w:tc>
                <w:tcPr>
                  <w:tcW w:type="dxa" w:w="554"/>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rPr>
                    <w:t>三级故障（一般）</w:t>
                  </w:r>
                </w:p>
              </w:tc>
              <w:tc>
                <w:tcPr>
                  <w:tcW w:type="dxa" w:w="88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1"/>
                    </w:rPr>
                    <w:t>1. 系统非核心功能受损，仅影响单个科室/少量终端使用，医院核心业务可正常开展；</w:t>
                  </w:r>
                </w:p>
                <w:p>
                  <w:pPr>
                    <w:pStyle w:val="null3"/>
                    <w:jc w:val="both"/>
                  </w:pPr>
                  <w:r>
                    <w:rPr>
                      <w:rFonts w:ascii="仿宋_GB2312" w:hAnsi="仿宋_GB2312" w:cs="仿宋_GB2312" w:eastAsia="仿宋_GB2312"/>
                      <w:sz w:val="21"/>
                    </w:rPr>
                    <w:t>2. 系统出现局部数据异常、报表统计偏差，不影响核心业务办理；</w:t>
                  </w:r>
                </w:p>
                <w:p>
                  <w:pPr>
                    <w:pStyle w:val="null3"/>
                    <w:jc w:val="both"/>
                  </w:pPr>
                  <w:r>
                    <w:rPr>
                      <w:rFonts w:ascii="仿宋_GB2312" w:hAnsi="仿宋_GB2312" w:cs="仿宋_GB2312" w:eastAsia="仿宋_GB2312"/>
                      <w:sz w:val="21"/>
                    </w:rPr>
                    <w:t>3.配套设备故障，不影响整体业务流程。</w:t>
                  </w:r>
                </w:p>
              </w:tc>
              <w:tc>
                <w:tcPr>
                  <w:tcW w:type="dxa" w:w="74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1"/>
                    </w:rPr>
                    <w:t>1. 30分钟内必须响应，出具处置方案；</w:t>
                  </w:r>
                </w:p>
                <w:p>
                  <w:pPr>
                    <w:pStyle w:val="null3"/>
                    <w:jc w:val="both"/>
                  </w:pPr>
                  <w:r>
                    <w:rPr>
                      <w:rFonts w:ascii="仿宋_GB2312" w:hAnsi="仿宋_GB2312" w:cs="仿宋_GB2312" w:eastAsia="仿宋_GB2312"/>
                      <w:sz w:val="21"/>
                    </w:rPr>
                    <w:t>2. 12小时内到达现场或通过远程方式完成故障处置；</w:t>
                  </w:r>
                </w:p>
                <w:p>
                  <w:pPr>
                    <w:pStyle w:val="null3"/>
                    <w:jc w:val="both"/>
                  </w:pPr>
                  <w:r>
                    <w:rPr>
                      <w:rFonts w:ascii="仿宋_GB2312" w:hAnsi="仿宋_GB2312" w:cs="仿宋_GB2312" w:eastAsia="仿宋_GB2312"/>
                      <w:sz w:val="21"/>
                    </w:rPr>
                    <w:t>3. 24小时内完成故障修复，闭环处置问题。</w:t>
                  </w:r>
                </w:p>
              </w:tc>
            </w:tr>
            <w:tr>
              <w:tc>
                <w:tcPr>
                  <w:tcW w:type="dxa" w:w="37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rPr>
                    <w:t>4</w:t>
                  </w:r>
                </w:p>
              </w:tc>
              <w:tc>
                <w:tcPr>
                  <w:tcW w:type="dxa" w:w="554"/>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1"/>
                    </w:rPr>
                    <w:t>四级故障（轻微）</w:t>
                  </w:r>
                </w:p>
              </w:tc>
              <w:tc>
                <w:tcPr>
                  <w:tcW w:type="dxa" w:w="88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1"/>
                    </w:rPr>
                    <w:t>1. 系统出现一般性操作问题、界面显示异常，对患者就医、系统运行几乎无影响；</w:t>
                  </w:r>
                </w:p>
                <w:p>
                  <w:pPr>
                    <w:pStyle w:val="null3"/>
                    <w:jc w:val="both"/>
                  </w:pPr>
                  <w:r>
                    <w:rPr>
                      <w:rFonts w:ascii="仿宋_GB2312" w:hAnsi="仿宋_GB2312" w:cs="仿宋_GB2312" w:eastAsia="仿宋_GB2312"/>
                      <w:sz w:val="21"/>
                    </w:rPr>
                    <w:t>2. 医护人员提出的系统操作咨询、功能配置调整等非故障类服务请求。</w:t>
                  </w:r>
                </w:p>
              </w:tc>
              <w:tc>
                <w:tcPr>
                  <w:tcW w:type="dxa" w:w="740"/>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1"/>
                    </w:rPr>
                    <w:t>1. 30分钟内必须响应，提供技术指导与解决方案；</w:t>
                  </w:r>
                </w:p>
                <w:p>
                  <w:pPr>
                    <w:pStyle w:val="null3"/>
                    <w:jc w:val="both"/>
                  </w:pPr>
                  <w:r>
                    <w:rPr>
                      <w:rFonts w:ascii="仿宋_GB2312" w:hAnsi="仿宋_GB2312" w:cs="仿宋_GB2312" w:eastAsia="仿宋_GB2312"/>
                      <w:sz w:val="21"/>
                    </w:rPr>
                    <w:t>2. 24小时内通过远程或现场方式完成处置；</w:t>
                  </w:r>
                </w:p>
                <w:p>
                  <w:pPr>
                    <w:pStyle w:val="null3"/>
                    <w:jc w:val="both"/>
                  </w:pPr>
                  <w:r>
                    <w:rPr>
                      <w:rFonts w:ascii="仿宋_GB2312" w:hAnsi="仿宋_GB2312" w:cs="仿宋_GB2312" w:eastAsia="仿宋_GB2312"/>
                      <w:sz w:val="21"/>
                    </w:rPr>
                    <w:t>3. 48小时内完成问题闭环。</w:t>
                  </w:r>
                </w:p>
              </w:tc>
            </w:tr>
          </w:tbl>
          <w:p>
            <w:pPr>
              <w:pStyle w:val="null3"/>
              <w:jc w:val="both"/>
            </w:pPr>
            <w:r>
              <w:rPr>
                <w:rFonts w:ascii="仿宋_GB2312" w:hAnsi="仿宋_GB2312" w:cs="仿宋_GB2312" w:eastAsia="仿宋_GB2312"/>
                <w:sz w:val="21"/>
                <w:b/>
              </w:rPr>
              <w:t>4. 售后运维服务核心要求</w:t>
            </w:r>
          </w:p>
          <w:p>
            <w:pPr>
              <w:pStyle w:val="null3"/>
              <w:jc w:val="both"/>
            </w:pPr>
            <w:r>
              <w:rPr>
                <w:rFonts w:ascii="仿宋_GB2312" w:hAnsi="仿宋_GB2312" w:cs="仿宋_GB2312" w:eastAsia="仿宋_GB2312"/>
                <w:sz w:val="21"/>
                <w:b/>
              </w:rPr>
              <w:t>4.1 医院信息系统售后服务要求</w:t>
            </w:r>
          </w:p>
          <w:p>
            <w:pPr>
              <w:pStyle w:val="null3"/>
              <w:jc w:val="both"/>
            </w:pPr>
            <w:r>
              <w:rPr>
                <w:rFonts w:ascii="仿宋_GB2312" w:hAnsi="仿宋_GB2312" w:cs="仿宋_GB2312" w:eastAsia="仿宋_GB2312"/>
                <w:sz w:val="21"/>
              </w:rPr>
              <w:t>服务商须严格按照以下要求提供全流程售后运维服务，可依据自身技术能力提供增值服务，但不得低于以下标准要求，所有服务须留存完整、可追溯的工作记录，接受采购人全程监督。</w:t>
            </w:r>
          </w:p>
          <w:tbl>
            <w:tblPr>
              <w:tblInd w:type="dxa" w:w="120"/>
              <w:tblBorders>
                <w:top w:val="none" w:color="000000" w:sz="4"/>
                <w:left w:val="none" w:color="000000" w:sz="4"/>
                <w:bottom w:val="none" w:color="000000" w:sz="4"/>
                <w:right w:val="none" w:color="000000" w:sz="4"/>
                <w:insideH w:val="none"/>
                <w:insideV w:val="none"/>
              </w:tblBorders>
            </w:tblPr>
            <w:tblGrid>
              <w:gridCol w:w="314"/>
              <w:gridCol w:w="322"/>
              <w:gridCol w:w="899"/>
              <w:gridCol w:w="548"/>
              <w:gridCol w:w="469"/>
            </w:tblGrid>
            <w:tr>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w:t>
                  </w:r>
                </w:p>
                <w:p>
                  <w:pPr>
                    <w:pStyle w:val="null3"/>
                    <w:jc w:val="center"/>
                  </w:pPr>
                  <w:r>
                    <w:rPr>
                      <w:rFonts w:ascii="仿宋_GB2312" w:hAnsi="仿宋_GB2312" w:cs="仿宋_GB2312" w:eastAsia="仿宋_GB2312"/>
                      <w:sz w:val="21"/>
                      <w:b/>
                    </w:rPr>
                    <w:t>项目</w:t>
                  </w:r>
                </w:p>
              </w:tc>
              <w:tc>
                <w:tcPr>
                  <w:tcW w:type="dxa" w:w="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服务内涵</w:t>
                  </w:r>
                </w:p>
              </w:tc>
              <w:tc>
                <w:tcPr>
                  <w:tcW w:type="dxa" w:w="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服务方式</w:t>
                  </w:r>
                </w:p>
              </w:tc>
              <w:tc>
                <w:tcPr>
                  <w:tcW w:type="dxa" w:w="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服务频次/次数要求</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信息系统基础运维服务</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运维服务系统范围所列全部系统模块的软件操作指导、故障排查、bug修复、配置管理服务；</w:t>
                  </w:r>
                </w:p>
                <w:p>
                  <w:pPr>
                    <w:pStyle w:val="null3"/>
                    <w:jc w:val="both"/>
                  </w:pPr>
                  <w:r>
                    <w:rPr>
                      <w:rFonts w:ascii="仿宋_GB2312" w:hAnsi="仿宋_GB2312" w:cs="仿宋_GB2312" w:eastAsia="仿宋_GB2312"/>
                      <w:sz w:val="21"/>
                    </w:rPr>
                    <w:t>2. 系统死机、数据错误、运行异常、兼容性问题等全场景故障处置；</w:t>
                  </w:r>
                </w:p>
                <w:p>
                  <w:pPr>
                    <w:pStyle w:val="null3"/>
                    <w:jc w:val="both"/>
                  </w:pPr>
                  <w:r>
                    <w:rPr>
                      <w:rFonts w:ascii="仿宋_GB2312" w:hAnsi="仿宋_GB2312" w:cs="仿宋_GB2312" w:eastAsia="仿宋_GB2312"/>
                      <w:sz w:val="21"/>
                    </w:rPr>
                    <w:t>3. 系统运行环境适配、显示异常、运行效率降低等问题的优化处置；</w:t>
                  </w:r>
                </w:p>
                <w:p>
                  <w:pPr>
                    <w:pStyle w:val="null3"/>
                    <w:jc w:val="both"/>
                  </w:pPr>
                  <w:r>
                    <w:rPr>
                      <w:rFonts w:ascii="仿宋_GB2312" w:hAnsi="仿宋_GB2312" w:cs="仿宋_GB2312" w:eastAsia="仿宋_GB2312"/>
                      <w:sz w:val="21"/>
                    </w:rPr>
                    <w:t>4. 系统与院内其他信息系统的接口运维、适配调整、故障修复；</w:t>
                  </w:r>
                </w:p>
                <w:p>
                  <w:pPr>
                    <w:pStyle w:val="null3"/>
                    <w:jc w:val="both"/>
                  </w:pPr>
                  <w:r>
                    <w:rPr>
                      <w:rFonts w:ascii="仿宋_GB2312" w:hAnsi="仿宋_GB2312" w:cs="仿宋_GB2312" w:eastAsia="仿宋_GB2312"/>
                      <w:sz w:val="21"/>
                    </w:rPr>
                    <w:t>5. 系统终端设备、服务器运行状态的定期巡检与隐患排查。</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7×24小时热线服务安全远程运维服务现场驻场/上门服务</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不限次数，全时段响应</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数据库专项运维服务</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每月开展数据库全量巡检，检查内容包括服务器系统日志、磁盘空间、CPU/内存使用率、数据库表空间、数据文件大小、数据库运行日志、异常操作审计日志等，及时发现并处置潜在风险；</w:t>
                  </w:r>
                </w:p>
                <w:p>
                  <w:pPr>
                    <w:pStyle w:val="null3"/>
                    <w:jc w:val="both"/>
                  </w:pPr>
                  <w:r>
                    <w:rPr>
                      <w:rFonts w:ascii="仿宋_GB2312" w:hAnsi="仿宋_GB2312" w:cs="仿宋_GB2312" w:eastAsia="仿宋_GB2312"/>
                      <w:sz w:val="21"/>
                    </w:rPr>
                    <w:t>2. 每季度完成数据库安全加固、高危漏洞修复，确保数据库符合等保合规要求；</w:t>
                  </w:r>
                </w:p>
                <w:p>
                  <w:pPr>
                    <w:pStyle w:val="null3"/>
                    <w:jc w:val="both"/>
                  </w:pPr>
                  <w:r>
                    <w:rPr>
                      <w:rFonts w:ascii="仿宋_GB2312" w:hAnsi="仿宋_GB2312" w:cs="仿宋_GB2312" w:eastAsia="仿宋_GB2312"/>
                      <w:sz w:val="21"/>
                    </w:rPr>
                    <w:t>3. 提供同版本数据库迁移、数据备份与恢复服务，配合采购人完成数据备份有效性验证；</w:t>
                  </w:r>
                </w:p>
                <w:p>
                  <w:pPr>
                    <w:pStyle w:val="null3"/>
                    <w:jc w:val="both"/>
                  </w:pPr>
                  <w:r>
                    <w:rPr>
                      <w:rFonts w:ascii="仿宋_GB2312" w:hAnsi="仿宋_GB2312" w:cs="仿宋_GB2312" w:eastAsia="仿宋_GB2312"/>
                      <w:sz w:val="21"/>
                    </w:rPr>
                    <w:t>4. 针对巡检发现的问题，完成数据库性能优化、参数调整，保障数据库持续处于最佳运行状态；</w:t>
                  </w:r>
                </w:p>
                <w:p>
                  <w:pPr>
                    <w:pStyle w:val="null3"/>
                    <w:jc w:val="both"/>
                  </w:pPr>
                  <w:r>
                    <w:rPr>
                      <w:rFonts w:ascii="仿宋_GB2312" w:hAnsi="仿宋_GB2312" w:cs="仿宋_GB2312" w:eastAsia="仿宋_GB2312"/>
                      <w:sz w:val="21"/>
                    </w:rPr>
                    <w:t>5. 数据库故障的应急处置，保障医疗数据不丢失、不泄露、不篡改。</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热线服务安全远程服务现场服务</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不限次数，每月至少1次全量巡检，每季度至少1次性能优化，每年至少2次备份恢复演练</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第三方应用信息系统接口开发服务</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为满足医院信息化建设中信息数据共享的需求，针对医院采购的第三方应用系统，服务商需组织专业技术人员，与第三方供应商技术人员协同开展系统接口开发工作。同时，服务商应负责接口软件的安装与调试，确保最终实现院方数据共享的业务目标。具体技术要求详见4.2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远程服务</w:t>
                  </w:r>
                </w:p>
                <w:p>
                  <w:pPr>
                    <w:pStyle w:val="null3"/>
                    <w:jc w:val="both"/>
                  </w:pPr>
                  <w:r>
                    <w:rPr>
                      <w:rFonts w:ascii="仿宋_GB2312" w:hAnsi="仿宋_GB2312" w:cs="仿宋_GB2312" w:eastAsia="仿宋_GB2312"/>
                      <w:sz w:val="21"/>
                    </w:rPr>
                    <w:t>现场服务</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3个</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医院检验设备接口开发服务</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医院根据自身发展需求新增或调整检验检查仪器设备，服务商组织专业技术人员为院方提供接口程序的开发、调试服务，保障仪器设备无缝对接相应检验信息系统（LIS）等信息系统。</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远程服务、现场服务</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不少于</w:t>
                  </w:r>
                </w:p>
                <w:p>
                  <w:pPr>
                    <w:pStyle w:val="null3"/>
                    <w:jc w:val="center"/>
                  </w:pPr>
                  <w:r>
                    <w:rPr>
                      <w:rFonts w:ascii="仿宋_GB2312" w:hAnsi="仿宋_GB2312" w:cs="仿宋_GB2312" w:eastAsia="仿宋_GB2312"/>
                      <w:sz w:val="21"/>
                    </w:rPr>
                    <w:t>5台</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系统升级与合规更新服务</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依据国家、省、市卫健、医保、网信等部门新增或变更的政策法规、标准规范，免费、及时完成系统的合规性适配与更新服务，确保系统符合最新监管要求；</w:t>
                  </w:r>
                </w:p>
                <w:p>
                  <w:pPr>
                    <w:pStyle w:val="null3"/>
                    <w:jc w:val="both"/>
                  </w:pPr>
                  <w:r>
                    <w:rPr>
                      <w:rFonts w:ascii="仿宋_GB2312" w:hAnsi="仿宋_GB2312" w:cs="仿宋_GB2312" w:eastAsia="仿宋_GB2312"/>
                      <w:sz w:val="21"/>
                    </w:rPr>
                    <w:t>2. 提供系统同版本内的免费升级、功能优化服务，组织专业技术人员完成升级方案制定、测试、上线全流程工作，确保升级过程不影响医院正常业务；</w:t>
                  </w:r>
                </w:p>
                <w:p>
                  <w:pPr>
                    <w:pStyle w:val="null3"/>
                    <w:jc w:val="both"/>
                  </w:pPr>
                  <w:r>
                    <w:rPr>
                      <w:rFonts w:ascii="仿宋_GB2312" w:hAnsi="仿宋_GB2312" w:cs="仿宋_GB2312" w:eastAsia="仿宋_GB2312"/>
                      <w:sz w:val="21"/>
                    </w:rPr>
                    <w:t>3. 定期完成系统安全补丁、漏洞修复包的安装与调试，每月完成高危漏洞排查与修复；</w:t>
                  </w:r>
                </w:p>
                <w:p>
                  <w:pPr>
                    <w:pStyle w:val="null3"/>
                    <w:jc w:val="both"/>
                  </w:pPr>
                  <w:r>
                    <w:rPr>
                      <w:rFonts w:ascii="仿宋_GB2312" w:hAnsi="仿宋_GB2312" w:cs="仿宋_GB2312" w:eastAsia="仿宋_GB2312"/>
                      <w:sz w:val="21"/>
                    </w:rPr>
                    <w:t>4. 配合采购人完成网络安全等级保护测评、医院信息互联互通标准化成熟度测评等相关工作，完成对应整改与系统适配。</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现场服务为主远程辅助</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不限次数，每月至少1次安全补丁更新，政策变更后10个工作日内完成合规适配</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网络安全与数据安全服务</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严格根据《网络安全法》《数据安全法》《个人信息保护法》《医疗卫生机构网络安全管理办法》及相关法律法规，为采购人提供全流程网络安全与数据安全服务；</w:t>
                  </w:r>
                </w:p>
                <w:p>
                  <w:pPr>
                    <w:pStyle w:val="null3"/>
                    <w:jc w:val="both"/>
                  </w:pPr>
                  <w:r>
                    <w:rPr>
                      <w:rFonts w:ascii="仿宋_GB2312" w:hAnsi="仿宋_GB2312" w:cs="仿宋_GB2312" w:eastAsia="仿宋_GB2312"/>
                      <w:sz w:val="21"/>
                    </w:rPr>
                    <w:t>2. 网络安全服务包含且不限于：漏洞修复、安全问题整改、安全风险排查、入侵检测与防御等服务，重点保障系统核心数据传输安全；</w:t>
                  </w:r>
                </w:p>
                <w:p>
                  <w:pPr>
                    <w:pStyle w:val="null3"/>
                    <w:jc w:val="both"/>
                  </w:pPr>
                  <w:r>
                    <w:rPr>
                      <w:rFonts w:ascii="仿宋_GB2312" w:hAnsi="仿宋_GB2312" w:cs="仿宋_GB2312" w:eastAsia="仿宋_GB2312"/>
                      <w:sz w:val="21"/>
                    </w:rPr>
                    <w:t>3. 数据安全服务包含且不限于：数据加密、数据备份与恢复、数据库安全审计、患者信息保护等服务，确保数据符合数据安全要求；</w:t>
                  </w:r>
                </w:p>
                <w:p>
                  <w:pPr>
                    <w:pStyle w:val="null3"/>
                    <w:jc w:val="both"/>
                  </w:pPr>
                  <w:r>
                    <w:rPr>
                      <w:rFonts w:ascii="仿宋_GB2312" w:hAnsi="仿宋_GB2312" w:cs="仿宋_GB2312" w:eastAsia="仿宋_GB2312"/>
                      <w:sz w:val="21"/>
                    </w:rPr>
                    <w:t>4. 配合采购人完成数据安全检查、网络安全审计、等保测评等相关工作，提供技术支撑与整改服务；</w:t>
                  </w:r>
                </w:p>
                <w:p>
                  <w:pPr>
                    <w:pStyle w:val="null3"/>
                    <w:jc w:val="both"/>
                  </w:pPr>
                  <w:r>
                    <w:rPr>
                      <w:rFonts w:ascii="仿宋_GB2312" w:hAnsi="仿宋_GB2312" w:cs="仿宋_GB2312" w:eastAsia="仿宋_GB2312"/>
                      <w:sz w:val="21"/>
                    </w:rPr>
                    <w:t>5. 规范远程运维操作，所有远程操作全程留痕，审计日志留存不少于6个月，杜绝非法远程访问。</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远程服务、现场服务</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不限次数，每月至少1次安全风险排查，每季度至少1次数据安全专项检查</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人员培训服务</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针对医院管理岗、医护操作岗、信息科技术岗，分别制定差异化培训计划，编制标准化培训教材与操作手册；</w:t>
                  </w:r>
                </w:p>
                <w:p>
                  <w:pPr>
                    <w:pStyle w:val="null3"/>
                    <w:jc w:val="both"/>
                  </w:pPr>
                  <w:r>
                    <w:rPr>
                      <w:rFonts w:ascii="仿宋_GB2312" w:hAnsi="仿宋_GB2312" w:cs="仿宋_GB2312" w:eastAsia="仿宋_GB2312"/>
                      <w:sz w:val="21"/>
                    </w:rPr>
                    <w:t>2. 培训内容包括系统操作规范、常见故障处置、数据安全与个人信息保护、应急处置流程等；</w:t>
                  </w:r>
                </w:p>
                <w:p>
                  <w:pPr>
                    <w:pStyle w:val="null3"/>
                    <w:jc w:val="both"/>
                  </w:pPr>
                  <w:r>
                    <w:rPr>
                      <w:rFonts w:ascii="仿宋_GB2312" w:hAnsi="仿宋_GB2312" w:cs="仿宋_GB2312" w:eastAsia="仿宋_GB2312"/>
                      <w:sz w:val="21"/>
                    </w:rPr>
                    <w:t>3. 培训完成后组织考核，确保参训人员掌握对应技能；</w:t>
                  </w:r>
                </w:p>
                <w:p>
                  <w:pPr>
                    <w:pStyle w:val="null3"/>
                    <w:jc w:val="both"/>
                  </w:pPr>
                  <w:r>
                    <w:rPr>
                      <w:rFonts w:ascii="仿宋_GB2312" w:hAnsi="仿宋_GB2312" w:cs="仿宋_GB2312" w:eastAsia="仿宋_GB2312"/>
                      <w:sz w:val="21"/>
                    </w:rPr>
                    <w:t>4. 针对系统升级、新功能上线、新员工入职等场景，提供即时专项培训服务。</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现场培训、远程线上培训</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全年累计培训不少于 20 学时，集中培训不少于 2 次，专项培训不限次数</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报表开发服务</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服务商为院方提供新增报表开发、现有报表优化调整服务，确保数据准确、可追溯。</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远程服务、现场服务</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不少于</w:t>
                  </w:r>
                </w:p>
                <w:p>
                  <w:pPr>
                    <w:pStyle w:val="null3"/>
                    <w:jc w:val="center"/>
                  </w:pPr>
                  <w:r>
                    <w:rPr>
                      <w:rFonts w:ascii="仿宋_GB2312" w:hAnsi="仿宋_GB2312" w:cs="仿宋_GB2312" w:eastAsia="仿宋_GB2312"/>
                      <w:sz w:val="21"/>
                    </w:rPr>
                    <w:t>10张</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应急保障服务</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针对系统瘫痪、重大数据安全事件、网络攻击等突发场景，制定专项应急预案，明确应急处置流程、责任人员、处置方案；</w:t>
                  </w:r>
                </w:p>
                <w:p>
                  <w:pPr>
                    <w:pStyle w:val="null3"/>
                    <w:jc w:val="both"/>
                  </w:pPr>
                  <w:r>
                    <w:rPr>
                      <w:rFonts w:ascii="仿宋_GB2312" w:hAnsi="仿宋_GB2312" w:cs="仿宋_GB2312" w:eastAsia="仿宋_GB2312"/>
                      <w:sz w:val="21"/>
                    </w:rPr>
                    <w:t>2. 每年联合采购人组织不少于 2 次应急演练，优化应急预案；</w:t>
                  </w:r>
                </w:p>
                <w:p>
                  <w:pPr>
                    <w:pStyle w:val="null3"/>
                    <w:jc w:val="both"/>
                  </w:pPr>
                  <w:r>
                    <w:rPr>
                      <w:rFonts w:ascii="仿宋_GB2312" w:hAnsi="仿宋_GB2312" w:cs="仿宋_GB2312" w:eastAsia="仿宋_GB2312"/>
                      <w:sz w:val="21"/>
                    </w:rPr>
                    <w:t>3. 医院就诊高峰、节假日、重大医疗活动等特殊时段，提供专属驻场保障服务，提前完成系统巡检，全程值守保障系统稳定运行。</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现场驻场服务、7×24 小时应急响应</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每年不少于 2 次应急演练，特殊时段按需提供驻场保障</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服务器端本土化替代专项技术服务</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国产化适配前置评估：针对采购人服务器端本土化替代建设需求，覆盖国产服务器硬件、操作系统、数据库、中间件的全栈适配性分析，出具完整评估与实施方案；</w:t>
                  </w:r>
                </w:p>
                <w:p>
                  <w:pPr>
                    <w:pStyle w:val="null3"/>
                    <w:jc w:val="both"/>
                  </w:pPr>
                  <w:r>
                    <w:rPr>
                      <w:rFonts w:ascii="仿宋_GB2312" w:hAnsi="仿宋_GB2312" w:cs="仿宋_GB2312" w:eastAsia="仿宋_GB2312"/>
                      <w:sz w:val="21"/>
                    </w:rPr>
                    <w:t>2. 原厂级适配改造开发：针对评估发现的兼容性问题，提供系统源代码级的适配改造、功能优化、接口重构服务，确保系统在国产化服务器环境下全功能正常运行、业务流程无断点、数据交互无异常，同时保障系统与院内HIS、LIS、PACS、EMR等现有及新增信创/非信创系统的互联互通，适配改造后系统性能不低于原有非国产化环境水平；</w:t>
                  </w:r>
                </w:p>
                <w:p>
                  <w:pPr>
                    <w:pStyle w:val="null3"/>
                    <w:jc w:val="both"/>
                  </w:pPr>
                  <w:r>
                    <w:rPr>
                      <w:rFonts w:ascii="仿宋_GB2312" w:hAnsi="仿宋_GB2312" w:cs="仿宋_GB2312" w:eastAsia="仿宋_GB2312"/>
                      <w:sz w:val="21"/>
                    </w:rPr>
                    <w:t>1. 国产化适配前置评估：针对采购人服务器端本土化替代建设需求，完成现有医院信息系统（HIS）全模块、全功能的国产化环境兼容性评估，覆盖国产服务器硬件、操作系统、数据库、中间件的全栈适配性分析，出具完整评估与实施方案；</w:t>
                  </w:r>
                </w:p>
                <w:p>
                  <w:pPr>
                    <w:pStyle w:val="null3"/>
                    <w:jc w:val="both"/>
                  </w:pPr>
                  <w:r>
                    <w:rPr>
                      <w:rFonts w:ascii="仿宋_GB2312" w:hAnsi="仿宋_GB2312" w:cs="仿宋_GB2312" w:eastAsia="仿宋_GB2312"/>
                      <w:sz w:val="21"/>
                    </w:rPr>
                    <w:t>2. 原厂级适配改造开发：针对评估发现的兼容性问题，提供系统源代码级的适配改造、功能优化、接口重构服务，确保系统在国产化服务器环境下全功能正常运行、业务流程无断点、数据交互无异常，同时保障系统与院内HIS、LIS、PACS、EMR等现有及新增信创/非信创系统的互联互通，适配改造后系统性能不低于原有非国产化环境水平；</w:t>
                  </w:r>
                </w:p>
                <w:p>
                  <w:pPr>
                    <w:pStyle w:val="null3"/>
                    <w:jc w:val="both"/>
                  </w:pPr>
                  <w:r>
                    <w:rPr>
                      <w:rFonts w:ascii="仿宋_GB2312" w:hAnsi="仿宋_GB2312" w:cs="仿宋_GB2312" w:eastAsia="仿宋_GB2312"/>
                      <w:sz w:val="21"/>
                    </w:rPr>
                    <w:t>3. 国产化迁移与割接实施：配合采购人完成国产化测试环境搭建、全量功能测试、压力测试、兼容性测试、安全测试，制定分阶段、零风险的业务割接方案，割接操作安排在非业务高峰时段（夜间、节假日），全程派驻技术人员现场值守，保障迁移过程医疗数据零丢失、零泄露、零篡改，业务中断时长符合医院医疗安全管理要求，如出现异常立即启动回滚预案，保障业务连续性；</w:t>
                  </w:r>
                </w:p>
                <w:p>
                  <w:pPr>
                    <w:pStyle w:val="null3"/>
                    <w:jc w:val="both"/>
                  </w:pPr>
                  <w:r>
                    <w:rPr>
                      <w:rFonts w:ascii="仿宋_GB2312" w:hAnsi="仿宋_GB2312" w:cs="仿宋_GB2312" w:eastAsia="仿宋_GB2312"/>
                      <w:sz w:val="21"/>
                    </w:rPr>
                    <w:t>4. 国产化环境专项运维保障：系统迁移至国产化服务器环境后，提供专属专项运维服务，包括国产化环境下系统日常巡检、性能优化、故障排查处置、安全补丁适配、漏洞修复、合规性升级，建立国产化环境专属运维台账，针对国产化平台特性优化运维流程，保障系统在国产化服务器环境下持续稳定运行；</w:t>
                  </w:r>
                </w:p>
                <w:p>
                  <w:pPr>
                    <w:pStyle w:val="null3"/>
                    <w:jc w:val="both"/>
                  </w:pPr>
                  <w:r>
                    <w:rPr>
                      <w:rFonts w:ascii="仿宋_GB2312" w:hAnsi="仿宋_GB2312" w:cs="仿宋_GB2312" w:eastAsia="仿宋_GB2312"/>
                      <w:sz w:val="21"/>
                    </w:rPr>
                    <w:t>5. 合规适配与测评支撑：配合采购人完成信创建设合规验收、网络安全等级保护测评、医院信息互联互通标准化成熟度测评等相关工作，提供系统国产化适配证明、测试报告、技术支撑及整改服务，确保系统符合国家及地方交通、卫健、网信部门关于医疗信息化信创建设的最新政策要求；</w:t>
                  </w:r>
                </w:p>
                <w:p>
                  <w:pPr>
                    <w:pStyle w:val="null3"/>
                    <w:jc w:val="both"/>
                  </w:pPr>
                  <w:r>
                    <w:rPr>
                      <w:rFonts w:ascii="仿宋_GB2312" w:hAnsi="仿宋_GB2312" w:cs="仿宋_GB2312" w:eastAsia="仿宋_GB2312"/>
                      <w:sz w:val="21"/>
                    </w:rPr>
                    <w:t>6. 国产化专项培训：针对国产化服务器环境下的系统运维、操作使用、故障应急处置，为采购人信息科技术人员、医护操作岗、管理岗人员提供专项定制化培训，编制专属培训教材，确保参训人员掌握对应技能。</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现场服务为主、远程辅助服务、专项驻场服务</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按需提供全流程服务，服务期内不限响应次数；迁移完成后每月至少1次国产化环境专项巡检，每季度至少1次性能优化</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运维报告服务</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每季度、每年提交阶段性运维报告，年度报告须包含全年服务总结、系统运行评估、安全合规情况、下一年度运维优化方案等；</w:t>
                  </w:r>
                </w:p>
                <w:p>
                  <w:pPr>
                    <w:pStyle w:val="null3"/>
                    <w:jc w:val="both"/>
                  </w:pPr>
                  <w:r>
                    <w:rPr>
                      <w:rFonts w:ascii="仿宋_GB2312" w:hAnsi="仿宋_GB2312" w:cs="仿宋_GB2312" w:eastAsia="仿宋_GB2312"/>
                      <w:sz w:val="21"/>
                    </w:rPr>
                    <w:t>2. 重大故障、专项工作单独提交专项报告。</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书面盖章报告、电子文档</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每季度1次季报，每年1次年报，专项报告按需提交</w:t>
                  </w:r>
                </w:p>
              </w:tc>
            </w:tr>
          </w:tbl>
          <w:p>
            <w:pPr>
              <w:pStyle w:val="null3"/>
              <w:jc w:val="both"/>
            </w:pPr>
            <w:r>
              <w:rPr>
                <w:rFonts w:ascii="仿宋_GB2312" w:hAnsi="仿宋_GB2312" w:cs="仿宋_GB2312" w:eastAsia="仿宋_GB2312"/>
                <w:sz w:val="21"/>
                <w:b/>
              </w:rPr>
              <w:t>5.售后服务方案与技术能力要求：</w:t>
            </w:r>
          </w:p>
          <w:p>
            <w:pPr>
              <w:pStyle w:val="null3"/>
              <w:jc w:val="both"/>
            </w:pPr>
            <w:r>
              <w:rPr>
                <w:rFonts w:ascii="仿宋_GB2312" w:hAnsi="仿宋_GB2312" w:cs="仿宋_GB2312" w:eastAsia="仿宋_GB2312"/>
                <w:sz w:val="21"/>
                <w:b/>
              </w:rPr>
              <w:t>5.1 售后服务方案要求</w:t>
            </w:r>
          </w:p>
          <w:p>
            <w:pPr>
              <w:pStyle w:val="null3"/>
              <w:jc w:val="both"/>
            </w:pPr>
            <w:r>
              <w:rPr>
                <w:rFonts w:ascii="仿宋_GB2312" w:hAnsi="仿宋_GB2312" w:cs="仿宋_GB2312" w:eastAsia="仿宋_GB2312"/>
                <w:sz w:val="21"/>
              </w:rPr>
              <w:t>服务商须根据采购人信息化建设现状、系统使用情况、业务运行特点，制定详尽、可落地的售后服务方案，方案须至少包含以下内容：</w:t>
            </w:r>
          </w:p>
          <w:p>
            <w:pPr>
              <w:pStyle w:val="null3"/>
            </w:pPr>
            <w:r>
              <w:rPr>
                <w:rFonts w:ascii="仿宋_GB2312" w:hAnsi="仿宋_GB2312" w:cs="仿宋_GB2312" w:eastAsia="仿宋_GB2312"/>
                <w:sz w:val="21"/>
              </w:rPr>
              <w:t>5.1.1.售后运维服务的整体承诺、服务级别保障承诺；</w:t>
            </w:r>
          </w:p>
          <w:p>
            <w:pPr>
              <w:pStyle w:val="null3"/>
              <w:jc w:val="both"/>
            </w:pPr>
            <w:r>
              <w:rPr>
                <w:rFonts w:ascii="仿宋_GB2312" w:hAnsi="仿宋_GB2312" w:cs="仿宋_GB2312" w:eastAsia="仿宋_GB2312"/>
                <w:sz w:val="21"/>
              </w:rPr>
              <w:t>5.1.2.售后运维服务的详细内容、实施流程、操作规范；</w:t>
            </w:r>
          </w:p>
          <w:p>
            <w:pPr>
              <w:pStyle w:val="null3"/>
              <w:jc w:val="both"/>
            </w:pPr>
            <w:r>
              <w:rPr>
                <w:rFonts w:ascii="仿宋_GB2312" w:hAnsi="仿宋_GB2312" w:cs="仿宋_GB2312" w:eastAsia="仿宋_GB2312"/>
                <w:sz w:val="21"/>
              </w:rPr>
              <w:t>5.1.3.各故障等级的应急处置措施、业务连续性保障方案；</w:t>
            </w:r>
          </w:p>
          <w:p>
            <w:pPr>
              <w:pStyle w:val="null3"/>
              <w:jc w:val="both"/>
            </w:pPr>
            <w:r>
              <w:rPr>
                <w:rFonts w:ascii="仿宋_GB2312" w:hAnsi="仿宋_GB2312" w:cs="仿宋_GB2312" w:eastAsia="仿宋_GB2312"/>
                <w:sz w:val="21"/>
              </w:rPr>
              <w:t>5.1.4.售后运维服务全流程管理制度、质量管控体系；</w:t>
            </w:r>
          </w:p>
          <w:p>
            <w:pPr>
              <w:pStyle w:val="null3"/>
              <w:jc w:val="both"/>
            </w:pPr>
            <w:r>
              <w:rPr>
                <w:rFonts w:ascii="仿宋_GB2312" w:hAnsi="仿宋_GB2312" w:cs="仿宋_GB2312" w:eastAsia="仿宋_GB2312"/>
                <w:sz w:val="21"/>
              </w:rPr>
              <w:t>5.1.5.数据安全事件、系统瘫痪等突发场景的专项应急预案；</w:t>
            </w:r>
          </w:p>
          <w:p>
            <w:pPr>
              <w:pStyle w:val="null3"/>
              <w:jc w:val="both"/>
            </w:pPr>
            <w:r>
              <w:rPr>
                <w:rFonts w:ascii="仿宋_GB2312" w:hAnsi="仿宋_GB2312" w:cs="仿宋_GB2312" w:eastAsia="仿宋_GB2312"/>
                <w:sz w:val="21"/>
              </w:rPr>
              <w:t>5.1.6.运维服务人员的岗位职责、考核方案、奖惩机制；</w:t>
            </w:r>
          </w:p>
          <w:p>
            <w:pPr>
              <w:pStyle w:val="null3"/>
              <w:jc w:val="both"/>
            </w:pPr>
            <w:r>
              <w:rPr>
                <w:rFonts w:ascii="仿宋_GB2312" w:hAnsi="仿宋_GB2312" w:cs="仿宋_GB2312" w:eastAsia="仿宋_GB2312"/>
                <w:sz w:val="21"/>
              </w:rPr>
              <w:t>5.1.7.合规性保障方案、等保合规配合方案、个人信息保护专项方案。</w:t>
            </w:r>
          </w:p>
          <w:p>
            <w:pPr>
              <w:pStyle w:val="null3"/>
              <w:jc w:val="both"/>
            </w:pPr>
            <w:r>
              <w:rPr>
                <w:rFonts w:ascii="仿宋_GB2312" w:hAnsi="仿宋_GB2312" w:cs="仿宋_GB2312" w:eastAsia="仿宋_GB2312"/>
                <w:sz w:val="21"/>
                <w:b/>
              </w:rPr>
              <w:t>5.2 技术能力与人员要求</w:t>
            </w:r>
          </w:p>
          <w:p>
            <w:pPr>
              <w:pStyle w:val="null3"/>
            </w:pPr>
            <w:r>
              <w:rPr>
                <w:rFonts w:ascii="仿宋_GB2312" w:hAnsi="仿宋_GB2312" w:cs="仿宋_GB2312" w:eastAsia="仿宋_GB2312"/>
                <w:sz w:val="21"/>
              </w:rPr>
              <w:t>5.2.1.服务商须提供本项目售后服务专属团队组织架构，明确人员的岗位职责。</w:t>
            </w:r>
          </w:p>
          <w:p>
            <w:pPr>
              <w:pStyle w:val="null3"/>
              <w:jc w:val="both"/>
            </w:pPr>
            <w:r>
              <w:rPr>
                <w:rFonts w:ascii="仿宋_GB2312" w:hAnsi="仿宋_GB2312" w:cs="仿宋_GB2312" w:eastAsia="仿宋_GB2312"/>
                <w:sz w:val="21"/>
              </w:rPr>
              <w:t>5.2.2.本项目专属技术团队人员不少于5人，其中专职人员不少于1人（可根据采购人需求调整），团队人员须满足以下资质要求：</w:t>
            </w:r>
          </w:p>
          <w:p>
            <w:pPr>
              <w:pStyle w:val="null3"/>
            </w:pPr>
            <w:r>
              <w:rPr>
                <w:rFonts w:ascii="仿宋_GB2312" w:hAnsi="仿宋_GB2312" w:cs="仿宋_GB2312" w:eastAsia="仿宋_GB2312"/>
                <w:sz w:val="21"/>
              </w:rPr>
              <w:t>技术团队须包含至少1名数据库专职人员、1名网络安全专职人员；</w:t>
            </w:r>
          </w:p>
          <w:p>
            <w:pPr>
              <w:pStyle w:val="null3"/>
            </w:pPr>
            <w:r>
              <w:rPr>
                <w:rFonts w:ascii="仿宋_GB2312" w:hAnsi="仿宋_GB2312" w:cs="仿宋_GB2312" w:eastAsia="仿宋_GB2312"/>
                <w:sz w:val="21"/>
              </w:rPr>
              <w:t>提供团队所有人员近3个月的社保缴纳证明材料，确保人员稳定，未经采购人书面同意，不得擅自更换项目核心人员。</w:t>
            </w:r>
          </w:p>
          <w:p>
            <w:pPr>
              <w:pStyle w:val="null3"/>
              <w:jc w:val="both"/>
            </w:pPr>
            <w:r>
              <w:rPr>
                <w:rFonts w:ascii="仿宋_GB2312" w:hAnsi="仿宋_GB2312" w:cs="仿宋_GB2312" w:eastAsia="仿宋_GB2312"/>
                <w:sz w:val="21"/>
              </w:rPr>
              <w:t>5.2.3.服务商须具备完善的技术支撑体系，具备原厂级研发与维护能力，可提供系统源代码级的故障修复、功能适配服务，具备本地化服务能力，确保应急处置时效。</w:t>
            </w:r>
          </w:p>
          <w:p>
            <w:pPr>
              <w:pStyle w:val="null3"/>
              <w:jc w:val="both"/>
            </w:pPr>
            <w:r>
              <w:rPr>
                <w:rFonts w:ascii="仿宋_GB2312" w:hAnsi="仿宋_GB2312" w:cs="仿宋_GB2312" w:eastAsia="仿宋_GB2312"/>
                <w:sz w:val="21"/>
                <w:b/>
              </w:rPr>
              <w:t>6.数据安全与信息保密要求：</w:t>
            </w:r>
          </w:p>
          <w:p>
            <w:pPr>
              <w:pStyle w:val="null3"/>
              <w:jc w:val="both"/>
            </w:pPr>
            <w:r>
              <w:rPr>
                <w:rFonts w:ascii="仿宋_GB2312" w:hAnsi="仿宋_GB2312" w:cs="仿宋_GB2312" w:eastAsia="仿宋_GB2312"/>
                <w:sz w:val="21"/>
              </w:rPr>
              <w:t>本条款严格遵循《数据安全法》《个人信息保护法》《医疗卫生机构网络安全管理办法》《医疗卫生数据安全指南》制定，为项目刚性要求，具体如下：</w:t>
            </w:r>
          </w:p>
          <w:p>
            <w:pPr>
              <w:pStyle w:val="null3"/>
              <w:jc w:val="both"/>
            </w:pPr>
            <w:r>
              <w:rPr>
                <w:rFonts w:ascii="仿宋_GB2312" w:hAnsi="仿宋_GB2312" w:cs="仿宋_GB2312" w:eastAsia="仿宋_GB2312"/>
                <w:sz w:val="21"/>
              </w:rPr>
              <w:t>6.1 服务商须建立完善的数据安全管理制度、全生命周期数据保护体系、个人信息保护管理制度，符合国家医疗数据分类分级保护相关要求，明确数据安全责任部门与专职技术人员，提供专职人员近 3 年的社保缴纳证明材料。</w:t>
            </w:r>
          </w:p>
          <w:p>
            <w:pPr>
              <w:pStyle w:val="null3"/>
              <w:jc w:val="both"/>
            </w:pPr>
            <w:r>
              <w:rPr>
                <w:rFonts w:ascii="仿宋_GB2312" w:hAnsi="仿宋_GB2312" w:cs="仿宋_GB2312" w:eastAsia="仿宋_GB2312"/>
                <w:sz w:val="21"/>
              </w:rPr>
              <w:t>6.2 服务商须与采购人签订专项数据安全与保密协议，同时与所有参与本项目的服务人员签订保密协议，明确保密义务、保密范围、保密期限（含在职期间及离职后终身保密）与违约责任，相关协议文本须提交采购人备案。</w:t>
            </w:r>
          </w:p>
          <w:p>
            <w:pPr>
              <w:pStyle w:val="null3"/>
              <w:jc w:val="both"/>
            </w:pPr>
            <w:r>
              <w:rPr>
                <w:rFonts w:ascii="仿宋_GB2312" w:hAnsi="仿宋_GB2312" w:cs="仿宋_GB2312" w:eastAsia="仿宋_GB2312"/>
                <w:sz w:val="21"/>
              </w:rPr>
              <w:t>6.3 服务商须严格遵守国家法律法规，对服务过程中接触、获取的所有医疗数据、患者个人信息、生命体征数据、医院业务数据、涉密信息等，仅可用于本项目运维服务工作，不得擅自复制、存储、泄露、转让、篡改、销毁，不得用于任何商业用途或其他未经授权的用途。</w:t>
            </w:r>
          </w:p>
          <w:p>
            <w:pPr>
              <w:pStyle w:val="null3"/>
              <w:jc w:val="both"/>
            </w:pPr>
            <w:r>
              <w:rPr>
                <w:rFonts w:ascii="仿宋_GB2312" w:hAnsi="仿宋_GB2312" w:cs="仿宋_GB2312" w:eastAsia="仿宋_GB2312"/>
                <w:sz w:val="21"/>
              </w:rPr>
              <w:t>6.4 服务商的远程运维操作须经过采购人书面审批，采用加密安全接入方式，全程留痕，审计日志留存不少于 6 个月；严禁未经授权的远程操作，严禁将系统接入公共互联网进行运维操作。</w:t>
            </w:r>
          </w:p>
          <w:p>
            <w:pPr>
              <w:pStyle w:val="null3"/>
              <w:jc w:val="both"/>
            </w:pPr>
            <w:r>
              <w:rPr>
                <w:rFonts w:ascii="仿宋_GB2312" w:hAnsi="仿宋_GB2312" w:cs="仿宋_GB2312" w:eastAsia="仿宋_GB2312"/>
                <w:sz w:val="21"/>
              </w:rPr>
              <w:t>6.5 服务商须建立数据安全事件应急处置机制，发生数据泄露、篡改、丢失等安全事件时，须 10 分钟内响应，第一时间通知采购人，同步启动应急预案，采取处置措施防止事件扩大，配合采购人完成监管上报、事件调查等工作，并承担全部法律责任与经济损失。</w:t>
            </w:r>
          </w:p>
          <w:p>
            <w:pPr>
              <w:pStyle w:val="null3"/>
              <w:jc w:val="both"/>
            </w:pPr>
            <w:r>
              <w:rPr>
                <w:rFonts w:ascii="仿宋_GB2312" w:hAnsi="仿宋_GB2312" w:cs="仿宋_GB2312" w:eastAsia="仿宋_GB2312"/>
                <w:sz w:val="21"/>
              </w:rPr>
              <w:t>6.6 国产化迁移实施过程中，须严格遵循采购人数据安全管理规定，制定专项数据迁移安全方案，全程加密传输数据，做好全量数据备份与一致性校验，确保迁移过程数据全生命周期安全。</w:t>
            </w:r>
          </w:p>
          <w:p>
            <w:pPr>
              <w:pStyle w:val="null3"/>
              <w:jc w:val="both"/>
            </w:pPr>
            <w:r>
              <w:rPr>
                <w:rFonts w:ascii="仿宋_GB2312" w:hAnsi="仿宋_GB2312" w:cs="仿宋_GB2312" w:eastAsia="仿宋_GB2312"/>
                <w:sz w:val="21"/>
              </w:rPr>
              <w:t>6.7 服务期结束后，服务商须将所有运维相关数据、文档、材料完整移交采购人，彻底删除所持有的采购人全部数据，不得留存任何副本，并向采购人出具数据删除承诺书。</w:t>
            </w:r>
          </w:p>
          <w:p>
            <w:pPr>
              <w:pStyle w:val="null3"/>
              <w:jc w:val="both"/>
            </w:pPr>
            <w:r>
              <w:rPr>
                <w:rFonts w:ascii="仿宋_GB2312" w:hAnsi="仿宋_GB2312" w:cs="仿宋_GB2312" w:eastAsia="仿宋_GB2312"/>
                <w:sz w:val="21"/>
              </w:rPr>
              <w:t>6.8 服务商须配合采购人完成数据安全检查、网络安全审计、等保测评等相关工作，提供对应的技术支撑与整改服务。</w:t>
            </w:r>
          </w:p>
          <w:p>
            <w:pPr>
              <w:pStyle w:val="null3"/>
              <w:jc w:val="both"/>
            </w:pPr>
            <w:r>
              <w:rPr>
                <w:rFonts w:ascii="仿宋_GB2312" w:hAnsi="仿宋_GB2312" w:cs="仿宋_GB2312" w:eastAsia="仿宋_GB2312"/>
                <w:sz w:val="21"/>
                <w:b/>
              </w:rPr>
              <w:t>三、商务要求</w:t>
            </w:r>
          </w:p>
          <w:p>
            <w:pPr>
              <w:pStyle w:val="null3"/>
              <w:jc w:val="both"/>
            </w:pPr>
            <w:r>
              <w:rPr>
                <w:rFonts w:ascii="仿宋_GB2312" w:hAnsi="仿宋_GB2312" w:cs="仿宋_GB2312" w:eastAsia="仿宋_GB2312"/>
                <w:sz w:val="21"/>
                <w:b/>
              </w:rPr>
              <w:t>1. 合同核心内容</w:t>
            </w:r>
          </w:p>
          <w:p>
            <w:pPr>
              <w:pStyle w:val="null3"/>
              <w:jc w:val="both"/>
            </w:pPr>
            <w:r>
              <w:rPr>
                <w:rFonts w:ascii="仿宋_GB2312" w:hAnsi="仿宋_GB2312" w:cs="仿宋_GB2312" w:eastAsia="仿宋_GB2312"/>
                <w:sz w:val="21"/>
              </w:rPr>
              <w:t>合同标的为成交供应商提供的本文件约定的全部运维服务、服务器端本土化替代专项技术服务，合同内容包含采购文件、成交供应商的响应文件、单一来源采购协商记录、服务承诺、成交通知书、合同文本等全部文件，成交总金额为合同固定总价，包含服务期内完成全部服务所需的人工、材料、设备、开发、测试、税费、培训、应急保障等所有费用，采购人无需额外支付任何费用。</w:t>
            </w:r>
          </w:p>
          <w:p>
            <w:pPr>
              <w:pStyle w:val="null3"/>
              <w:jc w:val="both"/>
            </w:pPr>
            <w:r>
              <w:rPr>
                <w:rFonts w:ascii="仿宋_GB2312" w:hAnsi="仿宋_GB2312" w:cs="仿宋_GB2312" w:eastAsia="仿宋_GB2312"/>
                <w:sz w:val="21"/>
                <w:b/>
              </w:rPr>
              <w:t>2. 服务地点</w:t>
            </w:r>
          </w:p>
          <w:p>
            <w:pPr>
              <w:pStyle w:val="null3"/>
              <w:jc w:val="both"/>
            </w:pPr>
            <w:r>
              <w:rPr>
                <w:rFonts w:ascii="仿宋_GB2312" w:hAnsi="仿宋_GB2312" w:cs="仿宋_GB2312" w:eastAsia="仿宋_GB2312"/>
                <w:sz w:val="21"/>
              </w:rPr>
              <w:t>陕西省交通医院本部及所有分院区、采购人指定的其他服务场所。</w:t>
            </w:r>
          </w:p>
          <w:p>
            <w:pPr>
              <w:pStyle w:val="null3"/>
              <w:jc w:val="both"/>
            </w:pPr>
            <w:r>
              <w:rPr>
                <w:rFonts w:ascii="仿宋_GB2312" w:hAnsi="仿宋_GB2312" w:cs="仿宋_GB2312" w:eastAsia="仿宋_GB2312"/>
                <w:sz w:val="21"/>
                <w:b/>
              </w:rPr>
              <w:t>3. 服务期限</w:t>
            </w:r>
          </w:p>
          <w:p>
            <w:pPr>
              <w:pStyle w:val="null3"/>
              <w:jc w:val="both"/>
            </w:pPr>
            <w:r>
              <w:rPr>
                <w:rFonts w:ascii="仿宋_GB2312" w:hAnsi="仿宋_GB2312" w:cs="仿宋_GB2312" w:eastAsia="仿宋_GB2312"/>
                <w:sz w:val="21"/>
              </w:rPr>
              <w:t>本项目服务期限为1年，自合同签订之日起计算。服务期内，服务商服务质量持续不达标，采购人有权提前终止合同。</w:t>
            </w:r>
          </w:p>
          <w:p>
            <w:pPr>
              <w:pStyle w:val="null3"/>
              <w:jc w:val="both"/>
            </w:pPr>
            <w:r>
              <w:rPr>
                <w:rFonts w:ascii="仿宋_GB2312" w:hAnsi="仿宋_GB2312" w:cs="仿宋_GB2312" w:eastAsia="仿宋_GB2312"/>
                <w:sz w:val="21"/>
                <w:b/>
              </w:rPr>
              <w:t>4. 项目考核与验收</w:t>
            </w:r>
          </w:p>
          <w:p>
            <w:pPr>
              <w:pStyle w:val="null3"/>
            </w:pPr>
            <w:r>
              <w:rPr>
                <w:rFonts w:ascii="仿宋_GB2312" w:hAnsi="仿宋_GB2312" w:cs="仿宋_GB2312" w:eastAsia="仿宋_GB2312"/>
                <w:sz w:val="21"/>
              </w:rPr>
              <w:t>4.1本项目采用年度总验收的方式，由采购人信息科牵头，联合医务科、门诊办公室、财务科、临床医技科室代表等相关部门，或邀请外部专家开展考核评价与验收工作，成交供应商须无条件配合，并提供全部所需的运维记录、报告等资料。</w:t>
            </w:r>
          </w:p>
          <w:p>
            <w:pPr>
              <w:pStyle w:val="null3"/>
            </w:pPr>
            <w:r>
              <w:rPr>
                <w:rFonts w:ascii="仿宋_GB2312" w:hAnsi="仿宋_GB2312" w:cs="仿宋_GB2312" w:eastAsia="仿宋_GB2312"/>
                <w:sz w:val="21"/>
              </w:rPr>
              <w:t>4.2考核标准：严格按照本文件附件《信息系统售后运维服务质量评价标准》执行，评分满分 100 分。90 分（含）-100 分为优秀，70 分（含）-89 分为合格，70 分以下为不合格。</w:t>
            </w:r>
          </w:p>
          <w:p>
            <w:pPr>
              <w:pStyle w:val="null3"/>
            </w:pPr>
            <w:r>
              <w:rPr>
                <w:rFonts w:ascii="仿宋_GB2312" w:hAnsi="仿宋_GB2312" w:cs="仿宋_GB2312" w:eastAsia="仿宋_GB2312"/>
                <w:sz w:val="21"/>
              </w:rPr>
              <w:t>4.3验收依据：本采购文件、成交供应商响应文件、合同文本、国家及行业现行相关标准规范、考核记录、运维服务报告、服务满意度调查结果、项目考核汇总表等。</w:t>
            </w:r>
          </w:p>
          <w:p>
            <w:pPr>
              <w:pStyle w:val="null3"/>
            </w:pPr>
            <w:r>
              <w:rPr>
                <w:rFonts w:ascii="仿宋_GB2312" w:hAnsi="仿宋_GB2312" w:cs="仿宋_GB2312" w:eastAsia="仿宋_GB2312"/>
                <w:sz w:val="21"/>
              </w:rPr>
              <w:t>4.4年度验收合格的前提：服务期内无重大数据安全事件、无重大服务质量投诉、无因服务商责任导致的医疗业务重大中断事故，年度考核评分≥70 分。</w:t>
            </w:r>
          </w:p>
          <w:p>
            <w:pPr>
              <w:pStyle w:val="null3"/>
              <w:jc w:val="both"/>
            </w:pPr>
            <w:r>
              <w:rPr>
                <w:rFonts w:ascii="仿宋_GB2312" w:hAnsi="仿宋_GB2312" w:cs="仿宋_GB2312" w:eastAsia="仿宋_GB2312"/>
                <w:sz w:val="21"/>
                <w:b/>
              </w:rPr>
              <w:t>5. 结算与付款方式</w:t>
            </w:r>
          </w:p>
          <w:p>
            <w:pPr>
              <w:pStyle w:val="null3"/>
            </w:pPr>
            <w:r>
              <w:rPr>
                <w:rFonts w:ascii="仿宋_GB2312" w:hAnsi="仿宋_GB2312" w:cs="仿宋_GB2312" w:eastAsia="仿宋_GB2312"/>
                <w:sz w:val="21"/>
              </w:rPr>
              <w:t>5.1结算主体为采购人，结算前，成交供应商须向采购人开具合法、等额、有效的发票，采购人收到发票后按以下约定付款，因供应商发票开具不合规导致的付款延误，由供应商自行承担全部责任。</w:t>
            </w:r>
          </w:p>
          <w:p>
            <w:pPr>
              <w:pStyle w:val="null3"/>
            </w:pPr>
            <w:r>
              <w:rPr>
                <w:rFonts w:ascii="仿宋_GB2312" w:hAnsi="仿宋_GB2312" w:cs="仿宋_GB2312" w:eastAsia="仿宋_GB2312"/>
                <w:sz w:val="21"/>
              </w:rPr>
              <w:t>5.2付款方式：</w:t>
            </w:r>
          </w:p>
          <w:p>
            <w:pPr>
              <w:pStyle w:val="null3"/>
            </w:pPr>
            <w:r>
              <w:rPr>
                <w:rFonts w:ascii="仿宋_GB2312" w:hAnsi="仿宋_GB2312" w:cs="仿宋_GB2312" w:eastAsia="仿宋_GB2312"/>
                <w:sz w:val="21"/>
              </w:rPr>
              <w:t>l第一笔款项：双方签订合同后 5 日内付合同价款的 50%；</w:t>
            </w:r>
          </w:p>
          <w:p>
            <w:pPr>
              <w:pStyle w:val="null3"/>
            </w:pPr>
            <w:r>
              <w:rPr>
                <w:rFonts w:ascii="仿宋_GB2312" w:hAnsi="仿宋_GB2312" w:cs="仿宋_GB2312" w:eastAsia="仿宋_GB2312"/>
                <w:sz w:val="21"/>
              </w:rPr>
              <w:t>l第二笔款项：服务期满后，采购人组织完成年度考核验收后 7 个工作日内，根据考核结果支付剩余合同价款：</w:t>
            </w:r>
          </w:p>
          <w:p>
            <w:pPr>
              <w:pStyle w:val="null3"/>
            </w:pPr>
            <w:r>
              <w:rPr>
                <w:rFonts w:ascii="仿宋_GB2312" w:hAnsi="仿宋_GB2312" w:cs="仿宋_GB2312" w:eastAsia="仿宋_GB2312"/>
                <w:sz w:val="21"/>
              </w:rPr>
              <w:t>ⅰ. 年度考核结果为优秀的，支付合同剩余 50% 价款；</w:t>
            </w:r>
          </w:p>
          <w:p>
            <w:pPr>
              <w:pStyle w:val="null3"/>
            </w:pPr>
            <w:r>
              <w:rPr>
                <w:rFonts w:ascii="仿宋_GB2312" w:hAnsi="仿宋_GB2312" w:cs="仿宋_GB2312" w:eastAsia="仿宋_GB2312"/>
                <w:sz w:val="21"/>
              </w:rPr>
              <w:t>ⅱ. 年度考核结果为合格的，扣除合同总价款的 10% 作为违约金，支付合同剩余 40% 价款；</w:t>
            </w:r>
          </w:p>
          <w:p>
            <w:pPr>
              <w:pStyle w:val="null3"/>
            </w:pPr>
            <w:r>
              <w:rPr>
                <w:rFonts w:ascii="仿宋_GB2312" w:hAnsi="仿宋_GB2312" w:cs="仿宋_GB2312" w:eastAsia="仿宋_GB2312"/>
                <w:sz w:val="21"/>
              </w:rPr>
              <w:t>ⅲ. 年度考核结果为不合格的，采购人有权不予支付合同剩余 50% 价款，同时保留追究供应商违约责任的权利。</w:t>
            </w:r>
          </w:p>
          <w:p>
            <w:pPr>
              <w:pStyle w:val="null3"/>
              <w:jc w:val="both"/>
            </w:pPr>
            <w:r>
              <w:rPr>
                <w:rFonts w:ascii="仿宋_GB2312" w:hAnsi="仿宋_GB2312" w:cs="仿宋_GB2312" w:eastAsia="仿宋_GB2312"/>
                <w:sz w:val="21"/>
                <w:b/>
              </w:rPr>
              <w:t>6. 知识产权条款</w:t>
            </w:r>
          </w:p>
          <w:p>
            <w:pPr>
              <w:pStyle w:val="null3"/>
            </w:pPr>
            <w:r>
              <w:rPr>
                <w:rFonts w:ascii="仿宋_GB2312" w:hAnsi="仿宋_GB2312" w:cs="仿宋_GB2312" w:eastAsia="仿宋_GB2312"/>
                <w:sz w:val="21"/>
              </w:rPr>
              <w:t>6.1供应商须保证，其提供的运维服务、软件更新、升级服务及相关技术成果，不会出现任何第三方提出侵犯其专利权、商标权、著作权或其他知识产权的主张或诉讼，如发生前述情形，由供应商承担全部法律责任，并赔偿采购人因此遭受的全部经济损失。</w:t>
            </w:r>
          </w:p>
          <w:p>
            <w:pPr>
              <w:pStyle w:val="null3"/>
              <w:jc w:val="both"/>
            </w:pPr>
            <w:r>
              <w:rPr>
                <w:rFonts w:ascii="仿宋_GB2312" w:hAnsi="仿宋_GB2312" w:cs="仿宋_GB2312" w:eastAsia="仿宋_GB2312"/>
                <w:sz w:val="21"/>
              </w:rPr>
              <w:t>6.2本项目涉及系统的软件著作权、知识产权归原权利人所有，供应商仅可基于本项目运维服务目的，在采购人授权范围内使用相关软件及技术资料，不得擅自复制、分发、转让、反编译、反向工程，不得用于任何其他用途。</w:t>
            </w:r>
          </w:p>
          <w:p>
            <w:pPr>
              <w:pStyle w:val="null3"/>
              <w:jc w:val="both"/>
            </w:pPr>
            <w:r>
              <w:rPr>
                <w:rFonts w:ascii="仿宋_GB2312" w:hAnsi="仿宋_GB2312" w:cs="仿宋_GB2312" w:eastAsia="仿宋_GB2312"/>
                <w:sz w:val="21"/>
              </w:rPr>
              <w:t>6.3服务期内，采购人基于系统使用产生的全部医疗数据、业务数据、患者个人信息、生命体征数据等所有数据的所有权、使用权均归采购人所有，供应商不得主张任何权利，不得擅自使用。</w:t>
            </w:r>
          </w:p>
          <w:p>
            <w:pPr>
              <w:pStyle w:val="null3"/>
              <w:jc w:val="both"/>
            </w:pPr>
            <w:r>
              <w:rPr>
                <w:rFonts w:ascii="仿宋_GB2312" w:hAnsi="仿宋_GB2312" w:cs="仿宋_GB2312" w:eastAsia="仿宋_GB2312"/>
                <w:sz w:val="21"/>
              </w:rPr>
              <w:t>6.4供应商为采购人提供的定制化功能开发、政策适配升级、技术方案等成果，知识产权归采购人所有，供应商仅可保留非商业用途的技术使用权。</w:t>
            </w:r>
          </w:p>
          <w:p>
            <w:pPr>
              <w:pStyle w:val="null3"/>
              <w:jc w:val="both"/>
            </w:pPr>
            <w:r>
              <w:rPr>
                <w:rFonts w:ascii="仿宋_GB2312" w:hAnsi="仿宋_GB2312" w:cs="仿宋_GB2312" w:eastAsia="仿宋_GB2312"/>
                <w:sz w:val="21"/>
                <w:b/>
              </w:rPr>
              <w:t>7. 违约责任</w:t>
            </w:r>
          </w:p>
          <w:p>
            <w:pPr>
              <w:pStyle w:val="null3"/>
            </w:pPr>
            <w:r>
              <w:rPr>
                <w:rFonts w:ascii="仿宋_GB2312" w:hAnsi="仿宋_GB2312" w:cs="仿宋_GB2312" w:eastAsia="仿宋_GB2312"/>
                <w:sz w:val="21"/>
              </w:rPr>
              <w:t>7.1本合同违约责任严格按照《中华人民共和国民法典》相关条款执行。</w:t>
            </w:r>
          </w:p>
          <w:p>
            <w:pPr>
              <w:pStyle w:val="null3"/>
              <w:jc w:val="both"/>
            </w:pPr>
            <w:r>
              <w:rPr>
                <w:rFonts w:ascii="仿宋_GB2312" w:hAnsi="仿宋_GB2312" w:cs="仿宋_GB2312" w:eastAsia="仿宋_GB2312"/>
                <w:sz w:val="21"/>
              </w:rPr>
              <w:t>7.2供应商未按合同约定提供服务，或服务质量、响应时效、技术能力不满足合同要求，采购人有权按《服务质量评价标准》扣除对应款项，并要求供应商限期整改；整改后仍无法满足合同要求的，采购人有权扣除对应合同款项，直至单方面解除合同，供应商须承担采购人因此遭受的全部损失。</w:t>
            </w:r>
          </w:p>
          <w:p>
            <w:pPr>
              <w:pStyle w:val="null3"/>
              <w:jc w:val="both"/>
            </w:pPr>
            <w:r>
              <w:rPr>
                <w:rFonts w:ascii="仿宋_GB2312" w:hAnsi="仿宋_GB2312" w:cs="仿宋_GB2312" w:eastAsia="仿宋_GB2312"/>
                <w:sz w:val="21"/>
              </w:rPr>
              <w:t>7.3供应商未按故障SLA要求完成响应与故障处置的，每出现一次一级故障超时，扣除合同总价款的5%；每出现一次二级故障超时，扣除合同总价款的2%；三级、四级故障超时，按评价标准扣除对应分值，并累计扣除合同款项。前述超时情形累计出现【10】次的，视为供应商根本违约，采购人有权立即解除合同，不予支付剩余全部合同款项，供应商须支付合同总价款30%的违约金，同时承担全部法律责任，赔偿采购人因此遭受的全部经济损失（含监管处罚、民事赔偿、商誉损失等）。因供应商故障处置不及时导致医院业务中断、产生医疗纠纷或监管处罚的，全部责任与经济损失由供应商承担。</w:t>
            </w:r>
          </w:p>
          <w:p>
            <w:pPr>
              <w:pStyle w:val="null3"/>
              <w:jc w:val="both"/>
            </w:pPr>
            <w:r>
              <w:rPr>
                <w:rFonts w:ascii="仿宋_GB2312" w:hAnsi="仿宋_GB2312" w:cs="仿宋_GB2312" w:eastAsia="仿宋_GB2312"/>
                <w:sz w:val="21"/>
              </w:rPr>
              <w:t>7.4供应商违反数据安全与保密约定，发生数据泄露、篡改、丢失等事件，或擅自使用、转让采购人数据的，采购人有权立即解除合同，不予支付剩余全部合同款项，供应商须支付合同总价款30%的违约金，同时承担全部法律责任，赔偿采购人因此遭受的全部经济损失（含监管处罚、民事赔偿、商誉损失等）。</w:t>
            </w:r>
          </w:p>
          <w:p>
            <w:pPr>
              <w:pStyle w:val="null3"/>
              <w:jc w:val="both"/>
            </w:pPr>
            <w:r>
              <w:rPr>
                <w:rFonts w:ascii="仿宋_GB2312" w:hAnsi="仿宋_GB2312" w:cs="仿宋_GB2312" w:eastAsia="仿宋_GB2312"/>
                <w:sz w:val="21"/>
              </w:rPr>
              <w:t>7.5供应商未经采购人同意，擅自更换项目核心人员、转包/分包本项目服务的，采购人有权扣除合同总价款的10%作为违约金，情节严重的，有权解除合同。</w:t>
            </w:r>
          </w:p>
          <w:p>
            <w:pPr>
              <w:pStyle w:val="null3"/>
              <w:jc w:val="both"/>
            </w:pPr>
            <w:r>
              <w:rPr>
                <w:rFonts w:ascii="仿宋_GB2312" w:hAnsi="仿宋_GB2312" w:cs="仿宋_GB2312" w:eastAsia="仿宋_GB2312"/>
                <w:sz w:val="21"/>
                <w:b/>
              </w:rPr>
              <w:t>8. 其他约定</w:t>
            </w:r>
          </w:p>
          <w:p>
            <w:pPr>
              <w:pStyle w:val="null3"/>
            </w:pPr>
            <w:r>
              <w:rPr>
                <w:rFonts w:ascii="仿宋_GB2312" w:hAnsi="仿宋_GB2312" w:cs="仿宋_GB2312" w:eastAsia="仿宋_GB2312"/>
                <w:sz w:val="21"/>
              </w:rPr>
              <w:t>8.1本项目技术要求与商务要求为合同核心条款，不允许任何负偏离，供应商响应文件须对所有条款作出完全响应承诺，负偏离响应将按无效响应处理。</w:t>
            </w:r>
          </w:p>
          <w:p>
            <w:pPr>
              <w:pStyle w:val="null3"/>
              <w:jc w:val="both"/>
            </w:pPr>
            <w:r>
              <w:rPr>
                <w:rFonts w:ascii="仿宋_GB2312" w:hAnsi="仿宋_GB2312" w:cs="仿宋_GB2312" w:eastAsia="仿宋_GB2312"/>
                <w:sz w:val="21"/>
              </w:rPr>
              <w:t>8.2服务期内，如遇国家政策法规、行业标准发生重大调整，采购人有权对服务内容与要求进行合规性调整，供应商须无条件配合，不得额外收取费用。</w:t>
            </w:r>
          </w:p>
          <w:p>
            <w:pPr>
              <w:pStyle w:val="null3"/>
              <w:jc w:val="both"/>
            </w:pPr>
            <w:r>
              <w:rPr>
                <w:rFonts w:ascii="仿宋_GB2312" w:hAnsi="仿宋_GB2312" w:cs="仿宋_GB2312" w:eastAsia="仿宋_GB2312"/>
                <w:sz w:val="21"/>
              </w:rPr>
              <w:t>8.3本文件未尽事宜，由双方在合同中另行约定，约定内容不得违反本文件的核心要求与国家相关法律法规。</w:t>
            </w:r>
          </w:p>
          <w:p>
            <w:pPr>
              <w:pStyle w:val="null3"/>
              <w:jc w:val="both"/>
            </w:pPr>
            <w:r>
              <w:rPr>
                <w:rFonts w:ascii="仿宋_GB2312" w:hAnsi="仿宋_GB2312" w:cs="仿宋_GB2312" w:eastAsia="仿宋_GB2312"/>
                <w:sz w:val="21"/>
                <w:b/>
              </w:rPr>
              <w:t>注：</w:t>
            </w:r>
            <w:r>
              <w:rPr>
                <w:rFonts w:ascii="仿宋_GB2312" w:hAnsi="仿宋_GB2312" w:cs="仿宋_GB2312" w:eastAsia="仿宋_GB2312"/>
                <w:sz w:val="21"/>
              </w:rPr>
              <w:t>本项目技术要求及商务要求不允许负偏离。</w:t>
            </w:r>
          </w:p>
        </w:tc>
      </w:tr>
    </w:tbl>
    <w:p>
      <w:pPr>
        <w:pStyle w:val="null3"/>
      </w:pPr>
      <w:r>
        <w:rPr>
          <w:rFonts w:ascii="仿宋_GB2312" w:hAnsi="仿宋_GB2312" w:cs="仿宋_GB2312" w:eastAsia="仿宋_GB2312"/>
        </w:rPr>
        <w:t>标的名称：接口开发服务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4.2 第三方系统接口开发服务技术要求：</w:t>
            </w:r>
          </w:p>
          <w:p>
            <w:pPr>
              <w:pStyle w:val="null3"/>
              <w:jc w:val="both"/>
            </w:pPr>
            <w:r>
              <w:rPr>
                <w:rFonts w:ascii="仿宋_GB2312" w:hAnsi="仿宋_GB2312" w:cs="仿宋_GB2312" w:eastAsia="仿宋_GB2312"/>
                <w:sz w:val="21"/>
                <w:b/>
              </w:rPr>
              <w:t>4.2.1西安市检验结果汇聚共享平台对接技术要求</w:t>
            </w:r>
          </w:p>
          <w:p>
            <w:pPr>
              <w:pStyle w:val="null3"/>
            </w:pPr>
            <w:r>
              <w:rPr>
                <w:rFonts w:ascii="仿宋_GB2312" w:hAnsi="仿宋_GB2312" w:cs="仿宋_GB2312" w:eastAsia="仿宋_GB2312"/>
                <w:sz w:val="21"/>
                <w:b/>
              </w:rPr>
              <w:t>4.2.1.1.项目背景</w:t>
            </w:r>
          </w:p>
          <w:p>
            <w:pPr>
              <w:pStyle w:val="null3"/>
              <w:jc w:val="both"/>
            </w:pPr>
            <w:r>
              <w:rPr>
                <w:rFonts w:ascii="仿宋_GB2312" w:hAnsi="仿宋_GB2312" w:cs="仿宋_GB2312" w:eastAsia="仿宋_GB2312"/>
                <w:sz w:val="21"/>
              </w:rPr>
              <w:t>为贯彻落实西安市检验结果共享互认工作要求，采购人须通过信息化手段与西安市检验结果汇聚共享平台（以下简称“平台”）对接，实现检验结果数据的归集上传、共享互认及报告引用等功能。投标人应具备与本平台对接的技术能力，确保医院业务系统（HIS、LIS等）满足《西安检验结果汇聚共享平台接入手册V2.0》技术要求。</w:t>
            </w:r>
          </w:p>
          <w:p>
            <w:pPr>
              <w:pStyle w:val="null3"/>
              <w:jc w:val="both"/>
            </w:pPr>
            <w:r>
              <w:rPr>
                <w:rFonts w:ascii="仿宋_GB2312" w:hAnsi="仿宋_GB2312" w:cs="仿宋_GB2312" w:eastAsia="仿宋_GB2312"/>
                <w:sz w:val="21"/>
                <w:b/>
              </w:rPr>
              <w:t>4.2.1.2.总体技术要求</w:t>
            </w:r>
          </w:p>
          <w:p>
            <w:pPr>
              <w:pStyle w:val="null3"/>
              <w:jc w:val="both"/>
            </w:pPr>
            <w:r>
              <w:rPr>
                <w:rFonts w:ascii="仿宋_GB2312" w:hAnsi="仿宋_GB2312" w:cs="仿宋_GB2312" w:eastAsia="仿宋_GB2312"/>
                <w:sz w:val="21"/>
                <w:b/>
              </w:rPr>
              <w:t>4.2.1.2.1.对接架构</w:t>
            </w:r>
          </w:p>
          <w:p>
            <w:pPr>
              <w:pStyle w:val="null3"/>
              <w:jc w:val="both"/>
            </w:pPr>
            <w:r>
              <w:rPr>
                <w:rFonts w:ascii="仿宋_GB2312" w:hAnsi="仿宋_GB2312" w:cs="仿宋_GB2312" w:eastAsia="仿宋_GB2312"/>
                <w:sz w:val="21"/>
              </w:rPr>
              <w:t>采用REST API方式与平台交互，遵循HTTP协议。</w:t>
            </w:r>
          </w:p>
          <w:p>
            <w:pPr>
              <w:pStyle w:val="null3"/>
              <w:jc w:val="both"/>
            </w:pPr>
            <w:r>
              <w:rPr>
                <w:rFonts w:ascii="仿宋_GB2312" w:hAnsi="仿宋_GB2312" w:cs="仿宋_GB2312" w:eastAsia="仿宋_GB2312"/>
                <w:sz w:val="21"/>
              </w:rPr>
              <w:t>数据格式使用JSON，字符编码为UTF-8。</w:t>
            </w:r>
          </w:p>
          <w:p>
            <w:pPr>
              <w:pStyle w:val="null3"/>
              <w:jc w:val="both"/>
            </w:pPr>
            <w:r>
              <w:rPr>
                <w:rFonts w:ascii="仿宋_GB2312" w:hAnsi="仿宋_GB2312" w:cs="仿宋_GB2312" w:eastAsia="仿宋_GB2312"/>
                <w:sz w:val="21"/>
              </w:rPr>
              <w:t>请求与响应Content-Type均为：application/json;charset=UTF-8。</w:t>
            </w:r>
          </w:p>
          <w:p>
            <w:pPr>
              <w:pStyle w:val="null3"/>
              <w:jc w:val="both"/>
            </w:pPr>
            <w:r>
              <w:rPr>
                <w:rFonts w:ascii="仿宋_GB2312" w:hAnsi="仿宋_GB2312" w:cs="仿宋_GB2312" w:eastAsia="仿宋_GB2312"/>
                <w:sz w:val="21"/>
                <w:b/>
              </w:rPr>
              <w:t>4.2.1.2.2.网络与安全要求</w:t>
            </w:r>
          </w:p>
          <w:p>
            <w:pPr>
              <w:pStyle w:val="null3"/>
              <w:jc w:val="both"/>
            </w:pPr>
            <w:r>
              <w:rPr>
                <w:rFonts w:ascii="仿宋_GB2312" w:hAnsi="仿宋_GB2312" w:cs="仿宋_GB2312" w:eastAsia="仿宋_GB2312"/>
                <w:sz w:val="21"/>
              </w:rPr>
              <w:t>须通过西安市电子政务外网访问平台。</w:t>
            </w:r>
          </w:p>
          <w:p>
            <w:pPr>
              <w:pStyle w:val="null3"/>
              <w:jc w:val="both"/>
            </w:pPr>
            <w:r>
              <w:rPr>
                <w:rFonts w:ascii="仿宋_GB2312" w:hAnsi="仿宋_GB2312" w:cs="仿宋_GB2312" w:eastAsia="仿宋_GB2312"/>
                <w:sz w:val="21"/>
              </w:rPr>
              <w:t>防火墙须开通指定IP及端口。</w:t>
            </w:r>
          </w:p>
          <w:p>
            <w:pPr>
              <w:pStyle w:val="null3"/>
              <w:jc w:val="both"/>
            </w:pPr>
            <w:r>
              <w:rPr>
                <w:rFonts w:ascii="仿宋_GB2312" w:hAnsi="仿宋_GB2312" w:cs="仿宋_GB2312" w:eastAsia="仿宋_GB2312"/>
                <w:sz w:val="21"/>
              </w:rPr>
              <w:t>支持access_token授权方式，token有效期24小时，系统须具备token自动刷新或异常重试机制。</w:t>
            </w:r>
          </w:p>
          <w:p>
            <w:pPr>
              <w:pStyle w:val="null3"/>
              <w:jc w:val="both"/>
            </w:pPr>
            <w:r>
              <w:rPr>
                <w:rFonts w:ascii="仿宋_GB2312" w:hAnsi="仿宋_GB2312" w:cs="仿宋_GB2312" w:eastAsia="仿宋_GB2312"/>
                <w:sz w:val="21"/>
                <w:b/>
              </w:rPr>
              <w:t>4.2.1.3.接口对接要求</w:t>
            </w:r>
          </w:p>
          <w:p>
            <w:pPr>
              <w:pStyle w:val="null3"/>
              <w:jc w:val="both"/>
            </w:pPr>
            <w:r>
              <w:rPr>
                <w:rFonts w:ascii="仿宋_GB2312" w:hAnsi="仿宋_GB2312" w:cs="仿宋_GB2312" w:eastAsia="仿宋_GB2312"/>
                <w:sz w:val="21"/>
                <w:b/>
              </w:rPr>
              <w:t>4.2.1.3.1.公共请求头要求</w:t>
            </w:r>
          </w:p>
          <w:p>
            <w:pPr>
              <w:pStyle w:val="null3"/>
              <w:jc w:val="both"/>
            </w:pPr>
            <w:r>
              <w:rPr>
                <w:rFonts w:ascii="仿宋_GB2312" w:hAnsi="仿宋_GB2312" w:cs="仿宋_GB2312" w:eastAsia="仿宋_GB2312"/>
                <w:sz w:val="21"/>
              </w:rPr>
              <w:t>系统须在每次API调用中携带以下请求头：</w:t>
            </w:r>
          </w:p>
          <w:tbl>
            <w:tblPr>
              <w:tblInd w:type="dxa" w:w="120"/>
              <w:tblBorders>
                <w:top w:val="none" w:color="000000" w:sz="4"/>
                <w:left w:val="none" w:color="000000" w:sz="4"/>
                <w:bottom w:val="none" w:color="000000" w:sz="4"/>
                <w:right w:val="none" w:color="000000" w:sz="4"/>
                <w:insideH w:val="none"/>
                <w:insideV w:val="none"/>
              </w:tblBorders>
            </w:tblPr>
            <w:tblGrid>
              <w:gridCol w:w="1352"/>
              <w:gridCol w:w="1201"/>
            </w:tblGrid>
            <w:tr>
              <w:tc>
                <w:tcPr>
                  <w:tcW w:type="dxa" w:w="1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参数名</w:t>
                  </w:r>
                </w:p>
              </w:tc>
              <w:tc>
                <w:tcPr>
                  <w:tcW w:type="dxa" w:w="1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说明</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authoritytype</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固定为“2”（access_token认证）</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access_token</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通过授权服务获取的令牌</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testmarker</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正式环境为“0”</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heartbeat</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业务调用为“0”</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elementsVersion</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版本号，如“1.00”</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sourceorgan</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机构编码</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sourcedomain</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接入系统编码（平台下发）</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targetdomain</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固定为“NTP0000001”</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Content-Encoding</w:t>
                  </w:r>
                </w:p>
              </w:tc>
              <w:tc>
                <w:tcPr>
                  <w:tcW w:type="dxa" w:w="1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如使用压缩须为“gzip”</w:t>
                  </w:r>
                </w:p>
              </w:tc>
            </w:tr>
          </w:tbl>
          <w:p>
            <w:pPr>
              <w:pStyle w:val="null3"/>
              <w:jc w:val="both"/>
            </w:pPr>
            <w:r>
              <w:rPr>
                <w:rFonts w:ascii="仿宋_GB2312" w:hAnsi="仿宋_GB2312" w:cs="仿宋_GB2312" w:eastAsia="仿宋_GB2312"/>
                <w:sz w:val="21"/>
                <w:b/>
              </w:rPr>
              <w:t>4.2.1.3.2.授权码获取服务</w:t>
            </w:r>
          </w:p>
          <w:p>
            <w:pPr>
              <w:pStyle w:val="null3"/>
              <w:jc w:val="both"/>
            </w:pPr>
            <w:r>
              <w:rPr>
                <w:rFonts w:ascii="仿宋_GB2312" w:hAnsi="仿宋_GB2312" w:cs="仿宋_GB2312" w:eastAsia="仿宋_GB2312"/>
                <w:sz w:val="21"/>
              </w:rPr>
              <w:t>接口地址：http://10.17.83.194:8888/auth/accesstoken/create</w:t>
            </w:r>
          </w:p>
          <w:p>
            <w:pPr>
              <w:pStyle w:val="null3"/>
              <w:jc w:val="both"/>
            </w:pPr>
            <w:r>
              <w:rPr>
                <w:rFonts w:ascii="仿宋_GB2312" w:hAnsi="仿宋_GB2312" w:cs="仿宋_GB2312" w:eastAsia="仿宋_GB2312"/>
                <w:sz w:val="21"/>
              </w:rPr>
              <w:t>请求方式：GET</w:t>
            </w:r>
          </w:p>
          <w:p>
            <w:pPr>
              <w:pStyle w:val="null3"/>
              <w:jc w:val="both"/>
            </w:pPr>
            <w:r>
              <w:rPr>
                <w:rFonts w:ascii="仿宋_GB2312" w:hAnsi="仿宋_GB2312" w:cs="仿宋_GB2312" w:eastAsia="仿宋_GB2312"/>
                <w:sz w:val="21"/>
              </w:rPr>
              <w:t>参数：appId、appSecret</w:t>
            </w:r>
          </w:p>
          <w:p>
            <w:pPr>
              <w:pStyle w:val="null3"/>
              <w:jc w:val="both"/>
            </w:pPr>
            <w:r>
              <w:rPr>
                <w:rFonts w:ascii="仿宋_GB2312" w:hAnsi="仿宋_GB2312" w:cs="仿宋_GB2312" w:eastAsia="仿宋_GB2312"/>
                <w:sz w:val="21"/>
              </w:rPr>
              <w:t>系统须具备token过期处理机制（定时刷新或异常重试）。</w:t>
            </w:r>
          </w:p>
          <w:p>
            <w:pPr>
              <w:pStyle w:val="null3"/>
              <w:jc w:val="both"/>
            </w:pPr>
            <w:r>
              <w:rPr>
                <w:rFonts w:ascii="仿宋_GB2312" w:hAnsi="仿宋_GB2312" w:cs="仿宋_GB2312" w:eastAsia="仿宋_GB2312"/>
                <w:sz w:val="21"/>
                <w:b/>
              </w:rPr>
              <w:t>4.2.1.4.功能模块技术要求</w:t>
            </w:r>
          </w:p>
          <w:p>
            <w:pPr>
              <w:pStyle w:val="null3"/>
              <w:jc w:val="both"/>
            </w:pPr>
            <w:r>
              <w:rPr>
                <w:rFonts w:ascii="仿宋_GB2312" w:hAnsi="仿宋_GB2312" w:cs="仿宋_GB2312" w:eastAsia="仿宋_GB2312"/>
                <w:sz w:val="21"/>
                <w:b/>
              </w:rPr>
              <w:t>4.2.1.4.1.检验结果数据归集服务</w:t>
            </w:r>
          </w:p>
          <w:p>
            <w:pPr>
              <w:pStyle w:val="null3"/>
              <w:jc w:val="both"/>
            </w:pPr>
            <w:r>
              <w:rPr>
                <w:rFonts w:ascii="仿宋_GB2312" w:hAnsi="仿宋_GB2312" w:cs="仿宋_GB2312" w:eastAsia="仿宋_GB2312"/>
                <w:sz w:val="21"/>
              </w:rPr>
              <w:t>按照《西安市检验结果汇聚共享平台-数据归集接口规范》实现数据上传。</w:t>
            </w:r>
          </w:p>
          <w:p>
            <w:pPr>
              <w:pStyle w:val="null3"/>
              <w:jc w:val="both"/>
            </w:pPr>
            <w:r>
              <w:rPr>
                <w:rFonts w:ascii="仿宋_GB2312" w:hAnsi="仿宋_GB2312" w:cs="仿宋_GB2312" w:eastAsia="仿宋_GB2312"/>
                <w:sz w:val="21"/>
              </w:rPr>
              <w:t>遵循《西安市卫生健康信息化标准规范第三部分：数据交互标准规范（第五章节 实验室检验部分）》开发数据集。</w:t>
            </w:r>
          </w:p>
          <w:p>
            <w:pPr>
              <w:pStyle w:val="null3"/>
              <w:jc w:val="both"/>
            </w:pPr>
            <w:r>
              <w:rPr>
                <w:rFonts w:ascii="仿宋_GB2312" w:hAnsi="仿宋_GB2312" w:cs="仿宋_GB2312" w:eastAsia="仿宋_GB2312"/>
                <w:sz w:val="21"/>
              </w:rPr>
              <w:t>支持《机构互认项目单价数据表【主】》的上传。</w:t>
            </w:r>
          </w:p>
          <w:p>
            <w:pPr>
              <w:pStyle w:val="null3"/>
              <w:jc w:val="both"/>
            </w:pPr>
            <w:r>
              <w:rPr>
                <w:rFonts w:ascii="仿宋_GB2312" w:hAnsi="仿宋_GB2312" w:cs="仿宋_GB2312" w:eastAsia="仿宋_GB2312"/>
                <w:sz w:val="21"/>
              </w:rPr>
              <w:t>支持事中质控：上传后可通过平台查看数据质量报告，系统须能根据质控反馈进行数据修正。</w:t>
            </w:r>
          </w:p>
          <w:p>
            <w:pPr>
              <w:pStyle w:val="null3"/>
              <w:jc w:val="both"/>
            </w:pPr>
            <w:r>
              <w:rPr>
                <w:rFonts w:ascii="仿宋_GB2312" w:hAnsi="仿宋_GB2312" w:cs="仿宋_GB2312" w:eastAsia="仿宋_GB2312"/>
                <w:sz w:val="21"/>
              </w:rPr>
              <w:t>支持事后质控：平台定期生成质控报告，系统须支持问题数据整改。</w:t>
            </w:r>
          </w:p>
          <w:p>
            <w:pPr>
              <w:pStyle w:val="null3"/>
              <w:jc w:val="both"/>
            </w:pPr>
            <w:r>
              <w:rPr>
                <w:rFonts w:ascii="仿宋_GB2312" w:hAnsi="仿宋_GB2312" w:cs="仿宋_GB2312" w:eastAsia="仿宋_GB2312"/>
                <w:sz w:val="21"/>
                <w:b/>
              </w:rPr>
              <w:t>4.2.1.4.2.检验结果共享互认服务</w:t>
            </w:r>
          </w:p>
          <w:p>
            <w:pPr>
              <w:pStyle w:val="null3"/>
              <w:jc w:val="both"/>
            </w:pPr>
            <w:r>
              <w:rPr>
                <w:rFonts w:ascii="仿宋_GB2312" w:hAnsi="仿宋_GB2312" w:cs="仿宋_GB2312" w:eastAsia="仿宋_GB2312"/>
                <w:sz w:val="21"/>
              </w:rPr>
              <w:t>系统须实现以下服务接口对接：</w:t>
            </w:r>
          </w:p>
          <w:tbl>
            <w:tblPr>
              <w:tblInd w:type="dxa" w:w="120"/>
              <w:tblBorders>
                <w:top w:val="none" w:color="000000" w:sz="4"/>
                <w:left w:val="none" w:color="000000" w:sz="4"/>
                <w:bottom w:val="none" w:color="000000" w:sz="4"/>
                <w:right w:val="none" w:color="000000" w:sz="4"/>
                <w:insideH w:val="none"/>
                <w:insideV w:val="none"/>
              </w:tblBorders>
            </w:tblPr>
            <w:tblGrid>
              <w:gridCol w:w="293"/>
              <w:gridCol w:w="1965"/>
              <w:gridCol w:w="294"/>
            </w:tblGrid>
            <w:tr>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服务名称</w:t>
                  </w:r>
                </w:p>
              </w:tc>
              <w:tc>
                <w:tcPr>
                  <w:tcW w:type="dxa" w:w="1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接口地址</w:t>
                  </w:r>
                </w:p>
              </w:tc>
              <w:tc>
                <w:tcPr>
                  <w:tcW w:type="dxa" w:w="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功能说明</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HR02-开单互认提醒</w:t>
                  </w:r>
                </w:p>
              </w:tc>
              <w:tc>
                <w:tcPr>
                  <w:tcW w:type="dxa" w:w="1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/pmemr/productMutualRecognition/checkApply</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开单时查询患者是否存在可互认报告</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HR03-互认提醒处理结果查询（可选）</w:t>
                  </w:r>
                </w:p>
              </w:tc>
              <w:tc>
                <w:tcPr>
                  <w:tcW w:type="dxa" w:w="1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/pmemr/productMutualRecognition/getCheckInfo</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查询互认处理结果，用于开单阻断</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HR04-互认报告导入申请</w:t>
                  </w:r>
                </w:p>
              </w:tc>
              <w:tc>
                <w:tcPr>
                  <w:tcW w:type="dxa" w:w="1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/pmemr/productMutualRecognition/importApply</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获取互认报告URL，用于病历引用</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HR05-导入内容查询（可选）</w:t>
                  </w:r>
                </w:p>
              </w:tc>
              <w:tc>
                <w:tcPr>
                  <w:tcW w:type="dxa" w:w="1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/pmemr/productMutualRecognition/getImportInfo</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获取导入的互认项目内容</w:t>
                  </w:r>
                </w:p>
              </w:tc>
            </w:tr>
          </w:tbl>
          <w:p>
            <w:pPr>
              <w:pStyle w:val="null3"/>
              <w:jc w:val="both"/>
            </w:pPr>
            <w:r>
              <w:rPr>
                <w:rFonts w:ascii="仿宋_GB2312" w:hAnsi="仿宋_GB2312" w:cs="仿宋_GB2312" w:eastAsia="仿宋_GB2312"/>
                <w:sz w:val="21"/>
                <w:b/>
              </w:rPr>
              <w:t>4.2.1.4.2.1.开单互认提醒场景</w:t>
            </w:r>
          </w:p>
          <w:p>
            <w:pPr>
              <w:pStyle w:val="null3"/>
              <w:jc w:val="both"/>
            </w:pPr>
            <w:r>
              <w:rPr>
                <w:rFonts w:ascii="仿宋_GB2312" w:hAnsi="仿宋_GB2312" w:cs="仿宋_GB2312" w:eastAsia="仿宋_GB2312"/>
                <w:sz w:val="21"/>
              </w:rPr>
              <w:t>HIS系统在开立检验项目时调用HR02，若返回可互认标识为true，系统须能打开返回的URL页面，供医生查看互认报告。</w:t>
            </w:r>
          </w:p>
          <w:p>
            <w:pPr>
              <w:pStyle w:val="null3"/>
              <w:jc w:val="both"/>
            </w:pPr>
            <w:r>
              <w:rPr>
                <w:rFonts w:ascii="仿宋_GB2312" w:hAnsi="仿宋_GB2312" w:cs="仿宋_GB2312" w:eastAsia="仿宋_GB2312"/>
                <w:sz w:val="21"/>
              </w:rPr>
              <w:t>医生完成互认操作后，系统可选调用HR03实现开单阻断提醒。</w:t>
            </w:r>
          </w:p>
          <w:p>
            <w:pPr>
              <w:pStyle w:val="null3"/>
              <w:jc w:val="both"/>
            </w:pPr>
            <w:r>
              <w:rPr>
                <w:rFonts w:ascii="仿宋_GB2312" w:hAnsi="仿宋_GB2312" w:cs="仿宋_GB2312" w:eastAsia="仿宋_GB2312"/>
                <w:sz w:val="21"/>
                <w:b/>
              </w:rPr>
              <w:t>4.2.1.4.2.2.互认报告引用场景</w:t>
            </w:r>
          </w:p>
          <w:p>
            <w:pPr>
              <w:pStyle w:val="null3"/>
              <w:jc w:val="both"/>
            </w:pPr>
            <w:r>
              <w:rPr>
                <w:rFonts w:ascii="仿宋_GB2312" w:hAnsi="仿宋_GB2312" w:cs="仿宋_GB2312" w:eastAsia="仿宋_GB2312"/>
                <w:sz w:val="21"/>
              </w:rPr>
              <w:t>医生撰写病历时，系统调用HR04获取互认报告URL并打开。</w:t>
            </w:r>
          </w:p>
          <w:p>
            <w:pPr>
              <w:pStyle w:val="null3"/>
              <w:jc w:val="both"/>
            </w:pPr>
            <w:r>
              <w:rPr>
                <w:rFonts w:ascii="仿宋_GB2312" w:hAnsi="仿宋_GB2312" w:cs="仿宋_GB2312" w:eastAsia="仿宋_GB2312"/>
                <w:sz w:val="21"/>
              </w:rPr>
              <w:t>支持两种引用模式：</w:t>
            </w:r>
          </w:p>
          <w:p>
            <w:pPr>
              <w:pStyle w:val="null3"/>
              <w:jc w:val="both"/>
            </w:pPr>
            <w:r>
              <w:rPr>
                <w:rFonts w:ascii="仿宋_GB2312" w:hAnsi="仿宋_GB2312" w:cs="仿宋_GB2312" w:eastAsia="仿宋_GB2312"/>
                <w:sz w:val="21"/>
              </w:rPr>
              <w:t>模式一：医生手动复制粘贴结果。</w:t>
            </w:r>
          </w:p>
          <w:p>
            <w:pPr>
              <w:pStyle w:val="null3"/>
              <w:jc w:val="both"/>
            </w:pPr>
            <w:r>
              <w:rPr>
                <w:rFonts w:ascii="仿宋_GB2312" w:hAnsi="仿宋_GB2312" w:cs="仿宋_GB2312" w:eastAsia="仿宋_GB2312"/>
                <w:sz w:val="21"/>
              </w:rPr>
              <w:t>模式二：系统调用HR05获取导入内容并自动插入病历。</w:t>
            </w:r>
          </w:p>
          <w:p>
            <w:pPr>
              <w:pStyle w:val="null3"/>
              <w:jc w:val="both"/>
            </w:pPr>
            <w:r>
              <w:rPr>
                <w:rFonts w:ascii="仿宋_GB2312" w:hAnsi="仿宋_GB2312" w:cs="仿宋_GB2312" w:eastAsia="仿宋_GB2312"/>
                <w:sz w:val="21"/>
                <w:b/>
              </w:rPr>
              <w:t>4.2.1.4.2.3.页面集成要求</w:t>
            </w:r>
          </w:p>
          <w:p>
            <w:pPr>
              <w:pStyle w:val="null3"/>
              <w:jc w:val="both"/>
            </w:pPr>
            <w:r>
              <w:rPr>
                <w:rFonts w:ascii="仿宋_GB2312" w:hAnsi="仿宋_GB2312" w:cs="仿宋_GB2312" w:eastAsia="仿宋_GB2312"/>
                <w:sz w:val="21"/>
              </w:rPr>
              <w:t>支持弹窗嵌入互认页面，监听URL变化（如about:blank或blank.html）自动关闭弹窗。</w:t>
            </w:r>
          </w:p>
          <w:p>
            <w:pPr>
              <w:pStyle w:val="null3"/>
              <w:jc w:val="both"/>
            </w:pPr>
            <w:r>
              <w:rPr>
                <w:rFonts w:ascii="仿宋_GB2312" w:hAnsi="仿宋_GB2312" w:cs="仿宋_GB2312" w:eastAsia="仿宋_GB2312"/>
                <w:sz w:val="21"/>
              </w:rPr>
              <w:t>支持新窗口打开互认页面，由互认系统自动关闭。</w:t>
            </w:r>
          </w:p>
          <w:p>
            <w:pPr>
              <w:pStyle w:val="null3"/>
              <w:jc w:val="both"/>
            </w:pPr>
            <w:r>
              <w:rPr>
                <w:rFonts w:ascii="仿宋_GB2312" w:hAnsi="仿宋_GB2312" w:cs="仿宋_GB2312" w:eastAsia="仿宋_GB2312"/>
                <w:sz w:val="21"/>
              </w:rPr>
              <w:t>须实现超时熔断机制，避免接口阻塞影响HIS正常业务。</w:t>
            </w:r>
          </w:p>
          <w:p>
            <w:pPr>
              <w:pStyle w:val="null3"/>
              <w:jc w:val="both"/>
            </w:pPr>
            <w:r>
              <w:rPr>
                <w:rFonts w:ascii="仿宋_GB2312" w:hAnsi="仿宋_GB2312" w:cs="仿宋_GB2312" w:eastAsia="仿宋_GB2312"/>
                <w:sz w:val="21"/>
                <w:b/>
              </w:rPr>
              <w:t>4.2.1.5.平台前期准备支持</w:t>
            </w:r>
          </w:p>
          <w:p>
            <w:pPr>
              <w:pStyle w:val="null3"/>
              <w:jc w:val="both"/>
            </w:pPr>
            <w:r>
              <w:rPr>
                <w:rFonts w:ascii="仿宋_GB2312" w:hAnsi="仿宋_GB2312" w:cs="仿宋_GB2312" w:eastAsia="仿宋_GB2312"/>
                <w:sz w:val="21"/>
              </w:rPr>
              <w:t>系统须支持通过平台下发账号完成首次登录、密码修改。</w:t>
            </w:r>
          </w:p>
          <w:p>
            <w:pPr>
              <w:pStyle w:val="null3"/>
              <w:jc w:val="both"/>
            </w:pPr>
            <w:r>
              <w:rPr>
                <w:rFonts w:ascii="仿宋_GB2312" w:hAnsi="仿宋_GB2312" w:cs="仿宋_GB2312" w:eastAsia="仿宋_GB2312"/>
                <w:sz w:val="21"/>
              </w:rPr>
              <w:t>支持在信息资源发布共享平台中完成：</w:t>
            </w:r>
          </w:p>
          <w:p>
            <w:pPr>
              <w:pStyle w:val="null3"/>
              <w:jc w:val="both"/>
            </w:pPr>
            <w:r>
              <w:rPr>
                <w:rFonts w:ascii="仿宋_GB2312" w:hAnsi="仿宋_GB2312" w:cs="仿宋_GB2312" w:eastAsia="仿宋_GB2312"/>
                <w:sz w:val="21"/>
              </w:rPr>
              <w:t>开发者账号申请</w:t>
            </w:r>
          </w:p>
          <w:p>
            <w:pPr>
              <w:pStyle w:val="null3"/>
              <w:jc w:val="both"/>
            </w:pPr>
            <w:r>
              <w:rPr>
                <w:rFonts w:ascii="仿宋_GB2312" w:hAnsi="仿宋_GB2312" w:cs="仿宋_GB2312" w:eastAsia="仿宋_GB2312"/>
                <w:sz w:val="21"/>
              </w:rPr>
              <w:t>appid和密钥获取</w:t>
            </w:r>
          </w:p>
          <w:p>
            <w:pPr>
              <w:pStyle w:val="null3"/>
              <w:jc w:val="both"/>
            </w:pPr>
            <w:r>
              <w:rPr>
                <w:rFonts w:ascii="仿宋_GB2312" w:hAnsi="仿宋_GB2312" w:cs="仿宋_GB2312" w:eastAsia="仿宋_GB2312"/>
                <w:sz w:val="21"/>
              </w:rPr>
              <w:t>服务订阅（数据归集、HR02、HR03、HR04、HR05）</w:t>
            </w:r>
          </w:p>
          <w:p>
            <w:pPr>
              <w:pStyle w:val="null3"/>
              <w:jc w:val="both"/>
            </w:pPr>
            <w:r>
              <w:rPr>
                <w:rFonts w:ascii="仿宋_GB2312" w:hAnsi="仿宋_GB2312" w:cs="仿宋_GB2312" w:eastAsia="仿宋_GB2312"/>
                <w:sz w:val="21"/>
              </w:rPr>
              <w:t>支持查看服务的调阅地址、参数、响应信息。</w:t>
            </w:r>
          </w:p>
          <w:p>
            <w:pPr>
              <w:pStyle w:val="null3"/>
              <w:jc w:val="both"/>
            </w:pPr>
            <w:r>
              <w:rPr>
                <w:rFonts w:ascii="仿宋_GB2312" w:hAnsi="仿宋_GB2312" w:cs="仿宋_GB2312" w:eastAsia="仿宋_GB2312"/>
                <w:sz w:val="21"/>
                <w:b/>
              </w:rPr>
              <w:t>4.2.1.6.性能与可靠性要求</w:t>
            </w:r>
          </w:p>
          <w:p>
            <w:pPr>
              <w:pStyle w:val="null3"/>
              <w:jc w:val="both"/>
            </w:pPr>
            <w:r>
              <w:rPr>
                <w:rFonts w:ascii="仿宋_GB2312" w:hAnsi="仿宋_GB2312" w:cs="仿宋_GB2312" w:eastAsia="仿宋_GB2312"/>
                <w:sz w:val="21"/>
              </w:rPr>
              <w:t>接口调用须具备重试机制、熔断机制、超时控制。</w:t>
            </w:r>
          </w:p>
          <w:p>
            <w:pPr>
              <w:pStyle w:val="null3"/>
              <w:jc w:val="both"/>
            </w:pPr>
            <w:r>
              <w:rPr>
                <w:rFonts w:ascii="仿宋_GB2312" w:hAnsi="仿宋_GB2312" w:cs="仿宋_GB2312" w:eastAsia="仿宋_GB2312"/>
                <w:sz w:val="21"/>
              </w:rPr>
              <w:t>支持大数据量上传时的压缩传输（如gzip）。</w:t>
            </w:r>
          </w:p>
          <w:p>
            <w:pPr>
              <w:pStyle w:val="null3"/>
              <w:jc w:val="both"/>
            </w:pPr>
            <w:r>
              <w:rPr>
                <w:rFonts w:ascii="仿宋_GB2312" w:hAnsi="仿宋_GB2312" w:cs="仿宋_GB2312" w:eastAsia="仿宋_GB2312"/>
                <w:sz w:val="21"/>
              </w:rPr>
              <w:t>系统应具备日志记录能力，便于排查接口调用问题。</w:t>
            </w:r>
          </w:p>
          <w:p>
            <w:pPr>
              <w:pStyle w:val="null3"/>
              <w:jc w:val="both"/>
            </w:pPr>
            <w:r>
              <w:rPr>
                <w:rFonts w:ascii="仿宋_GB2312" w:hAnsi="仿宋_GB2312" w:cs="仿宋_GB2312" w:eastAsia="仿宋_GB2312"/>
                <w:sz w:val="21"/>
                <w:b/>
              </w:rPr>
              <w:t>4.2.1.7.文档与培训要求</w:t>
            </w:r>
          </w:p>
          <w:p>
            <w:pPr>
              <w:pStyle w:val="null3"/>
              <w:jc w:val="both"/>
            </w:pPr>
            <w:r>
              <w:rPr>
                <w:rFonts w:ascii="仿宋_GB2312" w:hAnsi="仿宋_GB2312" w:cs="仿宋_GB2312" w:eastAsia="仿宋_GB2312"/>
                <w:sz w:val="21"/>
              </w:rPr>
              <w:t>投标人须提供详细的《接口对接方案》和《系统部署与配置手册》。</w:t>
            </w:r>
          </w:p>
          <w:p>
            <w:pPr>
              <w:pStyle w:val="null3"/>
              <w:jc w:val="both"/>
            </w:pPr>
            <w:r>
              <w:rPr>
                <w:rFonts w:ascii="仿宋_GB2312" w:hAnsi="仿宋_GB2312" w:cs="仿宋_GB2312" w:eastAsia="仿宋_GB2312"/>
                <w:sz w:val="21"/>
              </w:rPr>
              <w:t>提供对医院信息科及业务科室的操作培训与技术交接培训。</w:t>
            </w:r>
          </w:p>
          <w:p>
            <w:pPr>
              <w:pStyle w:val="null3"/>
              <w:jc w:val="both"/>
            </w:pPr>
            <w:r>
              <w:rPr>
                <w:rFonts w:ascii="仿宋_GB2312" w:hAnsi="仿宋_GB2312" w:cs="仿宋_GB2312" w:eastAsia="仿宋_GB2312"/>
                <w:sz w:val="21"/>
                <w:b/>
              </w:rPr>
              <w:t>4.2.1.8.验收标准及实施交付期限</w:t>
            </w:r>
          </w:p>
          <w:p>
            <w:pPr>
              <w:pStyle w:val="null3"/>
              <w:jc w:val="both"/>
            </w:pPr>
            <w:r>
              <w:rPr>
                <w:rFonts w:ascii="仿宋_GB2312" w:hAnsi="仿宋_GB2312" w:cs="仿宋_GB2312" w:eastAsia="仿宋_GB2312"/>
                <w:sz w:val="21"/>
              </w:rPr>
              <w:t>成功完成与西安市检验结果汇聚共享平台的数据归集服务对接，并能通过事中/事后质控。</w:t>
            </w:r>
          </w:p>
          <w:p>
            <w:pPr>
              <w:pStyle w:val="null3"/>
              <w:jc w:val="both"/>
            </w:pPr>
            <w:r>
              <w:rPr>
                <w:rFonts w:ascii="仿宋_GB2312" w:hAnsi="仿宋_GB2312" w:cs="仿宋_GB2312" w:eastAsia="仿宋_GB2312"/>
                <w:sz w:val="21"/>
              </w:rPr>
              <w:t>成功完成HR02、HR04等共享互认服务对接，医生端可正常使用互认提醒与报告引用功能。</w:t>
            </w:r>
          </w:p>
          <w:p>
            <w:pPr>
              <w:pStyle w:val="null3"/>
              <w:jc w:val="both"/>
            </w:pPr>
            <w:r>
              <w:rPr>
                <w:rFonts w:ascii="仿宋_GB2312" w:hAnsi="仿宋_GB2312" w:cs="仿宋_GB2312" w:eastAsia="仿宋_GB2312"/>
                <w:sz w:val="21"/>
              </w:rPr>
              <w:t>系统运行稳定，无因对接导致的业务中断或性能下降。</w:t>
            </w:r>
          </w:p>
          <w:p>
            <w:pPr>
              <w:pStyle w:val="null3"/>
              <w:jc w:val="both"/>
            </w:pPr>
            <w:r>
              <w:rPr>
                <w:rFonts w:ascii="仿宋_GB2312" w:hAnsi="仿宋_GB2312" w:cs="仿宋_GB2312" w:eastAsia="仿宋_GB2312"/>
                <w:sz w:val="21"/>
              </w:rPr>
              <w:t>项目实施交付期限：自合同签定之日起15个工作日内。</w:t>
            </w:r>
          </w:p>
          <w:p>
            <w:pPr>
              <w:pStyle w:val="null3"/>
            </w:pPr>
            <w:r>
              <w:rPr>
                <w:rFonts w:ascii="仿宋_GB2312" w:hAnsi="仿宋_GB2312" w:cs="仿宋_GB2312" w:eastAsia="仿宋_GB2312"/>
                <w:sz w:val="21"/>
                <w:b/>
              </w:rPr>
              <w:t>4.2.2.医师权限管理模块升级及其接口改造技术要求</w:t>
            </w:r>
          </w:p>
          <w:p>
            <w:pPr>
              <w:pStyle w:val="null3"/>
            </w:pPr>
            <w:r>
              <w:rPr>
                <w:rFonts w:ascii="仿宋_GB2312" w:hAnsi="仿宋_GB2312" w:cs="仿宋_GB2312" w:eastAsia="仿宋_GB2312"/>
                <w:sz w:val="21"/>
                <w:b/>
              </w:rPr>
              <w:t>4.2.2.1.项目建设目标</w:t>
            </w:r>
          </w:p>
          <w:p>
            <w:pPr>
              <w:pStyle w:val="null3"/>
              <w:jc w:val="both"/>
            </w:pPr>
            <w:r>
              <w:rPr>
                <w:rFonts w:ascii="仿宋_GB2312" w:hAnsi="仿宋_GB2312" w:cs="仿宋_GB2312" w:eastAsia="仿宋_GB2312"/>
                <w:sz w:val="21"/>
              </w:rPr>
              <w:t>为响应国家相关政策法规要求，提升医师开立处方及诊疗活动的合规性，构建一套可配置、可视化、可授权的医师开立权管理系统，实现对诊疗项目、药品、卫材等开立权限的精细化控制，满足医院内部管理及外部监管的双重需求。</w:t>
            </w:r>
          </w:p>
          <w:p>
            <w:pPr>
              <w:pStyle w:val="null3"/>
              <w:jc w:val="both"/>
            </w:pPr>
            <w:r>
              <w:rPr>
                <w:rFonts w:ascii="仿宋_GB2312" w:hAnsi="仿宋_GB2312" w:cs="仿宋_GB2312" w:eastAsia="仿宋_GB2312"/>
                <w:sz w:val="21"/>
                <w:b/>
              </w:rPr>
              <w:t>4.2.2.2.总体技术要求</w:t>
            </w:r>
          </w:p>
          <w:p>
            <w:pPr>
              <w:pStyle w:val="null3"/>
              <w:jc w:val="both"/>
            </w:pPr>
            <w:r>
              <w:rPr>
                <w:rFonts w:ascii="仿宋_GB2312" w:hAnsi="仿宋_GB2312" w:cs="仿宋_GB2312" w:eastAsia="仿宋_GB2312"/>
                <w:sz w:val="21"/>
                <w:b/>
              </w:rPr>
              <w:t>4.2.2.2.1.一体化集成能力</w:t>
            </w:r>
          </w:p>
          <w:p>
            <w:pPr>
              <w:pStyle w:val="null3"/>
              <w:jc w:val="both"/>
            </w:pPr>
            <w:r>
              <w:rPr>
                <w:rFonts w:ascii="仿宋_GB2312" w:hAnsi="仿宋_GB2312" w:cs="仿宋_GB2312" w:eastAsia="仿宋_GB2312"/>
                <w:sz w:val="21"/>
              </w:rPr>
              <w:t>系统需支持与医院现有HIS系统一体化应用，同时支持独立部署与升级。需与HIS系统共用账户及密码体系，实现统一身份认证。</w:t>
            </w:r>
          </w:p>
          <w:p>
            <w:pPr>
              <w:pStyle w:val="null3"/>
              <w:jc w:val="both"/>
            </w:pPr>
            <w:r>
              <w:rPr>
                <w:rFonts w:ascii="仿宋_GB2312" w:hAnsi="仿宋_GB2312" w:cs="仿宋_GB2312" w:eastAsia="仿宋_GB2312"/>
                <w:sz w:val="21"/>
                <w:b/>
              </w:rPr>
              <w:t>4.2.2.2.2.平台支持能力</w:t>
            </w:r>
          </w:p>
          <w:p>
            <w:pPr>
              <w:pStyle w:val="null3"/>
              <w:jc w:val="both"/>
            </w:pPr>
            <w:r>
              <w:rPr>
                <w:rFonts w:ascii="仿宋_GB2312" w:hAnsi="仿宋_GB2312" w:cs="仿宋_GB2312" w:eastAsia="仿宋_GB2312"/>
                <w:sz w:val="21"/>
              </w:rPr>
              <w:t>支持国产芯片服务器（如：海光、麒麟、兆芯等），国产操作系统（如：麒麟、统信）。</w:t>
            </w:r>
          </w:p>
          <w:p>
            <w:pPr>
              <w:pStyle w:val="null3"/>
              <w:jc w:val="both"/>
            </w:pPr>
            <w:r>
              <w:rPr>
                <w:rFonts w:ascii="仿宋_GB2312" w:hAnsi="仿宋_GB2312" w:cs="仿宋_GB2312" w:eastAsia="仿宋_GB2312"/>
                <w:sz w:val="21"/>
                <w:b/>
              </w:rPr>
              <w:t>4.2.2.3.功能要求</w:t>
            </w:r>
          </w:p>
          <w:p>
            <w:pPr>
              <w:pStyle w:val="null3"/>
              <w:jc w:val="both"/>
            </w:pPr>
            <w:r>
              <w:rPr>
                <w:rFonts w:ascii="仿宋_GB2312" w:hAnsi="仿宋_GB2312" w:cs="仿宋_GB2312" w:eastAsia="仿宋_GB2312"/>
                <w:sz w:val="21"/>
                <w:b/>
              </w:rPr>
              <w:t>4.2.2.3.1.诊疗附加属性管理</w:t>
            </w:r>
          </w:p>
          <w:p>
            <w:pPr>
              <w:pStyle w:val="null3"/>
              <w:jc w:val="both"/>
            </w:pPr>
            <w:r>
              <w:rPr>
                <w:rFonts w:ascii="仿宋_GB2312" w:hAnsi="仿宋_GB2312" w:cs="仿宋_GB2312" w:eastAsia="仿宋_GB2312"/>
                <w:sz w:val="21"/>
              </w:rPr>
              <w:t>支持对诊疗项目附加属性及属性值域进行增、删、改操作。</w:t>
            </w:r>
          </w:p>
          <w:p>
            <w:pPr>
              <w:pStyle w:val="null3"/>
              <w:jc w:val="both"/>
            </w:pPr>
            <w:r>
              <w:rPr>
                <w:rFonts w:ascii="仿宋_GB2312" w:hAnsi="仿宋_GB2312" w:cs="仿宋_GB2312" w:eastAsia="仿宋_GB2312"/>
                <w:sz w:val="21"/>
              </w:rPr>
              <w:t>可将属性及值域设置到具体诊疗项目中，作为开立控制规则的判断条件。</w:t>
            </w:r>
          </w:p>
          <w:p>
            <w:pPr>
              <w:pStyle w:val="null3"/>
              <w:jc w:val="both"/>
            </w:pPr>
            <w:r>
              <w:rPr>
                <w:rFonts w:ascii="仿宋_GB2312" w:hAnsi="仿宋_GB2312" w:cs="仿宋_GB2312" w:eastAsia="仿宋_GB2312"/>
                <w:sz w:val="21"/>
                <w:b/>
              </w:rPr>
              <w:t>4.2.2.3.2.开立控制规则配置</w:t>
            </w:r>
          </w:p>
          <w:p>
            <w:pPr>
              <w:pStyle w:val="null3"/>
              <w:jc w:val="both"/>
            </w:pPr>
            <w:r>
              <w:rPr>
                <w:rFonts w:ascii="仿宋_GB2312" w:hAnsi="仿宋_GB2312" w:cs="仿宋_GB2312" w:eastAsia="仿宋_GB2312"/>
                <w:sz w:val="21"/>
              </w:rPr>
              <w:t>支持开立方案、开立内容、开立规则的新增、修改、删除、停用。</w:t>
            </w:r>
          </w:p>
          <w:p>
            <w:pPr>
              <w:pStyle w:val="null3"/>
              <w:jc w:val="both"/>
            </w:pPr>
            <w:r>
              <w:rPr>
                <w:rFonts w:ascii="仿宋_GB2312" w:hAnsi="仿宋_GB2312" w:cs="仿宋_GB2312" w:eastAsia="仿宋_GB2312"/>
                <w:sz w:val="21"/>
              </w:rPr>
              <w:t>支持诊疗申请单格式及内容配置。</w:t>
            </w:r>
          </w:p>
          <w:p>
            <w:pPr>
              <w:pStyle w:val="null3"/>
              <w:jc w:val="both"/>
            </w:pPr>
            <w:r>
              <w:rPr>
                <w:rFonts w:ascii="仿宋_GB2312" w:hAnsi="仿宋_GB2312" w:cs="仿宋_GB2312" w:eastAsia="仿宋_GB2312"/>
                <w:sz w:val="21"/>
              </w:rPr>
              <w:t>支持按病人身份属性设置适用人群。</w:t>
            </w:r>
          </w:p>
          <w:p>
            <w:pPr>
              <w:pStyle w:val="null3"/>
              <w:jc w:val="both"/>
            </w:pPr>
            <w:r>
              <w:rPr>
                <w:rFonts w:ascii="仿宋_GB2312" w:hAnsi="仿宋_GB2312" w:cs="仿宋_GB2312" w:eastAsia="仿宋_GB2312"/>
                <w:sz w:val="21"/>
              </w:rPr>
              <w:t>支持检验项目重复开立的规则控制。</w:t>
            </w:r>
          </w:p>
          <w:p>
            <w:pPr>
              <w:pStyle w:val="null3"/>
              <w:jc w:val="both"/>
            </w:pPr>
            <w:r>
              <w:rPr>
                <w:rFonts w:ascii="仿宋_GB2312" w:hAnsi="仿宋_GB2312" w:cs="仿宋_GB2312" w:eastAsia="仿宋_GB2312"/>
                <w:sz w:val="21"/>
                <w:b/>
              </w:rPr>
              <w:t>4.2.2.3.3.控制方式</w:t>
            </w:r>
          </w:p>
          <w:p>
            <w:pPr>
              <w:pStyle w:val="null3"/>
              <w:jc w:val="both"/>
            </w:pPr>
            <w:r>
              <w:rPr>
                <w:rFonts w:ascii="仿宋_GB2312" w:hAnsi="仿宋_GB2312" w:cs="仿宋_GB2312" w:eastAsia="仿宋_GB2312"/>
                <w:sz w:val="21"/>
              </w:rPr>
              <w:t>系统至少支持以下控制模式：</w:t>
            </w:r>
          </w:p>
          <w:tbl>
            <w:tblPr>
              <w:tblInd w:type="dxa" w:w="120"/>
              <w:tblBorders>
                <w:top w:val="none" w:color="000000" w:sz="4"/>
                <w:left w:val="none" w:color="000000" w:sz="4"/>
                <w:bottom w:val="none" w:color="000000" w:sz="4"/>
                <w:right w:val="none" w:color="000000" w:sz="4"/>
                <w:insideH w:val="none"/>
                <w:insideV w:val="none"/>
              </w:tblBorders>
            </w:tblPr>
            <w:tblGrid>
              <w:gridCol w:w="1276"/>
              <w:gridCol w:w="1276"/>
            </w:tblGrid>
            <w:tr>
              <w:tc>
                <w:tcPr>
                  <w:tcW w:type="dxa" w:w="1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控制方式</w:t>
                  </w:r>
                </w:p>
              </w:tc>
              <w:tc>
                <w:tcPr>
                  <w:tcW w:type="dxa" w:w="1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说明</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白名单</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授权医生可开立特定属性项目</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黑名单</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禁止医生开立特定属性项目</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一级/二级审核</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开立后需上级审核</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开立警示</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开立时系统提示但不禁止</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诊疗申请</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开立时需填写指定申请内容</w:t>
                  </w:r>
                </w:p>
              </w:tc>
            </w:tr>
            <w:tr>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用法用量控制</w:t>
                  </w: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如抗菌药物紧急使用时限制24小时用量</w:t>
                  </w:r>
                </w:p>
              </w:tc>
            </w:tr>
          </w:tbl>
          <w:p>
            <w:pPr>
              <w:pStyle w:val="null3"/>
              <w:jc w:val="both"/>
            </w:pPr>
            <w:r>
              <w:rPr>
                <w:rFonts w:ascii="仿宋_GB2312" w:hAnsi="仿宋_GB2312" w:cs="仿宋_GB2312" w:eastAsia="仿宋_GB2312"/>
                <w:sz w:val="21"/>
                <w:b/>
              </w:rPr>
              <w:t>4.2.2.3.4.医生开立授权</w:t>
            </w:r>
          </w:p>
          <w:p>
            <w:pPr>
              <w:pStyle w:val="null3"/>
              <w:jc w:val="both"/>
            </w:pPr>
            <w:r>
              <w:rPr>
                <w:rFonts w:ascii="仿宋_GB2312" w:hAnsi="仿宋_GB2312" w:cs="仿宋_GB2312" w:eastAsia="仿宋_GB2312"/>
                <w:sz w:val="21"/>
              </w:rPr>
              <w:t>支持按科室、专业技术职务、管理职务进行授权。</w:t>
            </w:r>
          </w:p>
          <w:p>
            <w:pPr>
              <w:pStyle w:val="null3"/>
              <w:jc w:val="both"/>
            </w:pPr>
            <w:r>
              <w:rPr>
                <w:rFonts w:ascii="仿宋_GB2312" w:hAnsi="仿宋_GB2312" w:cs="仿宋_GB2312" w:eastAsia="仿宋_GB2312"/>
                <w:sz w:val="21"/>
              </w:rPr>
              <w:t>支持单人、多人、批量授权模式。</w:t>
            </w:r>
          </w:p>
          <w:p>
            <w:pPr>
              <w:pStyle w:val="null3"/>
              <w:jc w:val="both"/>
            </w:pPr>
            <w:r>
              <w:rPr>
                <w:rFonts w:ascii="仿宋_GB2312" w:hAnsi="仿宋_GB2312" w:cs="仿宋_GB2312" w:eastAsia="仿宋_GB2312"/>
                <w:sz w:val="21"/>
              </w:rPr>
              <w:t>支持重新授权与授权变更。</w:t>
            </w:r>
          </w:p>
          <w:p>
            <w:pPr>
              <w:pStyle w:val="null3"/>
              <w:jc w:val="both"/>
            </w:pPr>
            <w:r>
              <w:rPr>
                <w:rFonts w:ascii="仿宋_GB2312" w:hAnsi="仿宋_GB2312" w:cs="仿宋_GB2312" w:eastAsia="仿宋_GB2312"/>
                <w:sz w:val="21"/>
                <w:b/>
              </w:rPr>
              <w:t>4.2.2.3.5.医生审核授权</w:t>
            </w:r>
          </w:p>
          <w:p>
            <w:pPr>
              <w:pStyle w:val="null3"/>
              <w:jc w:val="both"/>
            </w:pPr>
            <w:r>
              <w:rPr>
                <w:rFonts w:ascii="仿宋_GB2312" w:hAnsi="仿宋_GB2312" w:cs="仿宋_GB2312" w:eastAsia="仿宋_GB2312"/>
                <w:sz w:val="21"/>
              </w:rPr>
              <w:t>支持按科室、职务、管理职务查询。</w:t>
            </w:r>
          </w:p>
          <w:p>
            <w:pPr>
              <w:pStyle w:val="null3"/>
              <w:jc w:val="both"/>
            </w:pPr>
            <w:r>
              <w:rPr>
                <w:rFonts w:ascii="仿宋_GB2312" w:hAnsi="仿宋_GB2312" w:cs="仿宋_GB2312" w:eastAsia="仿宋_GB2312"/>
                <w:sz w:val="21"/>
              </w:rPr>
              <w:t>支持对审核规则的适用科室进行设置。</w:t>
            </w:r>
          </w:p>
          <w:p>
            <w:pPr>
              <w:pStyle w:val="null3"/>
              <w:jc w:val="both"/>
            </w:pPr>
            <w:r>
              <w:rPr>
                <w:rFonts w:ascii="仿宋_GB2312" w:hAnsi="仿宋_GB2312" w:cs="仿宋_GB2312" w:eastAsia="仿宋_GB2312"/>
                <w:sz w:val="21"/>
              </w:rPr>
              <w:t>支持对审核人员的授权管理。</w:t>
            </w:r>
          </w:p>
          <w:p>
            <w:pPr>
              <w:pStyle w:val="null3"/>
              <w:jc w:val="both"/>
            </w:pPr>
            <w:r>
              <w:rPr>
                <w:rFonts w:ascii="仿宋_GB2312" w:hAnsi="仿宋_GB2312" w:cs="仿宋_GB2312" w:eastAsia="仿宋_GB2312"/>
                <w:sz w:val="21"/>
                <w:b/>
              </w:rPr>
              <w:t>4.2.2.3.6.申请审核功能</w:t>
            </w:r>
          </w:p>
          <w:p>
            <w:pPr>
              <w:pStyle w:val="null3"/>
              <w:jc w:val="both"/>
            </w:pPr>
            <w:r>
              <w:rPr>
                <w:rFonts w:ascii="仿宋_GB2312" w:hAnsi="仿宋_GB2312" w:cs="仿宋_GB2312" w:eastAsia="仿宋_GB2312"/>
                <w:sz w:val="21"/>
              </w:rPr>
              <w:t>支持对需审核的开立申请进行审核、取消审核。</w:t>
            </w:r>
          </w:p>
          <w:p>
            <w:pPr>
              <w:pStyle w:val="null3"/>
              <w:jc w:val="both"/>
            </w:pPr>
            <w:r>
              <w:rPr>
                <w:rFonts w:ascii="仿宋_GB2312" w:hAnsi="仿宋_GB2312" w:cs="仿宋_GB2312" w:eastAsia="仿宋_GB2312"/>
                <w:sz w:val="21"/>
              </w:rPr>
              <w:t>支持特殊级抗菌药物使用前的会诊申请与审核流程。</w:t>
            </w:r>
          </w:p>
          <w:p>
            <w:pPr>
              <w:pStyle w:val="null3"/>
              <w:jc w:val="both"/>
            </w:pPr>
            <w:r>
              <w:rPr>
                <w:rFonts w:ascii="仿宋_GB2312" w:hAnsi="仿宋_GB2312" w:cs="仿宋_GB2312" w:eastAsia="仿宋_GB2312"/>
                <w:sz w:val="21"/>
                <w:b/>
              </w:rPr>
              <w:t>4.2.2.3.7.外部接口</w:t>
            </w:r>
          </w:p>
          <w:p>
            <w:pPr>
              <w:pStyle w:val="null3"/>
              <w:jc w:val="both"/>
            </w:pPr>
            <w:r>
              <w:rPr>
                <w:rFonts w:ascii="仿宋_GB2312" w:hAnsi="仿宋_GB2312" w:cs="仿宋_GB2312" w:eastAsia="仿宋_GB2312"/>
                <w:sz w:val="21"/>
              </w:rPr>
              <w:t>提供标准外部接口，支持与第三方OA系统对接，实现开立权授权的远程调用与同步。</w:t>
            </w:r>
          </w:p>
          <w:p>
            <w:pPr>
              <w:pStyle w:val="null3"/>
              <w:jc w:val="both"/>
            </w:pPr>
            <w:r>
              <w:rPr>
                <w:rFonts w:ascii="仿宋_GB2312" w:hAnsi="仿宋_GB2312" w:cs="仿宋_GB2312" w:eastAsia="仿宋_GB2312"/>
                <w:sz w:val="21"/>
                <w:b/>
              </w:rPr>
              <w:t>4.2.2.3.8.统计查询功能</w:t>
            </w:r>
          </w:p>
          <w:p>
            <w:pPr>
              <w:pStyle w:val="null3"/>
              <w:jc w:val="both"/>
            </w:pPr>
            <w:r>
              <w:rPr>
                <w:rFonts w:ascii="仿宋_GB2312" w:hAnsi="仿宋_GB2312" w:cs="仿宋_GB2312" w:eastAsia="仿宋_GB2312"/>
                <w:sz w:val="21"/>
              </w:rPr>
              <w:t>提供标准统计查询模块，支持数据导出、打印，满足日常统计与管理需求。</w:t>
            </w:r>
          </w:p>
          <w:p>
            <w:pPr>
              <w:pStyle w:val="null3"/>
              <w:jc w:val="both"/>
            </w:pPr>
            <w:r>
              <w:rPr>
                <w:rFonts w:ascii="仿宋_GB2312" w:hAnsi="仿宋_GB2312" w:cs="仿宋_GB2312" w:eastAsia="仿宋_GB2312"/>
                <w:sz w:val="21"/>
                <w:b/>
              </w:rPr>
              <w:t>4.2.2.4.实施与交付期限</w:t>
            </w:r>
          </w:p>
          <w:p>
            <w:pPr>
              <w:pStyle w:val="null3"/>
              <w:jc w:val="both"/>
            </w:pPr>
            <w:r>
              <w:rPr>
                <w:rFonts w:ascii="仿宋_GB2312" w:hAnsi="仿宋_GB2312" w:cs="仿宋_GB2312" w:eastAsia="仿宋_GB2312"/>
                <w:sz w:val="21"/>
              </w:rPr>
              <w:t>项目实施交付期限：自合同签定之日起15个工作日内。</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满足采购人服务要求。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本项目服务期限为1年，自合同签订之日起计算。服务期内，服务商服务质量持续不达标，采购人有权提前终止合同。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陕西省交通医院本部及所有分院区、采购人指定的其他服务场所。</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进度款，双方签订合同后，达到付款条件起5个工作日内，支付合同总金额的50.0%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进度款，服务期满后，采购人组织完成年度考核验收后 7 个工作日内，根据考核结果，达到付款条件起5个工作日内，支付合同总金额的50.0%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顺利推进本项目政府采购工作，供应商须在陕西省政府采购电子化交易平台上传电子版响应文件并完成签章、加密，同时，线下递交纸质版响应文件正本一份。若电子版响应文件与纸质版响应文件不一致的，以陕西省政府采购电子化交易平台上传的电子版响应文件为准。纸质版响应文件递交截止时间同开标截止时间，递交地点为西安市唐延路37号class公馆B栋1103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协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无重大违纪声明</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法定代表人直接参加协商的，须出具法定代表人身份证明书及身份证；授权代表参加协商的，须出具法定代表人授权书及授权代表身份证；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非联合体协商</w:t>
            </w:r>
          </w:p>
        </w:tc>
        <w:tc>
          <w:tcPr>
            <w:tcW w:type="dxa" w:w="3322"/>
          </w:tcPr>
          <w:p>
            <w:pPr>
              <w:pStyle w:val="null3"/>
            </w:pPr>
            <w:r>
              <w:rPr>
                <w:rFonts w:ascii="仿宋_GB2312" w:hAnsi="仿宋_GB2312" w:cs="仿宋_GB2312" w:eastAsia="仿宋_GB2312"/>
              </w:rPr>
              <w:t>本项目不接受联合体协商。</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报价一览表.docx 供应商认为有必要说明的其他资料.docx 中小企业声明函 报价表 服务偏离表.docx 资格证明文件.docx 供应商承诺书.docx 响应文件封面 分项报价表.docx 残疾人福利性单位声明函 业绩统计表.docx 标的清单 响应函 商务偏离表.docx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磋商小组认为供应商报价明显低于其他实质性响应的供应商报价，有可能影响产品质量或者不能诚信履约的，磋商小组应当要求其在合理的时间内提供成本构成书面说明，并提交相关证明材料。书面说明应当按照国家财务会计制度的规定要求，逐项就供应商提供的货物、工程和服务的主营业务成本（应根据投标人企业类型予以区别）、税金及附加、销售费用、管理费用、财务费用等成本构成事项详细陈述。 2.供应商提交的相关说明和证明材料，应当加盖供应商（法定名称）电子印章，在磋商小组要求的时间内通过项目电子化交易系统进行提交，否则提交的相关证明材料无效。供应商不能证明其磋商报价合理性的，磋商小组应当将其响应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报价一览表.docx 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报价一览表.docx 供应商认为有必要说明的其他资料.docx 中小企业声明函 报价表 服务偏离表.docx 资格证明文件.docx 供应商承诺书.docx 响应文件封面 分项报价表.docx 残疾人福利性单位声明函 业绩统计表.docx 标的清单 响应函 商务偏离表.docx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报价一览表.docx 供应商认为有必要说明的其他资料.docx 中小企业声明函 报价表 服务偏离表.docx 资格证明文件.docx 供应商承诺书.docx 响应文件封面 分项报价表.docx 残疾人福利性单位声明函 业绩统计表.docx 标的清单 响应函 商务偏离表.docx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响应采购文件商务条款，无重大保留或偏差</w:t>
            </w:r>
          </w:p>
        </w:tc>
        <w:tc>
          <w:tcPr>
            <w:tcW w:type="dxa" w:w="1661"/>
          </w:tcPr>
          <w:p>
            <w:pPr>
              <w:pStyle w:val="null3"/>
            </w:pPr>
            <w:r>
              <w:rPr>
                <w:rFonts w:ascii="仿宋_GB2312" w:hAnsi="仿宋_GB2312" w:cs="仿宋_GB2312" w:eastAsia="仿宋_GB2312"/>
              </w:rPr>
              <w:t>报价一览表.docx 标的清单 报价表 商务偏离表.docx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供应商服务须完全满足采购文件要求，否则其响应文件作为无效处理</w:t>
            </w:r>
          </w:p>
        </w:tc>
        <w:tc>
          <w:tcPr>
            <w:tcW w:type="dxa" w:w="1661"/>
          </w:tcPr>
          <w:p>
            <w:pPr>
              <w:pStyle w:val="null3"/>
            </w:pPr>
            <w:r>
              <w:rPr>
                <w:rFonts w:ascii="仿宋_GB2312" w:hAnsi="仿宋_GB2312" w:cs="仿宋_GB2312" w:eastAsia="仿宋_GB2312"/>
              </w:rPr>
              <w:t>服务偏离表.docx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无不符合法律法规或采购文件规定的投标无效条款</w:t>
            </w:r>
          </w:p>
        </w:tc>
        <w:tc>
          <w:tcPr>
            <w:tcW w:type="dxa" w:w="1661"/>
          </w:tcPr>
          <w:p>
            <w:pPr>
              <w:pStyle w:val="null3"/>
            </w:pPr>
            <w:r>
              <w:rPr>
                <w:rFonts w:ascii="仿宋_GB2312" w:hAnsi="仿宋_GB2312" w:cs="仿宋_GB2312" w:eastAsia="仿宋_GB2312"/>
              </w:rPr>
              <w:t>报价一览表.docx 供应商认为有必要说明的其他资料.docx 中小企业声明函 报价表 服务偏离表.docx 资格证明文件.docx 供应商承诺书.docx 响应文件封面 分项报价表.docx 残疾人福利性单位声明函 业绩统计表.docx 标的清单 响应函 商务偏离表.docx 服务方案.docx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详见附件：业绩统计表.docx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