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4A1654">
      <w:pPr>
        <w:jc w:val="left"/>
        <w:rPr>
          <w:rFonts w:ascii="仿宋" w:hAnsi="仿宋" w:eastAsia="仿宋" w:cs="仿宋"/>
          <w:b/>
          <w:bCs/>
          <w:sz w:val="30"/>
          <w:szCs w:val="30"/>
        </w:rPr>
      </w:pPr>
    </w:p>
    <w:p w14:paraId="187C31E7">
      <w:pPr>
        <w:jc w:val="left"/>
        <w:rPr>
          <w:rFonts w:ascii="仿宋" w:hAnsi="仿宋" w:eastAsia="仿宋" w:cs="仿宋"/>
          <w:b/>
          <w:bCs/>
          <w:sz w:val="30"/>
          <w:szCs w:val="30"/>
        </w:rPr>
      </w:pPr>
      <w:r>
        <w:rPr>
          <w:rFonts w:hint="eastAsia" w:ascii="仿宋" w:hAnsi="仿宋" w:eastAsia="仿宋" w:cs="仿宋"/>
          <w:b/>
          <w:bCs/>
          <w:sz w:val="30"/>
          <w:szCs w:val="30"/>
        </w:rPr>
        <w:t>政府采购合同                        合同编号：</w:t>
      </w:r>
    </w:p>
    <w:p w14:paraId="63A89B1E">
      <w:pPr>
        <w:pStyle w:val="2"/>
        <w:rPr>
          <w:b/>
          <w:bCs/>
          <w:sz w:val="30"/>
          <w:szCs w:val="30"/>
          <w:lang w:eastAsia="zh-CN"/>
        </w:rPr>
      </w:pPr>
    </w:p>
    <w:p w14:paraId="36592D4D">
      <w:pPr>
        <w:pStyle w:val="2"/>
        <w:rPr>
          <w:b/>
          <w:bCs/>
          <w:sz w:val="30"/>
          <w:szCs w:val="30"/>
          <w:lang w:eastAsia="zh-CN"/>
        </w:rPr>
      </w:pPr>
    </w:p>
    <w:p w14:paraId="13A7A400">
      <w:pPr>
        <w:pStyle w:val="2"/>
        <w:rPr>
          <w:lang w:eastAsia="zh-CN"/>
        </w:rPr>
      </w:pPr>
    </w:p>
    <w:p w14:paraId="3567560B">
      <w:pPr>
        <w:jc w:val="center"/>
        <w:rPr>
          <w:rFonts w:ascii="仿宋" w:hAnsi="仿宋" w:eastAsia="仿宋" w:cs="仿宋"/>
          <w:b/>
          <w:bCs/>
          <w:sz w:val="44"/>
          <w:szCs w:val="44"/>
        </w:rPr>
      </w:pPr>
      <w:r>
        <w:rPr>
          <w:rFonts w:hint="eastAsia" w:ascii="仿宋" w:hAnsi="仿宋" w:eastAsia="仿宋" w:cs="仿宋"/>
          <w:b/>
          <w:bCs/>
          <w:sz w:val="44"/>
          <w:szCs w:val="44"/>
          <w:u w:val="single"/>
        </w:rPr>
        <w:t xml:space="preserve">                           </w:t>
      </w:r>
      <w:r>
        <w:rPr>
          <w:rFonts w:hint="eastAsia" w:ascii="仿宋" w:hAnsi="仿宋" w:eastAsia="仿宋" w:cs="仿宋"/>
          <w:b/>
          <w:bCs/>
          <w:sz w:val="44"/>
          <w:szCs w:val="44"/>
        </w:rPr>
        <w:t>采购项目</w:t>
      </w:r>
    </w:p>
    <w:p w14:paraId="4BE59D67">
      <w:pPr>
        <w:rPr>
          <w:rFonts w:ascii="仿宋" w:hAnsi="仿宋" w:eastAsia="仿宋" w:cs="仿宋"/>
        </w:rPr>
      </w:pPr>
    </w:p>
    <w:p w14:paraId="27646277">
      <w:pPr>
        <w:rPr>
          <w:rFonts w:ascii="仿宋" w:hAnsi="仿宋" w:eastAsia="仿宋" w:cs="仿宋"/>
        </w:rPr>
      </w:pPr>
    </w:p>
    <w:p w14:paraId="4F6F14DA">
      <w:pPr>
        <w:pStyle w:val="2"/>
        <w:rPr>
          <w:lang w:eastAsia="zh-CN"/>
        </w:rPr>
      </w:pPr>
    </w:p>
    <w:p w14:paraId="164BAE9F">
      <w:pPr>
        <w:pStyle w:val="2"/>
        <w:rPr>
          <w:lang w:eastAsia="zh-CN"/>
        </w:rPr>
      </w:pPr>
    </w:p>
    <w:p w14:paraId="58D549C8">
      <w:pPr>
        <w:rPr>
          <w:rFonts w:ascii="仿宋" w:hAnsi="仿宋" w:eastAsia="仿宋" w:cs="仿宋"/>
        </w:rPr>
      </w:pPr>
    </w:p>
    <w:p w14:paraId="667C6791">
      <w:pPr>
        <w:rPr>
          <w:rFonts w:ascii="仿宋" w:hAnsi="仿宋" w:eastAsia="仿宋" w:cs="仿宋"/>
        </w:rPr>
      </w:pPr>
    </w:p>
    <w:p w14:paraId="0C66631E">
      <w:pPr>
        <w:jc w:val="center"/>
        <w:rPr>
          <w:rFonts w:ascii="仿宋" w:hAnsi="仿宋" w:eastAsia="仿宋" w:cs="仿宋"/>
          <w:b/>
          <w:sz w:val="36"/>
          <w:szCs w:val="36"/>
        </w:rPr>
      </w:pPr>
      <w:r>
        <w:rPr>
          <w:rFonts w:hint="eastAsia" w:ascii="仿宋" w:hAnsi="仿宋" w:eastAsia="仿宋" w:cs="仿宋"/>
          <w:b/>
          <w:sz w:val="36"/>
          <w:szCs w:val="36"/>
        </w:rPr>
        <w:t>（示范文本仅供参考）</w:t>
      </w:r>
    </w:p>
    <w:p w14:paraId="0C33AD97">
      <w:pPr>
        <w:jc w:val="center"/>
        <w:rPr>
          <w:rFonts w:ascii="仿宋" w:hAnsi="仿宋" w:eastAsia="仿宋" w:cs="仿宋"/>
          <w:b/>
          <w:sz w:val="36"/>
          <w:szCs w:val="36"/>
        </w:rPr>
      </w:pPr>
    </w:p>
    <w:p w14:paraId="77F8DE8E">
      <w:pPr>
        <w:rPr>
          <w:rFonts w:ascii="仿宋" w:hAnsi="仿宋" w:eastAsia="仿宋" w:cs="仿宋"/>
          <w:b/>
          <w:sz w:val="36"/>
          <w:szCs w:val="36"/>
        </w:rPr>
      </w:pPr>
    </w:p>
    <w:p w14:paraId="60109C62">
      <w:pPr>
        <w:jc w:val="center"/>
        <w:rPr>
          <w:rFonts w:ascii="仿宋" w:hAnsi="仿宋" w:eastAsia="仿宋" w:cs="仿宋"/>
          <w:b/>
          <w:sz w:val="36"/>
          <w:szCs w:val="36"/>
        </w:rPr>
      </w:pPr>
    </w:p>
    <w:p w14:paraId="5AF7EB76">
      <w:pPr>
        <w:spacing w:before="160" w:beforeLines="50" w:line="360" w:lineRule="auto"/>
        <w:ind w:firstLine="1584" w:firstLineChars="493"/>
        <w:jc w:val="left"/>
        <w:rPr>
          <w:rFonts w:ascii="仿宋" w:hAnsi="仿宋" w:eastAsia="仿宋" w:cs="仿宋"/>
          <w:sz w:val="32"/>
          <w:szCs w:val="32"/>
          <w:u w:val="single"/>
        </w:rPr>
      </w:pPr>
      <w:r>
        <w:rPr>
          <w:rFonts w:hint="eastAsia" w:ascii="仿宋" w:hAnsi="仿宋" w:eastAsia="仿宋" w:cs="仿宋"/>
          <w:b/>
          <w:bCs/>
          <w:sz w:val="32"/>
          <w:szCs w:val="32"/>
        </w:rPr>
        <w:t>采购人：</w:t>
      </w:r>
      <w:r>
        <w:rPr>
          <w:rFonts w:hint="eastAsia" w:ascii="仿宋" w:hAnsi="仿宋" w:eastAsia="仿宋" w:cs="仿宋"/>
          <w:sz w:val="32"/>
          <w:szCs w:val="32"/>
          <w:u w:val="single"/>
        </w:rPr>
        <w:t xml:space="preserve">                     </w:t>
      </w:r>
    </w:p>
    <w:p w14:paraId="2F59EB79">
      <w:pPr>
        <w:spacing w:before="160" w:beforeLines="50" w:line="360" w:lineRule="auto"/>
        <w:ind w:firstLine="1584" w:firstLineChars="493"/>
        <w:jc w:val="left"/>
        <w:rPr>
          <w:rFonts w:ascii="仿宋" w:hAnsi="仿宋" w:eastAsia="仿宋" w:cs="仿宋"/>
          <w:b/>
          <w:bCs/>
          <w:sz w:val="32"/>
          <w:szCs w:val="32"/>
        </w:rPr>
      </w:pPr>
      <w:r>
        <w:rPr>
          <w:rFonts w:hint="eastAsia" w:ascii="仿宋" w:hAnsi="仿宋" w:eastAsia="仿宋" w:cs="仿宋"/>
          <w:b/>
          <w:bCs/>
          <w:sz w:val="32"/>
          <w:szCs w:val="32"/>
        </w:rPr>
        <w:t>供应商：</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w:t>
      </w:r>
      <w:r>
        <w:rPr>
          <w:rFonts w:hint="eastAsia" w:ascii="仿宋" w:hAnsi="仿宋" w:eastAsia="仿宋" w:cs="仿宋"/>
          <w:b/>
          <w:bCs/>
          <w:sz w:val="32"/>
          <w:szCs w:val="32"/>
        </w:rPr>
        <w:t xml:space="preserve">        </w:t>
      </w:r>
    </w:p>
    <w:p w14:paraId="33E09CEC">
      <w:pPr>
        <w:pStyle w:val="2"/>
        <w:jc w:val="center"/>
        <w:rPr>
          <w:lang w:eastAsia="zh-CN"/>
        </w:rPr>
      </w:pPr>
      <w:r>
        <w:rPr>
          <w:rFonts w:hint="eastAsia"/>
          <w:b/>
          <w:bCs/>
          <w:sz w:val="32"/>
          <w:szCs w:val="32"/>
          <w:lang w:eastAsia="zh-CN"/>
        </w:rPr>
        <w:t>二〇二六年  月</w:t>
      </w:r>
    </w:p>
    <w:p w14:paraId="24B4AEFB">
      <w:pPr>
        <w:pStyle w:val="2"/>
        <w:rPr>
          <w:lang w:eastAsia="zh-CN"/>
        </w:rPr>
      </w:pPr>
    </w:p>
    <w:p w14:paraId="23A2CC05">
      <w:pPr>
        <w:pStyle w:val="2"/>
        <w:rPr>
          <w:lang w:eastAsia="zh-CN"/>
        </w:rPr>
      </w:pPr>
    </w:p>
    <w:p w14:paraId="20BF7A5B">
      <w:pPr>
        <w:rPr>
          <w:rFonts w:ascii="仿宋" w:hAnsi="仿宋" w:eastAsia="仿宋" w:cs="仿宋"/>
          <w:b/>
          <w:bCs/>
          <w:sz w:val="32"/>
          <w:szCs w:val="40"/>
        </w:rPr>
      </w:pPr>
      <w:r>
        <w:rPr>
          <w:rFonts w:hint="eastAsia" w:ascii="仿宋" w:hAnsi="仿宋" w:eastAsia="仿宋" w:cs="仿宋"/>
          <w:b/>
          <w:bCs/>
          <w:sz w:val="32"/>
          <w:szCs w:val="40"/>
        </w:rPr>
        <w:br w:type="page"/>
      </w:r>
    </w:p>
    <w:p w14:paraId="7A97D6DE">
      <w:pPr>
        <w:jc w:val="center"/>
        <w:rPr>
          <w:rFonts w:ascii="仿宋" w:hAnsi="仿宋" w:eastAsia="仿宋" w:cs="仿宋"/>
          <w:b/>
          <w:bCs/>
          <w:sz w:val="32"/>
          <w:szCs w:val="40"/>
        </w:rPr>
      </w:pPr>
      <w:r>
        <w:rPr>
          <w:rFonts w:hint="eastAsia" w:ascii="仿宋" w:hAnsi="仿宋" w:eastAsia="仿宋" w:cs="仿宋"/>
          <w:b/>
          <w:bCs/>
          <w:sz w:val="32"/>
          <w:szCs w:val="40"/>
        </w:rPr>
        <w:t>合同主要条款</w:t>
      </w:r>
    </w:p>
    <w:p w14:paraId="3F40D63A">
      <w:pPr>
        <w:adjustRightInd w:val="0"/>
        <w:snapToGrid w:val="0"/>
        <w:spacing w:line="360" w:lineRule="auto"/>
        <w:ind w:firstLine="422" w:firstLineChars="200"/>
        <w:rPr>
          <w:rFonts w:ascii="仿宋" w:hAnsi="仿宋" w:eastAsia="仿宋" w:cs="仿宋"/>
          <w:b/>
          <w:bCs/>
          <w:szCs w:val="21"/>
        </w:rPr>
      </w:pPr>
      <w:r>
        <w:rPr>
          <w:rFonts w:hint="eastAsia" w:ascii="仿宋" w:hAnsi="仿宋" w:eastAsia="仿宋" w:cs="仿宋"/>
          <w:b/>
          <w:bCs/>
          <w:szCs w:val="21"/>
        </w:rPr>
        <w:t>甲方：陕西省交通医院</w:t>
      </w:r>
    </w:p>
    <w:p w14:paraId="48D61D6D">
      <w:pPr>
        <w:adjustRightInd w:val="0"/>
        <w:snapToGrid w:val="0"/>
        <w:spacing w:line="360" w:lineRule="auto"/>
        <w:ind w:firstLine="422" w:firstLineChars="200"/>
        <w:rPr>
          <w:rFonts w:ascii="仿宋" w:hAnsi="仿宋" w:eastAsia="仿宋" w:cs="仿宋"/>
          <w:b/>
          <w:bCs/>
          <w:szCs w:val="21"/>
        </w:rPr>
      </w:pPr>
      <w:r>
        <w:rPr>
          <w:rFonts w:hint="eastAsia" w:ascii="仿宋" w:hAnsi="仿宋" w:eastAsia="仿宋" w:cs="仿宋"/>
          <w:b/>
          <w:bCs/>
          <w:szCs w:val="21"/>
        </w:rPr>
        <w:t>住所地：西安市大学南路276号</w:t>
      </w:r>
    </w:p>
    <w:p w14:paraId="1C35D1C6">
      <w:pPr>
        <w:adjustRightInd w:val="0"/>
        <w:snapToGrid w:val="0"/>
        <w:spacing w:line="360" w:lineRule="auto"/>
        <w:ind w:firstLine="422" w:firstLineChars="200"/>
        <w:rPr>
          <w:rFonts w:ascii="仿宋" w:hAnsi="仿宋" w:eastAsia="仿宋" w:cs="仿宋"/>
          <w:b/>
          <w:bCs/>
          <w:szCs w:val="21"/>
        </w:rPr>
      </w:pPr>
      <w:r>
        <w:rPr>
          <w:rFonts w:hint="eastAsia" w:ascii="仿宋" w:hAnsi="仿宋" w:eastAsia="仿宋" w:cs="仿宋"/>
          <w:b/>
          <w:bCs/>
          <w:szCs w:val="21"/>
        </w:rPr>
        <w:t>法定代表人：杜建革</w:t>
      </w:r>
    </w:p>
    <w:p w14:paraId="3541FA3D">
      <w:pPr>
        <w:adjustRightInd w:val="0"/>
        <w:snapToGrid w:val="0"/>
        <w:spacing w:line="360" w:lineRule="auto"/>
        <w:ind w:firstLine="422" w:firstLineChars="200"/>
        <w:rPr>
          <w:rFonts w:ascii="仿宋" w:hAnsi="仿宋" w:eastAsia="仿宋" w:cs="仿宋"/>
          <w:b/>
          <w:bCs/>
          <w:szCs w:val="21"/>
        </w:rPr>
      </w:pPr>
      <w:r>
        <w:rPr>
          <w:rFonts w:hint="eastAsia" w:ascii="仿宋" w:hAnsi="仿宋" w:eastAsia="仿宋" w:cs="仿宋"/>
          <w:b/>
          <w:bCs/>
          <w:szCs w:val="21"/>
        </w:rPr>
        <w:t xml:space="preserve">乙方：                               </w:t>
      </w:r>
    </w:p>
    <w:p w14:paraId="566AAC15">
      <w:pPr>
        <w:adjustRightInd w:val="0"/>
        <w:snapToGrid w:val="0"/>
        <w:spacing w:line="360" w:lineRule="auto"/>
        <w:ind w:firstLine="422" w:firstLineChars="200"/>
        <w:rPr>
          <w:rFonts w:ascii="仿宋" w:hAnsi="仿宋" w:eastAsia="仿宋" w:cs="仿宋"/>
          <w:b/>
          <w:bCs/>
          <w:szCs w:val="21"/>
        </w:rPr>
      </w:pPr>
      <w:r>
        <w:rPr>
          <w:rFonts w:hint="eastAsia" w:ascii="仿宋" w:hAnsi="仿宋" w:eastAsia="仿宋" w:cs="仿宋"/>
          <w:b/>
          <w:bCs/>
          <w:szCs w:val="21"/>
        </w:rPr>
        <w:t xml:space="preserve">住所地：                             </w:t>
      </w:r>
    </w:p>
    <w:p w14:paraId="5A1D2BFF">
      <w:pPr>
        <w:adjustRightInd w:val="0"/>
        <w:snapToGrid w:val="0"/>
        <w:spacing w:line="360" w:lineRule="auto"/>
        <w:ind w:firstLine="422" w:firstLineChars="200"/>
        <w:rPr>
          <w:rFonts w:ascii="仿宋" w:hAnsi="仿宋" w:eastAsia="仿宋" w:cs="仿宋"/>
          <w:b/>
          <w:bCs/>
          <w:szCs w:val="21"/>
        </w:rPr>
      </w:pPr>
      <w:r>
        <w:rPr>
          <w:rFonts w:hint="eastAsia" w:ascii="仿宋" w:hAnsi="仿宋" w:eastAsia="仿宋" w:cs="仿宋"/>
          <w:b/>
          <w:bCs/>
          <w:szCs w:val="21"/>
        </w:rPr>
        <w:t xml:space="preserve">法定代表人：                         </w:t>
      </w:r>
    </w:p>
    <w:p w14:paraId="188D9D90">
      <w:pPr>
        <w:tabs>
          <w:tab w:val="left" w:pos="900"/>
        </w:tabs>
        <w:spacing w:line="336" w:lineRule="auto"/>
        <w:ind w:firstLine="420" w:firstLineChars="200"/>
        <w:rPr>
          <w:rFonts w:ascii="仿宋" w:hAnsi="仿宋" w:eastAsia="仿宋" w:cs="仿宋"/>
          <w:szCs w:val="21"/>
        </w:rPr>
      </w:pPr>
      <w:r>
        <w:rPr>
          <w:rFonts w:hint="eastAsia" w:ascii="仿宋" w:hAnsi="仿宋" w:eastAsia="仿宋" w:cs="仿宋"/>
          <w:szCs w:val="21"/>
        </w:rPr>
        <w:t>为了保证甲方中联医院信息系统稳定、可靠的运行,并能及时解决系统运行中可能出现的故障，甲乙双方依据国家有关法律规定，经过平等协商，就甲方中联医院信息系统维护达成如下协议。</w:t>
      </w:r>
    </w:p>
    <w:p w14:paraId="3E76AAB2">
      <w:pPr>
        <w:spacing w:line="336" w:lineRule="auto"/>
        <w:rPr>
          <w:rFonts w:ascii="仿宋" w:hAnsi="仿宋" w:eastAsia="仿宋" w:cs="仿宋"/>
          <w:b/>
          <w:bCs/>
          <w:szCs w:val="21"/>
        </w:rPr>
      </w:pPr>
      <w:r>
        <w:rPr>
          <w:rFonts w:hint="eastAsia" w:ascii="仿宋" w:hAnsi="仿宋" w:eastAsia="仿宋" w:cs="仿宋"/>
          <w:b/>
          <w:bCs/>
          <w:szCs w:val="21"/>
        </w:rPr>
        <w:t>第一条  售后服务内容</w:t>
      </w:r>
    </w:p>
    <w:p w14:paraId="7ADD6A70">
      <w:pPr>
        <w:spacing w:line="336" w:lineRule="auto"/>
        <w:ind w:firstLine="420" w:firstLineChars="200"/>
        <w:jc w:val="left"/>
        <w:rPr>
          <w:rFonts w:ascii="仿宋" w:hAnsi="仿宋" w:eastAsia="仿宋" w:cs="仿宋"/>
          <w:szCs w:val="21"/>
        </w:rPr>
      </w:pPr>
      <w:r>
        <w:rPr>
          <w:rFonts w:hint="eastAsia" w:ascii="仿宋" w:hAnsi="仿宋" w:eastAsia="仿宋" w:cs="仿宋"/>
          <w:szCs w:val="21"/>
        </w:rPr>
        <w:t>1.乙方负责甲方在用的、由乙方提供的中联医院信息系统（详见附件：中联医院信息系统维护范围清单，以下简称：已有软件系统）的维护工作， 具体服务内容如下：</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073"/>
        <w:gridCol w:w="5114"/>
        <w:gridCol w:w="1312"/>
        <w:gridCol w:w="1597"/>
      </w:tblGrid>
      <w:tr w14:paraId="7891B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2" w:hRule="atLeast"/>
        </w:trPr>
        <w:tc>
          <w:tcPr>
            <w:tcW w:w="385" w:type="pct"/>
            <w:noWrap/>
            <w:vAlign w:val="center"/>
          </w:tcPr>
          <w:p w14:paraId="49BE80E9">
            <w:pPr>
              <w:snapToGrid w:val="0"/>
              <w:spacing w:line="360" w:lineRule="auto"/>
              <w:jc w:val="center"/>
              <w:rPr>
                <w:rFonts w:ascii="仿宋" w:hAnsi="仿宋" w:eastAsia="仿宋" w:cs="仿宋"/>
                <w:b/>
                <w:kern w:val="0"/>
                <w:sz w:val="20"/>
                <w:szCs w:val="20"/>
              </w:rPr>
            </w:pPr>
            <w:r>
              <w:rPr>
                <w:rFonts w:hint="eastAsia" w:ascii="仿宋" w:hAnsi="仿宋" w:eastAsia="仿宋" w:cs="仿宋"/>
                <w:b/>
                <w:kern w:val="0"/>
                <w:sz w:val="20"/>
                <w:szCs w:val="20"/>
              </w:rPr>
              <w:t>序号</w:t>
            </w:r>
          </w:p>
        </w:tc>
        <w:tc>
          <w:tcPr>
            <w:tcW w:w="544" w:type="pct"/>
            <w:noWrap/>
            <w:vAlign w:val="center"/>
          </w:tcPr>
          <w:p w14:paraId="2A5D25FD">
            <w:pPr>
              <w:snapToGrid w:val="0"/>
              <w:spacing w:line="360" w:lineRule="auto"/>
              <w:jc w:val="center"/>
              <w:rPr>
                <w:rFonts w:ascii="仿宋" w:hAnsi="仿宋" w:eastAsia="仿宋" w:cs="仿宋"/>
                <w:b/>
                <w:kern w:val="0"/>
                <w:sz w:val="20"/>
                <w:szCs w:val="20"/>
              </w:rPr>
            </w:pPr>
            <w:r>
              <w:rPr>
                <w:rFonts w:hint="eastAsia" w:ascii="仿宋" w:hAnsi="仿宋" w:eastAsia="仿宋" w:cs="仿宋"/>
                <w:b/>
                <w:kern w:val="0"/>
                <w:sz w:val="20"/>
                <w:szCs w:val="20"/>
              </w:rPr>
              <w:t>服务</w:t>
            </w:r>
          </w:p>
          <w:p w14:paraId="6125D44C">
            <w:pPr>
              <w:snapToGrid w:val="0"/>
              <w:spacing w:line="360" w:lineRule="auto"/>
              <w:jc w:val="center"/>
              <w:rPr>
                <w:rFonts w:ascii="仿宋" w:hAnsi="仿宋" w:eastAsia="仿宋" w:cs="仿宋"/>
                <w:b/>
                <w:kern w:val="0"/>
                <w:sz w:val="20"/>
                <w:szCs w:val="20"/>
              </w:rPr>
            </w:pPr>
            <w:r>
              <w:rPr>
                <w:rFonts w:hint="eastAsia" w:ascii="仿宋" w:hAnsi="仿宋" w:eastAsia="仿宋" w:cs="仿宋"/>
                <w:b/>
                <w:kern w:val="0"/>
                <w:sz w:val="20"/>
                <w:szCs w:val="20"/>
              </w:rPr>
              <w:t>项目</w:t>
            </w:r>
          </w:p>
        </w:tc>
        <w:tc>
          <w:tcPr>
            <w:tcW w:w="2593" w:type="pct"/>
            <w:noWrap/>
            <w:vAlign w:val="center"/>
          </w:tcPr>
          <w:p w14:paraId="71E9B10F">
            <w:pPr>
              <w:snapToGrid w:val="0"/>
              <w:spacing w:line="360" w:lineRule="auto"/>
              <w:jc w:val="center"/>
              <w:rPr>
                <w:rFonts w:ascii="仿宋" w:hAnsi="仿宋" w:eastAsia="仿宋" w:cs="仿宋"/>
                <w:b/>
                <w:kern w:val="0"/>
                <w:sz w:val="20"/>
                <w:szCs w:val="20"/>
              </w:rPr>
            </w:pPr>
            <w:r>
              <w:rPr>
                <w:rFonts w:hint="eastAsia" w:ascii="仿宋" w:hAnsi="仿宋" w:eastAsia="仿宋" w:cs="仿宋"/>
                <w:b/>
                <w:kern w:val="0"/>
                <w:sz w:val="20"/>
                <w:szCs w:val="20"/>
              </w:rPr>
              <w:t>服务内涵</w:t>
            </w:r>
          </w:p>
        </w:tc>
        <w:tc>
          <w:tcPr>
            <w:tcW w:w="665" w:type="pct"/>
            <w:noWrap/>
            <w:vAlign w:val="center"/>
          </w:tcPr>
          <w:p w14:paraId="30EF3C6F">
            <w:pPr>
              <w:snapToGrid w:val="0"/>
              <w:spacing w:line="360" w:lineRule="auto"/>
              <w:jc w:val="center"/>
              <w:rPr>
                <w:rFonts w:ascii="仿宋" w:hAnsi="仿宋" w:eastAsia="仿宋" w:cs="仿宋"/>
                <w:b/>
                <w:kern w:val="0"/>
                <w:sz w:val="20"/>
                <w:szCs w:val="20"/>
              </w:rPr>
            </w:pPr>
            <w:r>
              <w:rPr>
                <w:rFonts w:hint="eastAsia" w:ascii="仿宋" w:hAnsi="仿宋" w:eastAsia="仿宋" w:cs="仿宋"/>
                <w:b/>
                <w:kern w:val="0"/>
                <w:sz w:val="20"/>
                <w:szCs w:val="20"/>
              </w:rPr>
              <w:t>服务方式</w:t>
            </w:r>
          </w:p>
        </w:tc>
        <w:tc>
          <w:tcPr>
            <w:tcW w:w="809" w:type="pct"/>
            <w:vAlign w:val="center"/>
          </w:tcPr>
          <w:p w14:paraId="51594414">
            <w:pPr>
              <w:snapToGrid w:val="0"/>
              <w:spacing w:line="360" w:lineRule="auto"/>
              <w:jc w:val="center"/>
              <w:rPr>
                <w:rFonts w:ascii="仿宋" w:hAnsi="仿宋" w:eastAsia="仿宋" w:cs="仿宋"/>
                <w:b/>
                <w:kern w:val="0"/>
                <w:sz w:val="20"/>
                <w:szCs w:val="20"/>
              </w:rPr>
            </w:pPr>
            <w:r>
              <w:rPr>
                <w:rFonts w:hint="eastAsia" w:ascii="仿宋" w:hAnsi="仿宋" w:eastAsia="仿宋" w:cs="仿宋"/>
                <w:b/>
                <w:sz w:val="20"/>
                <w:szCs w:val="20"/>
              </w:rPr>
              <w:t>服务频次/次数要求</w:t>
            </w:r>
          </w:p>
        </w:tc>
      </w:tr>
      <w:tr w14:paraId="7A2FB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385" w:type="pct"/>
            <w:noWrap/>
            <w:vAlign w:val="center"/>
          </w:tcPr>
          <w:p w14:paraId="4BF2CEAF">
            <w:pPr>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1</w:t>
            </w:r>
          </w:p>
        </w:tc>
        <w:tc>
          <w:tcPr>
            <w:tcW w:w="544" w:type="pct"/>
            <w:noWrap/>
            <w:vAlign w:val="center"/>
          </w:tcPr>
          <w:p w14:paraId="7CE03535">
            <w:pPr>
              <w:snapToGrid w:val="0"/>
              <w:spacing w:line="360" w:lineRule="auto"/>
              <w:jc w:val="center"/>
              <w:rPr>
                <w:rFonts w:ascii="仿宋" w:hAnsi="仿宋" w:eastAsia="仿宋" w:cs="仿宋"/>
                <w:kern w:val="0"/>
                <w:sz w:val="20"/>
                <w:szCs w:val="20"/>
              </w:rPr>
            </w:pPr>
            <w:r>
              <w:rPr>
                <w:rFonts w:hint="eastAsia" w:ascii="仿宋" w:hAnsi="仿宋" w:eastAsia="仿宋" w:cs="仿宋"/>
                <w:sz w:val="20"/>
                <w:szCs w:val="20"/>
              </w:rPr>
              <w:t>信息系统基础运维服务</w:t>
            </w:r>
          </w:p>
        </w:tc>
        <w:tc>
          <w:tcPr>
            <w:tcW w:w="2593" w:type="pct"/>
            <w:noWrap/>
            <w:vAlign w:val="center"/>
          </w:tcPr>
          <w:p w14:paraId="07BBA44E">
            <w:pPr>
              <w:snapToGrid w:val="0"/>
              <w:spacing w:line="360" w:lineRule="auto"/>
              <w:rPr>
                <w:rFonts w:ascii="仿宋" w:hAnsi="仿宋" w:eastAsia="仿宋" w:cs="仿宋"/>
                <w:sz w:val="20"/>
                <w:szCs w:val="20"/>
              </w:rPr>
            </w:pPr>
            <w:r>
              <w:rPr>
                <w:rFonts w:hint="eastAsia" w:ascii="仿宋" w:hAnsi="仿宋" w:eastAsia="仿宋" w:cs="仿宋"/>
                <w:sz w:val="20"/>
                <w:szCs w:val="20"/>
              </w:rPr>
              <w:t>1. 运维服务系统范围所列全部系统模块的软件操作指导、故障排查、bug修复、配置管理服务；</w:t>
            </w:r>
          </w:p>
          <w:p w14:paraId="06C7291E">
            <w:pPr>
              <w:snapToGrid w:val="0"/>
              <w:spacing w:line="360" w:lineRule="auto"/>
              <w:rPr>
                <w:rFonts w:ascii="仿宋" w:hAnsi="仿宋" w:eastAsia="仿宋" w:cs="仿宋"/>
                <w:sz w:val="20"/>
                <w:szCs w:val="20"/>
              </w:rPr>
            </w:pPr>
            <w:r>
              <w:rPr>
                <w:rFonts w:hint="eastAsia" w:ascii="仿宋" w:hAnsi="仿宋" w:eastAsia="仿宋" w:cs="仿宋"/>
                <w:sz w:val="20"/>
                <w:szCs w:val="20"/>
              </w:rPr>
              <w:t>2. 系统死机、数据错误、运行异常、兼容性问题等全场景故障处置；</w:t>
            </w:r>
          </w:p>
          <w:p w14:paraId="0DD25B4D">
            <w:pPr>
              <w:snapToGrid w:val="0"/>
              <w:spacing w:line="360" w:lineRule="auto"/>
              <w:rPr>
                <w:rFonts w:ascii="仿宋" w:hAnsi="仿宋" w:eastAsia="仿宋" w:cs="仿宋"/>
                <w:sz w:val="20"/>
                <w:szCs w:val="20"/>
              </w:rPr>
            </w:pPr>
            <w:r>
              <w:rPr>
                <w:rFonts w:hint="eastAsia" w:ascii="仿宋" w:hAnsi="仿宋" w:eastAsia="仿宋" w:cs="仿宋"/>
                <w:sz w:val="20"/>
                <w:szCs w:val="20"/>
              </w:rPr>
              <w:t>3. 系统运行环境适配、显示异常、运行效率降低等问题的优化处置；</w:t>
            </w:r>
          </w:p>
          <w:p w14:paraId="4791B92F">
            <w:pPr>
              <w:snapToGrid w:val="0"/>
              <w:spacing w:line="360" w:lineRule="auto"/>
              <w:rPr>
                <w:rFonts w:ascii="仿宋" w:hAnsi="仿宋" w:eastAsia="仿宋" w:cs="仿宋"/>
                <w:sz w:val="20"/>
                <w:szCs w:val="20"/>
              </w:rPr>
            </w:pPr>
            <w:r>
              <w:rPr>
                <w:rFonts w:hint="eastAsia" w:ascii="仿宋" w:hAnsi="仿宋" w:eastAsia="仿宋" w:cs="仿宋"/>
                <w:sz w:val="20"/>
                <w:szCs w:val="20"/>
              </w:rPr>
              <w:t>4. 系统与院内其他信息系统的接口运维、适配调整、故障修复；</w:t>
            </w:r>
          </w:p>
          <w:p w14:paraId="6B015167">
            <w:pPr>
              <w:snapToGrid w:val="0"/>
              <w:spacing w:line="360" w:lineRule="auto"/>
              <w:rPr>
                <w:rFonts w:ascii="仿宋" w:hAnsi="仿宋" w:eastAsia="仿宋" w:cs="仿宋"/>
                <w:sz w:val="20"/>
                <w:szCs w:val="20"/>
              </w:rPr>
            </w:pPr>
            <w:r>
              <w:rPr>
                <w:rFonts w:hint="eastAsia" w:ascii="仿宋" w:hAnsi="仿宋" w:eastAsia="仿宋" w:cs="仿宋"/>
                <w:sz w:val="20"/>
                <w:szCs w:val="20"/>
              </w:rPr>
              <w:t>5. 系统终端设备、服务器运行状态的定期巡检与隐患排查。</w:t>
            </w:r>
          </w:p>
        </w:tc>
        <w:tc>
          <w:tcPr>
            <w:tcW w:w="665" w:type="pct"/>
            <w:noWrap/>
            <w:vAlign w:val="center"/>
          </w:tcPr>
          <w:p w14:paraId="47772E3E">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7×24小时热线服务安全远程运维服务现场驻场/上门服务</w:t>
            </w:r>
          </w:p>
        </w:tc>
        <w:tc>
          <w:tcPr>
            <w:tcW w:w="809" w:type="pct"/>
            <w:vAlign w:val="center"/>
          </w:tcPr>
          <w:p w14:paraId="38E82986">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不限次数，全时段响应</w:t>
            </w:r>
          </w:p>
        </w:tc>
      </w:tr>
      <w:tr w14:paraId="692D4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385" w:type="pct"/>
            <w:noWrap/>
            <w:vAlign w:val="center"/>
          </w:tcPr>
          <w:p w14:paraId="0C9F2947">
            <w:pPr>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2</w:t>
            </w:r>
          </w:p>
        </w:tc>
        <w:tc>
          <w:tcPr>
            <w:tcW w:w="544" w:type="pct"/>
            <w:noWrap/>
            <w:vAlign w:val="center"/>
          </w:tcPr>
          <w:p w14:paraId="28D4E373">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数据库专项运维服务</w:t>
            </w:r>
          </w:p>
        </w:tc>
        <w:tc>
          <w:tcPr>
            <w:tcW w:w="2593" w:type="pct"/>
            <w:noWrap/>
            <w:vAlign w:val="center"/>
          </w:tcPr>
          <w:p w14:paraId="62920A74">
            <w:pPr>
              <w:snapToGrid w:val="0"/>
              <w:spacing w:line="360" w:lineRule="auto"/>
              <w:rPr>
                <w:rFonts w:ascii="仿宋" w:hAnsi="仿宋" w:eastAsia="仿宋" w:cs="仿宋"/>
                <w:sz w:val="20"/>
                <w:szCs w:val="20"/>
              </w:rPr>
            </w:pPr>
            <w:r>
              <w:rPr>
                <w:rFonts w:hint="eastAsia" w:ascii="仿宋" w:hAnsi="仿宋" w:eastAsia="仿宋" w:cs="仿宋"/>
                <w:sz w:val="20"/>
                <w:szCs w:val="20"/>
              </w:rPr>
              <w:t>1. 每月开展数据库全量巡检，检查内容包括服务器系统日志、磁盘空间、CPU/内存使用率、数据库表空间、数据文件大小、数据库运行日志、异常操作审计日志等，及时发现并处置潜在风险；</w:t>
            </w:r>
          </w:p>
          <w:p w14:paraId="484BE3DA">
            <w:pPr>
              <w:snapToGrid w:val="0"/>
              <w:spacing w:line="360" w:lineRule="auto"/>
              <w:rPr>
                <w:rFonts w:ascii="仿宋" w:hAnsi="仿宋" w:eastAsia="仿宋" w:cs="仿宋"/>
                <w:sz w:val="20"/>
                <w:szCs w:val="20"/>
              </w:rPr>
            </w:pPr>
            <w:r>
              <w:rPr>
                <w:rFonts w:hint="eastAsia" w:ascii="仿宋" w:hAnsi="仿宋" w:eastAsia="仿宋" w:cs="仿宋"/>
                <w:sz w:val="20"/>
                <w:szCs w:val="20"/>
              </w:rPr>
              <w:t>2. 每季度完成数据库安全加固、高危漏洞修复，确保数据库符合等保合规要求；</w:t>
            </w:r>
          </w:p>
          <w:p w14:paraId="0BDD7E6A">
            <w:pPr>
              <w:snapToGrid w:val="0"/>
              <w:spacing w:line="360" w:lineRule="auto"/>
              <w:rPr>
                <w:rFonts w:ascii="仿宋" w:hAnsi="仿宋" w:eastAsia="仿宋" w:cs="仿宋"/>
                <w:sz w:val="20"/>
                <w:szCs w:val="20"/>
              </w:rPr>
            </w:pPr>
            <w:r>
              <w:rPr>
                <w:rFonts w:hint="eastAsia" w:ascii="仿宋" w:hAnsi="仿宋" w:eastAsia="仿宋" w:cs="仿宋"/>
                <w:sz w:val="20"/>
                <w:szCs w:val="20"/>
              </w:rPr>
              <w:t>3. 提供同版本数据库迁移、数据备份与恢复服务，配合采购人完成数据备份有效性验证；</w:t>
            </w:r>
          </w:p>
          <w:p w14:paraId="1E1DD0D9">
            <w:pPr>
              <w:snapToGrid w:val="0"/>
              <w:spacing w:line="360" w:lineRule="auto"/>
              <w:rPr>
                <w:rFonts w:ascii="仿宋" w:hAnsi="仿宋" w:eastAsia="仿宋" w:cs="仿宋"/>
                <w:sz w:val="20"/>
                <w:szCs w:val="20"/>
              </w:rPr>
            </w:pPr>
            <w:r>
              <w:rPr>
                <w:rFonts w:hint="eastAsia" w:ascii="仿宋" w:hAnsi="仿宋" w:eastAsia="仿宋" w:cs="仿宋"/>
                <w:sz w:val="20"/>
                <w:szCs w:val="20"/>
              </w:rPr>
              <w:t>4. 针对巡检发现的问题，完成数据库性能优化、参数调整，保障数据库持续处于最佳运行状态；</w:t>
            </w:r>
          </w:p>
          <w:p w14:paraId="497D7A1A">
            <w:pPr>
              <w:snapToGrid w:val="0"/>
              <w:spacing w:line="360" w:lineRule="auto"/>
              <w:rPr>
                <w:rFonts w:ascii="仿宋" w:hAnsi="仿宋" w:eastAsia="仿宋" w:cs="仿宋"/>
                <w:sz w:val="20"/>
                <w:szCs w:val="20"/>
              </w:rPr>
            </w:pPr>
            <w:r>
              <w:rPr>
                <w:rFonts w:hint="eastAsia" w:ascii="仿宋" w:hAnsi="仿宋" w:eastAsia="仿宋" w:cs="仿宋"/>
                <w:sz w:val="20"/>
                <w:szCs w:val="20"/>
              </w:rPr>
              <w:t>5. 数据库故障的应急处置，保障医疗数据不丢失、不泄露、不篡改。</w:t>
            </w:r>
          </w:p>
        </w:tc>
        <w:tc>
          <w:tcPr>
            <w:tcW w:w="665" w:type="pct"/>
            <w:noWrap/>
            <w:vAlign w:val="center"/>
          </w:tcPr>
          <w:p w14:paraId="3C799230">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热线服务安全远程服务现场服务</w:t>
            </w:r>
          </w:p>
        </w:tc>
        <w:tc>
          <w:tcPr>
            <w:tcW w:w="809" w:type="pct"/>
            <w:vAlign w:val="center"/>
          </w:tcPr>
          <w:p w14:paraId="23C80962">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不限次数，每月至少1次全量巡检，每季度至少1次性能优化，每年至少2次备份恢复演练</w:t>
            </w:r>
          </w:p>
        </w:tc>
      </w:tr>
      <w:tr w14:paraId="57B02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385" w:type="pct"/>
            <w:noWrap/>
            <w:vAlign w:val="center"/>
          </w:tcPr>
          <w:p w14:paraId="6D3FB667">
            <w:pPr>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3</w:t>
            </w:r>
          </w:p>
        </w:tc>
        <w:tc>
          <w:tcPr>
            <w:tcW w:w="544" w:type="pct"/>
            <w:noWrap/>
            <w:vAlign w:val="center"/>
          </w:tcPr>
          <w:p w14:paraId="540AD27B">
            <w:pPr>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第三方应用信息系统接口开发服务</w:t>
            </w:r>
          </w:p>
        </w:tc>
        <w:tc>
          <w:tcPr>
            <w:tcW w:w="2593" w:type="pct"/>
            <w:noWrap/>
            <w:vAlign w:val="center"/>
          </w:tcPr>
          <w:p w14:paraId="12856953">
            <w:pPr>
              <w:snapToGrid w:val="0"/>
              <w:spacing w:line="360" w:lineRule="auto"/>
              <w:rPr>
                <w:rFonts w:ascii="仿宋" w:hAnsi="仿宋" w:eastAsia="仿宋" w:cs="仿宋"/>
                <w:kern w:val="0"/>
                <w:sz w:val="20"/>
                <w:szCs w:val="20"/>
              </w:rPr>
            </w:pPr>
            <w:r>
              <w:rPr>
                <w:rFonts w:hint="eastAsia" w:ascii="仿宋" w:hAnsi="仿宋" w:eastAsia="仿宋" w:cs="仿宋"/>
                <w:kern w:val="0"/>
                <w:sz w:val="20"/>
                <w:szCs w:val="20"/>
              </w:rPr>
              <w:t>为满足医院信息化建设中信息数据共享的需求，针对医院采购的第三方应用系统，服务商需组织专业技术人员，与第三方供应商技术人员协同开展系统接口开发工作。同时，服务商应负责接口软件的安装与调试，确保最终实现院方数据共享的业务目标。具体技术要求详见4.2。</w:t>
            </w:r>
          </w:p>
        </w:tc>
        <w:tc>
          <w:tcPr>
            <w:tcW w:w="665" w:type="pct"/>
            <w:noWrap/>
            <w:vAlign w:val="center"/>
          </w:tcPr>
          <w:p w14:paraId="74AF9C9E">
            <w:pPr>
              <w:snapToGrid w:val="0"/>
              <w:spacing w:line="360" w:lineRule="auto"/>
              <w:rPr>
                <w:rFonts w:ascii="仿宋" w:hAnsi="仿宋" w:eastAsia="仿宋" w:cs="仿宋"/>
                <w:kern w:val="0"/>
                <w:sz w:val="20"/>
                <w:szCs w:val="20"/>
              </w:rPr>
            </w:pPr>
            <w:r>
              <w:rPr>
                <w:rFonts w:hint="eastAsia" w:ascii="仿宋" w:hAnsi="仿宋" w:eastAsia="仿宋" w:cs="仿宋"/>
                <w:kern w:val="0"/>
                <w:sz w:val="20"/>
                <w:szCs w:val="20"/>
              </w:rPr>
              <w:t>远程服务</w:t>
            </w:r>
          </w:p>
          <w:p w14:paraId="205A8D85">
            <w:pPr>
              <w:snapToGrid w:val="0"/>
              <w:spacing w:line="360" w:lineRule="auto"/>
              <w:rPr>
                <w:rFonts w:ascii="仿宋" w:hAnsi="仿宋" w:eastAsia="仿宋" w:cs="仿宋"/>
                <w:kern w:val="0"/>
                <w:sz w:val="20"/>
                <w:szCs w:val="20"/>
              </w:rPr>
            </w:pPr>
            <w:r>
              <w:rPr>
                <w:rFonts w:hint="eastAsia" w:ascii="仿宋" w:hAnsi="仿宋" w:eastAsia="仿宋" w:cs="仿宋"/>
                <w:kern w:val="0"/>
                <w:sz w:val="20"/>
                <w:szCs w:val="20"/>
              </w:rPr>
              <w:t>现场服务</w:t>
            </w:r>
          </w:p>
        </w:tc>
        <w:tc>
          <w:tcPr>
            <w:tcW w:w="809" w:type="pct"/>
            <w:vAlign w:val="center"/>
          </w:tcPr>
          <w:p w14:paraId="26F9DD10">
            <w:pPr>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3个</w:t>
            </w:r>
          </w:p>
        </w:tc>
      </w:tr>
      <w:tr w14:paraId="1BFDD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trPr>
        <w:tc>
          <w:tcPr>
            <w:tcW w:w="385" w:type="pct"/>
            <w:noWrap/>
            <w:vAlign w:val="center"/>
          </w:tcPr>
          <w:p w14:paraId="6AFADE7C">
            <w:pPr>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4</w:t>
            </w:r>
          </w:p>
        </w:tc>
        <w:tc>
          <w:tcPr>
            <w:tcW w:w="544" w:type="pct"/>
            <w:vAlign w:val="center"/>
          </w:tcPr>
          <w:p w14:paraId="3A38FF3E">
            <w:pPr>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医院检验设备接口开发服务</w:t>
            </w:r>
          </w:p>
        </w:tc>
        <w:tc>
          <w:tcPr>
            <w:tcW w:w="2593" w:type="pct"/>
            <w:noWrap/>
            <w:vAlign w:val="center"/>
          </w:tcPr>
          <w:p w14:paraId="5375F6CD">
            <w:pPr>
              <w:snapToGrid w:val="0"/>
              <w:spacing w:line="360" w:lineRule="auto"/>
              <w:rPr>
                <w:rFonts w:ascii="仿宋" w:hAnsi="仿宋" w:eastAsia="仿宋" w:cs="仿宋"/>
                <w:kern w:val="0"/>
                <w:sz w:val="20"/>
                <w:szCs w:val="20"/>
              </w:rPr>
            </w:pPr>
            <w:r>
              <w:rPr>
                <w:rFonts w:hint="eastAsia" w:ascii="仿宋" w:hAnsi="仿宋" w:eastAsia="仿宋" w:cs="仿宋"/>
                <w:kern w:val="0"/>
                <w:sz w:val="20"/>
                <w:szCs w:val="20"/>
              </w:rPr>
              <w:t>医院根据自身发展需求新增或调整检验检查仪器设备，服务商组织专业技术人员为院方提供接口程序的开发、调试服务，保障仪器设备无缝对接相应检验信息系统（LIS）等信息系统。</w:t>
            </w:r>
          </w:p>
        </w:tc>
        <w:tc>
          <w:tcPr>
            <w:tcW w:w="665" w:type="pct"/>
            <w:noWrap/>
            <w:vAlign w:val="center"/>
          </w:tcPr>
          <w:p w14:paraId="08AA58CA">
            <w:pPr>
              <w:pStyle w:val="2"/>
              <w:snapToGrid w:val="0"/>
              <w:spacing w:line="360" w:lineRule="auto"/>
              <w:rPr>
                <w:kern w:val="0"/>
                <w:sz w:val="20"/>
                <w:szCs w:val="20"/>
              </w:rPr>
            </w:pPr>
            <w:r>
              <w:rPr>
                <w:rFonts w:hint="eastAsia"/>
                <w:kern w:val="0"/>
                <w:sz w:val="20"/>
                <w:szCs w:val="20"/>
              </w:rPr>
              <w:t>远程服务</w:t>
            </w:r>
          </w:p>
          <w:p w14:paraId="379886B6">
            <w:pPr>
              <w:snapToGrid w:val="0"/>
              <w:spacing w:line="360" w:lineRule="auto"/>
              <w:rPr>
                <w:rFonts w:ascii="仿宋" w:hAnsi="仿宋" w:eastAsia="仿宋" w:cs="仿宋"/>
                <w:kern w:val="0"/>
                <w:sz w:val="20"/>
                <w:szCs w:val="20"/>
              </w:rPr>
            </w:pPr>
            <w:r>
              <w:rPr>
                <w:rFonts w:hint="eastAsia" w:ascii="仿宋" w:hAnsi="仿宋" w:eastAsia="仿宋" w:cs="仿宋"/>
                <w:kern w:val="0"/>
                <w:sz w:val="20"/>
                <w:szCs w:val="20"/>
              </w:rPr>
              <w:t>现场服务</w:t>
            </w:r>
          </w:p>
        </w:tc>
        <w:tc>
          <w:tcPr>
            <w:tcW w:w="809" w:type="pct"/>
            <w:vAlign w:val="center"/>
          </w:tcPr>
          <w:p w14:paraId="4FC3DE97">
            <w:pPr>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不少于</w:t>
            </w:r>
          </w:p>
          <w:p w14:paraId="33538A54">
            <w:pPr>
              <w:snapToGrid w:val="0"/>
              <w:spacing w:line="360" w:lineRule="auto"/>
              <w:jc w:val="center"/>
              <w:rPr>
                <w:rFonts w:ascii="仿宋" w:hAnsi="仿宋" w:eastAsia="仿宋" w:cs="仿宋"/>
                <w:sz w:val="20"/>
                <w:szCs w:val="20"/>
              </w:rPr>
            </w:pPr>
            <w:r>
              <w:rPr>
                <w:rFonts w:hint="eastAsia" w:ascii="仿宋" w:hAnsi="仿宋" w:eastAsia="仿宋" w:cs="仿宋"/>
                <w:kern w:val="0"/>
                <w:sz w:val="20"/>
                <w:szCs w:val="20"/>
              </w:rPr>
              <w:t>5台</w:t>
            </w:r>
          </w:p>
        </w:tc>
      </w:tr>
      <w:tr w14:paraId="44613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385" w:type="pct"/>
            <w:noWrap/>
            <w:vAlign w:val="center"/>
          </w:tcPr>
          <w:p w14:paraId="3A2539EC">
            <w:pPr>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5</w:t>
            </w:r>
          </w:p>
        </w:tc>
        <w:tc>
          <w:tcPr>
            <w:tcW w:w="544" w:type="pct"/>
            <w:vAlign w:val="center"/>
          </w:tcPr>
          <w:p w14:paraId="512A69B6">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系统升级与合规更新服务</w:t>
            </w:r>
          </w:p>
        </w:tc>
        <w:tc>
          <w:tcPr>
            <w:tcW w:w="2593" w:type="pct"/>
            <w:noWrap/>
            <w:vAlign w:val="center"/>
          </w:tcPr>
          <w:p w14:paraId="1F364F8D">
            <w:pPr>
              <w:snapToGrid w:val="0"/>
              <w:spacing w:line="360" w:lineRule="auto"/>
              <w:rPr>
                <w:rFonts w:ascii="仿宋" w:hAnsi="仿宋" w:eastAsia="仿宋" w:cs="仿宋"/>
                <w:sz w:val="20"/>
                <w:szCs w:val="20"/>
              </w:rPr>
            </w:pPr>
            <w:r>
              <w:rPr>
                <w:rFonts w:hint="eastAsia" w:ascii="仿宋" w:hAnsi="仿宋" w:eastAsia="仿宋" w:cs="仿宋"/>
                <w:sz w:val="20"/>
                <w:szCs w:val="20"/>
              </w:rPr>
              <w:t>1. 依据国家、省、市卫健、医保、网信等部门新增或变更的政策法规、标准规范，免费、及时完成系统的合规性适配与更新服务，确保系统符合最新监管要求；</w:t>
            </w:r>
          </w:p>
          <w:p w14:paraId="2805B46A">
            <w:pPr>
              <w:snapToGrid w:val="0"/>
              <w:spacing w:line="360" w:lineRule="auto"/>
              <w:rPr>
                <w:rFonts w:ascii="仿宋" w:hAnsi="仿宋" w:eastAsia="仿宋" w:cs="仿宋"/>
                <w:sz w:val="20"/>
                <w:szCs w:val="20"/>
              </w:rPr>
            </w:pPr>
            <w:r>
              <w:rPr>
                <w:rFonts w:hint="eastAsia" w:ascii="仿宋" w:hAnsi="仿宋" w:eastAsia="仿宋" w:cs="仿宋"/>
                <w:sz w:val="20"/>
                <w:szCs w:val="20"/>
              </w:rPr>
              <w:t>2. 提供系统同版本内的免费升级、功能优化服务，组织专业技术人员完成升级方案制定、测试、上线全流程工作，确保升级过程不影响医院正常业务；</w:t>
            </w:r>
          </w:p>
          <w:p w14:paraId="2E8154BC">
            <w:pPr>
              <w:snapToGrid w:val="0"/>
              <w:spacing w:line="360" w:lineRule="auto"/>
              <w:rPr>
                <w:rFonts w:ascii="仿宋" w:hAnsi="仿宋" w:eastAsia="仿宋" w:cs="仿宋"/>
                <w:sz w:val="20"/>
                <w:szCs w:val="20"/>
              </w:rPr>
            </w:pPr>
            <w:r>
              <w:rPr>
                <w:rFonts w:hint="eastAsia" w:ascii="仿宋" w:hAnsi="仿宋" w:eastAsia="仿宋" w:cs="仿宋"/>
                <w:sz w:val="20"/>
                <w:szCs w:val="20"/>
              </w:rPr>
              <w:t>3. 定期完成系统安全补丁、漏洞修复包的安装与调试，每月完成高危漏洞排查与修复；</w:t>
            </w:r>
          </w:p>
          <w:p w14:paraId="4586A381">
            <w:pPr>
              <w:snapToGrid w:val="0"/>
              <w:spacing w:line="360" w:lineRule="auto"/>
              <w:rPr>
                <w:rFonts w:ascii="仿宋" w:hAnsi="仿宋" w:eastAsia="仿宋" w:cs="仿宋"/>
                <w:sz w:val="20"/>
                <w:szCs w:val="20"/>
              </w:rPr>
            </w:pPr>
            <w:r>
              <w:rPr>
                <w:rFonts w:hint="eastAsia" w:ascii="仿宋" w:hAnsi="仿宋" w:eastAsia="仿宋" w:cs="仿宋"/>
                <w:sz w:val="20"/>
                <w:szCs w:val="20"/>
              </w:rPr>
              <w:t>4. 配合采购人完成网络安全等级保护测评、医院信息互联互通标准化成熟度测评等相关工作，完成对应整改与系统适配。</w:t>
            </w:r>
          </w:p>
        </w:tc>
        <w:tc>
          <w:tcPr>
            <w:tcW w:w="665" w:type="pct"/>
            <w:noWrap/>
            <w:vAlign w:val="center"/>
          </w:tcPr>
          <w:p w14:paraId="5E148800">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现场服务为主远程辅助</w:t>
            </w:r>
          </w:p>
        </w:tc>
        <w:tc>
          <w:tcPr>
            <w:tcW w:w="809" w:type="pct"/>
            <w:vAlign w:val="center"/>
          </w:tcPr>
          <w:p w14:paraId="1D3A525C">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不限次数，每月至少1次安全补丁更新，政策变更后10个工作日内完成合规适配</w:t>
            </w:r>
          </w:p>
        </w:tc>
      </w:tr>
      <w:tr w14:paraId="14D99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385" w:type="pct"/>
            <w:noWrap/>
            <w:vAlign w:val="center"/>
          </w:tcPr>
          <w:p w14:paraId="69C8F0D5">
            <w:pPr>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6</w:t>
            </w:r>
          </w:p>
        </w:tc>
        <w:tc>
          <w:tcPr>
            <w:tcW w:w="544" w:type="pct"/>
            <w:vAlign w:val="center"/>
          </w:tcPr>
          <w:p w14:paraId="586AC4EB">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网络安全与数据安全服务</w:t>
            </w:r>
          </w:p>
        </w:tc>
        <w:tc>
          <w:tcPr>
            <w:tcW w:w="2593" w:type="pct"/>
            <w:noWrap/>
            <w:vAlign w:val="center"/>
          </w:tcPr>
          <w:p w14:paraId="163A8805">
            <w:pPr>
              <w:snapToGrid w:val="0"/>
              <w:spacing w:line="360" w:lineRule="auto"/>
              <w:rPr>
                <w:rFonts w:ascii="仿宋" w:hAnsi="仿宋" w:eastAsia="仿宋" w:cs="仿宋"/>
                <w:sz w:val="20"/>
                <w:szCs w:val="20"/>
              </w:rPr>
            </w:pPr>
            <w:r>
              <w:rPr>
                <w:rFonts w:hint="eastAsia" w:ascii="仿宋" w:hAnsi="仿宋" w:eastAsia="仿宋" w:cs="仿宋"/>
                <w:sz w:val="20"/>
                <w:szCs w:val="20"/>
              </w:rPr>
              <w:t>1. 严格根据《网络安全法》《数据安全法》《个人信息保护法》《医疗卫生机构网络安全管理办法》及相关法律法规，为采购人提供全流程网络安全与数据安全服务；</w:t>
            </w:r>
          </w:p>
          <w:p w14:paraId="288E1D17">
            <w:pPr>
              <w:snapToGrid w:val="0"/>
              <w:spacing w:line="360" w:lineRule="auto"/>
              <w:rPr>
                <w:rFonts w:ascii="仿宋" w:hAnsi="仿宋" w:eastAsia="仿宋" w:cs="仿宋"/>
                <w:sz w:val="20"/>
                <w:szCs w:val="20"/>
              </w:rPr>
            </w:pPr>
            <w:r>
              <w:rPr>
                <w:rFonts w:hint="eastAsia" w:ascii="仿宋" w:hAnsi="仿宋" w:eastAsia="仿宋" w:cs="仿宋"/>
                <w:sz w:val="20"/>
                <w:szCs w:val="20"/>
              </w:rPr>
              <w:t>2. 网络安全服务包含且不限于：漏洞修复、安全问题整改、安全风险排查、入侵检测与防御等服务，重点保障系统核心数据传输安全；</w:t>
            </w:r>
          </w:p>
          <w:p w14:paraId="13CC17BB">
            <w:pPr>
              <w:snapToGrid w:val="0"/>
              <w:spacing w:line="360" w:lineRule="auto"/>
              <w:rPr>
                <w:rFonts w:ascii="仿宋" w:hAnsi="仿宋" w:eastAsia="仿宋" w:cs="仿宋"/>
                <w:sz w:val="20"/>
                <w:szCs w:val="20"/>
              </w:rPr>
            </w:pPr>
            <w:r>
              <w:rPr>
                <w:rFonts w:hint="eastAsia" w:ascii="仿宋" w:hAnsi="仿宋" w:eastAsia="仿宋" w:cs="仿宋"/>
                <w:sz w:val="20"/>
                <w:szCs w:val="20"/>
              </w:rPr>
              <w:t>3. 数据安全服务包含且不限于：数据加密、数据备份与恢复、数据库安全审计、患者信息保护等服务，确保数据符合数据安全要求；</w:t>
            </w:r>
          </w:p>
          <w:p w14:paraId="73699719">
            <w:pPr>
              <w:snapToGrid w:val="0"/>
              <w:spacing w:line="360" w:lineRule="auto"/>
              <w:rPr>
                <w:rFonts w:ascii="仿宋" w:hAnsi="仿宋" w:eastAsia="仿宋" w:cs="仿宋"/>
                <w:sz w:val="20"/>
                <w:szCs w:val="20"/>
              </w:rPr>
            </w:pPr>
            <w:r>
              <w:rPr>
                <w:rFonts w:hint="eastAsia" w:ascii="仿宋" w:hAnsi="仿宋" w:eastAsia="仿宋" w:cs="仿宋"/>
                <w:sz w:val="20"/>
                <w:szCs w:val="20"/>
              </w:rPr>
              <w:t>4. 配合采购人完成数据安全检查、网络安全审计、等保测评等相关工作，提供技术支撑与整改服务；</w:t>
            </w:r>
          </w:p>
          <w:p w14:paraId="2933B34C">
            <w:pPr>
              <w:snapToGrid w:val="0"/>
              <w:spacing w:line="360" w:lineRule="auto"/>
              <w:rPr>
                <w:rFonts w:ascii="仿宋" w:hAnsi="仿宋" w:eastAsia="仿宋" w:cs="仿宋"/>
                <w:sz w:val="20"/>
                <w:szCs w:val="20"/>
              </w:rPr>
            </w:pPr>
            <w:r>
              <w:rPr>
                <w:rFonts w:hint="eastAsia" w:ascii="仿宋" w:hAnsi="仿宋" w:eastAsia="仿宋" w:cs="仿宋"/>
                <w:sz w:val="20"/>
                <w:szCs w:val="20"/>
              </w:rPr>
              <w:t>5. 规范远程运维操作，所有远程操作全程留痕，审计日志留存不少于6个月，杜绝非法远程访问。</w:t>
            </w:r>
          </w:p>
        </w:tc>
        <w:tc>
          <w:tcPr>
            <w:tcW w:w="665" w:type="pct"/>
            <w:noWrap/>
            <w:vAlign w:val="center"/>
          </w:tcPr>
          <w:p w14:paraId="10419828">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远程服务、现场服务</w:t>
            </w:r>
          </w:p>
        </w:tc>
        <w:tc>
          <w:tcPr>
            <w:tcW w:w="809" w:type="pct"/>
            <w:vAlign w:val="center"/>
          </w:tcPr>
          <w:p w14:paraId="086A5990">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不限次数，每月至少1次安全风险排查，每季度至少1次数据安全专项检查</w:t>
            </w:r>
          </w:p>
        </w:tc>
      </w:tr>
      <w:tr w14:paraId="42BD0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trPr>
        <w:tc>
          <w:tcPr>
            <w:tcW w:w="385" w:type="pct"/>
            <w:noWrap/>
            <w:vAlign w:val="center"/>
          </w:tcPr>
          <w:p w14:paraId="17F4974D">
            <w:pPr>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7</w:t>
            </w:r>
          </w:p>
        </w:tc>
        <w:tc>
          <w:tcPr>
            <w:tcW w:w="544" w:type="pct"/>
            <w:vAlign w:val="center"/>
          </w:tcPr>
          <w:p w14:paraId="24E69C5F">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人员培训服务</w:t>
            </w:r>
          </w:p>
        </w:tc>
        <w:tc>
          <w:tcPr>
            <w:tcW w:w="2593" w:type="pct"/>
            <w:noWrap/>
            <w:vAlign w:val="center"/>
          </w:tcPr>
          <w:p w14:paraId="7EAD30D1">
            <w:pPr>
              <w:snapToGrid w:val="0"/>
              <w:spacing w:line="360" w:lineRule="auto"/>
              <w:rPr>
                <w:rFonts w:ascii="仿宋" w:hAnsi="仿宋" w:eastAsia="仿宋" w:cs="仿宋"/>
                <w:sz w:val="20"/>
                <w:szCs w:val="20"/>
              </w:rPr>
            </w:pPr>
            <w:r>
              <w:rPr>
                <w:rFonts w:hint="eastAsia" w:ascii="仿宋" w:hAnsi="仿宋" w:eastAsia="仿宋" w:cs="仿宋"/>
                <w:sz w:val="20"/>
                <w:szCs w:val="20"/>
              </w:rPr>
              <w:t>1. 针对医院管理岗、医护操作岗、信息科技术岗，分别制定差异化培训计划，编制标准化培训教材与操作手册；</w:t>
            </w:r>
          </w:p>
          <w:p w14:paraId="3ED68E3E">
            <w:pPr>
              <w:snapToGrid w:val="0"/>
              <w:spacing w:line="360" w:lineRule="auto"/>
              <w:rPr>
                <w:rFonts w:ascii="仿宋" w:hAnsi="仿宋" w:eastAsia="仿宋" w:cs="仿宋"/>
                <w:sz w:val="20"/>
                <w:szCs w:val="20"/>
              </w:rPr>
            </w:pPr>
            <w:r>
              <w:rPr>
                <w:rFonts w:hint="eastAsia" w:ascii="仿宋" w:hAnsi="仿宋" w:eastAsia="仿宋" w:cs="仿宋"/>
                <w:sz w:val="20"/>
                <w:szCs w:val="20"/>
              </w:rPr>
              <w:t>2. 培训内容包括系统操作规范、常见故障处置、心电报告解读、数据安全与个人信息保护、应急处置流程等；</w:t>
            </w:r>
          </w:p>
          <w:p w14:paraId="67AFA4F9">
            <w:pPr>
              <w:snapToGrid w:val="0"/>
              <w:spacing w:line="360" w:lineRule="auto"/>
              <w:rPr>
                <w:rFonts w:ascii="仿宋" w:hAnsi="仿宋" w:eastAsia="仿宋" w:cs="仿宋"/>
                <w:sz w:val="20"/>
                <w:szCs w:val="20"/>
              </w:rPr>
            </w:pPr>
            <w:r>
              <w:rPr>
                <w:rFonts w:hint="eastAsia" w:ascii="仿宋" w:hAnsi="仿宋" w:eastAsia="仿宋" w:cs="仿宋"/>
                <w:sz w:val="20"/>
                <w:szCs w:val="20"/>
              </w:rPr>
              <w:t>3. 培训完成后组织考核，确保参训人员掌握对应技能；</w:t>
            </w:r>
          </w:p>
          <w:p w14:paraId="1878CAB1">
            <w:pPr>
              <w:snapToGrid w:val="0"/>
              <w:spacing w:line="360" w:lineRule="auto"/>
              <w:rPr>
                <w:rFonts w:ascii="仿宋" w:hAnsi="仿宋" w:eastAsia="仿宋" w:cs="仿宋"/>
                <w:sz w:val="20"/>
                <w:szCs w:val="20"/>
              </w:rPr>
            </w:pPr>
            <w:r>
              <w:rPr>
                <w:rFonts w:hint="eastAsia" w:ascii="仿宋" w:hAnsi="仿宋" w:eastAsia="仿宋" w:cs="仿宋"/>
                <w:sz w:val="20"/>
                <w:szCs w:val="20"/>
              </w:rPr>
              <w:t>4. 针对系统升级、新功能上线、新员工入职等场景，提供即时专项培训服务。</w:t>
            </w:r>
          </w:p>
        </w:tc>
        <w:tc>
          <w:tcPr>
            <w:tcW w:w="665" w:type="pct"/>
            <w:noWrap/>
            <w:vAlign w:val="center"/>
          </w:tcPr>
          <w:p w14:paraId="159B60B0">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现场培训、远程线上培训</w:t>
            </w:r>
          </w:p>
        </w:tc>
        <w:tc>
          <w:tcPr>
            <w:tcW w:w="809" w:type="pct"/>
            <w:vAlign w:val="center"/>
          </w:tcPr>
          <w:p w14:paraId="547F43F9">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全年累计培训不少于 20 学时，集中培训不少于 2 次，专项培训不限次数</w:t>
            </w:r>
          </w:p>
        </w:tc>
      </w:tr>
      <w:tr w14:paraId="7168A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385" w:type="pct"/>
            <w:noWrap/>
            <w:vAlign w:val="center"/>
          </w:tcPr>
          <w:p w14:paraId="47558104">
            <w:pPr>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8</w:t>
            </w:r>
          </w:p>
        </w:tc>
        <w:tc>
          <w:tcPr>
            <w:tcW w:w="544" w:type="pct"/>
            <w:vAlign w:val="center"/>
          </w:tcPr>
          <w:p w14:paraId="482D0B19">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报表开发服务</w:t>
            </w:r>
          </w:p>
        </w:tc>
        <w:tc>
          <w:tcPr>
            <w:tcW w:w="2593" w:type="pct"/>
            <w:noWrap/>
            <w:vAlign w:val="center"/>
          </w:tcPr>
          <w:p w14:paraId="36E867D6">
            <w:pPr>
              <w:snapToGrid w:val="0"/>
              <w:spacing w:line="360" w:lineRule="auto"/>
              <w:rPr>
                <w:rFonts w:ascii="仿宋" w:hAnsi="仿宋" w:eastAsia="仿宋" w:cs="仿宋"/>
                <w:sz w:val="20"/>
                <w:szCs w:val="20"/>
              </w:rPr>
            </w:pPr>
            <w:r>
              <w:rPr>
                <w:rFonts w:hint="eastAsia" w:ascii="仿宋" w:hAnsi="仿宋" w:eastAsia="仿宋" w:cs="仿宋"/>
                <w:sz w:val="20"/>
                <w:szCs w:val="20"/>
              </w:rPr>
              <w:t>服务商为院方提供新增报表开发、现有报表优化调整服务，报表开发需符合心电 / 电生理质控要求，确保数据准确、可追溯。</w:t>
            </w:r>
          </w:p>
        </w:tc>
        <w:tc>
          <w:tcPr>
            <w:tcW w:w="665" w:type="pct"/>
            <w:noWrap/>
            <w:vAlign w:val="center"/>
          </w:tcPr>
          <w:p w14:paraId="16DD0C3B">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远程服务、现场服务</w:t>
            </w:r>
          </w:p>
        </w:tc>
        <w:tc>
          <w:tcPr>
            <w:tcW w:w="809" w:type="pct"/>
            <w:vAlign w:val="center"/>
          </w:tcPr>
          <w:p w14:paraId="4B87EA44">
            <w:pPr>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不少于</w:t>
            </w:r>
          </w:p>
          <w:p w14:paraId="7E40BE5B">
            <w:pPr>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10张</w:t>
            </w:r>
          </w:p>
        </w:tc>
      </w:tr>
      <w:tr w14:paraId="276CD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385" w:type="pct"/>
            <w:noWrap/>
            <w:vAlign w:val="center"/>
          </w:tcPr>
          <w:p w14:paraId="0A4D7F31">
            <w:pPr>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9</w:t>
            </w:r>
          </w:p>
        </w:tc>
        <w:tc>
          <w:tcPr>
            <w:tcW w:w="544" w:type="pct"/>
            <w:vAlign w:val="center"/>
          </w:tcPr>
          <w:p w14:paraId="3607A314">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应急保障服务</w:t>
            </w:r>
          </w:p>
        </w:tc>
        <w:tc>
          <w:tcPr>
            <w:tcW w:w="2593" w:type="pct"/>
            <w:noWrap/>
            <w:vAlign w:val="center"/>
          </w:tcPr>
          <w:p w14:paraId="6C911EF2">
            <w:pPr>
              <w:snapToGrid w:val="0"/>
              <w:spacing w:line="360" w:lineRule="auto"/>
              <w:rPr>
                <w:rFonts w:ascii="仿宋" w:hAnsi="仿宋" w:eastAsia="仿宋" w:cs="仿宋"/>
                <w:sz w:val="20"/>
                <w:szCs w:val="20"/>
              </w:rPr>
            </w:pPr>
            <w:r>
              <w:rPr>
                <w:rFonts w:hint="eastAsia" w:ascii="仿宋" w:hAnsi="仿宋" w:eastAsia="仿宋" w:cs="仿宋"/>
                <w:sz w:val="20"/>
                <w:szCs w:val="20"/>
              </w:rPr>
              <w:t>1. 针对系统瘫痪、重大数据安全事件、网络攻击等突发场景，制定专项应急预案，明确应急处置流程、责任人员、处置方案；</w:t>
            </w:r>
          </w:p>
          <w:p w14:paraId="55076644">
            <w:pPr>
              <w:snapToGrid w:val="0"/>
              <w:spacing w:line="360" w:lineRule="auto"/>
              <w:rPr>
                <w:rFonts w:ascii="仿宋" w:hAnsi="仿宋" w:eastAsia="仿宋" w:cs="仿宋"/>
                <w:sz w:val="20"/>
                <w:szCs w:val="20"/>
              </w:rPr>
            </w:pPr>
            <w:r>
              <w:rPr>
                <w:rFonts w:hint="eastAsia" w:ascii="仿宋" w:hAnsi="仿宋" w:eastAsia="仿宋" w:cs="仿宋"/>
                <w:sz w:val="20"/>
                <w:szCs w:val="20"/>
              </w:rPr>
              <w:t>2. 每年联合采购人组织不少于 2 次应急演练，优化应急预案；</w:t>
            </w:r>
          </w:p>
          <w:p w14:paraId="5CADAB2B">
            <w:pPr>
              <w:snapToGrid w:val="0"/>
              <w:spacing w:line="360" w:lineRule="auto"/>
              <w:rPr>
                <w:rFonts w:ascii="仿宋" w:hAnsi="仿宋" w:eastAsia="仿宋" w:cs="仿宋"/>
                <w:sz w:val="20"/>
                <w:szCs w:val="20"/>
              </w:rPr>
            </w:pPr>
            <w:r>
              <w:rPr>
                <w:rFonts w:hint="eastAsia" w:ascii="仿宋" w:hAnsi="仿宋" w:eastAsia="仿宋" w:cs="仿宋"/>
                <w:sz w:val="20"/>
                <w:szCs w:val="20"/>
              </w:rPr>
              <w:t>3. 医院就诊高峰、节假日、重大医疗活动等特殊时段，提供专属驻场保障服务，提前完成系统巡检，全程值守保障系统稳定运行。</w:t>
            </w:r>
          </w:p>
        </w:tc>
        <w:tc>
          <w:tcPr>
            <w:tcW w:w="665" w:type="pct"/>
            <w:noWrap/>
            <w:vAlign w:val="center"/>
          </w:tcPr>
          <w:p w14:paraId="58E7191F">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现场驻场服务、7×24 小时应急响应</w:t>
            </w:r>
          </w:p>
        </w:tc>
        <w:tc>
          <w:tcPr>
            <w:tcW w:w="809" w:type="pct"/>
            <w:vAlign w:val="center"/>
          </w:tcPr>
          <w:p w14:paraId="1E711872">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每年不少于 2 次应急演练，特殊时段按需提供驻场保障</w:t>
            </w:r>
          </w:p>
        </w:tc>
      </w:tr>
      <w:tr w14:paraId="7A0E4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385" w:type="pct"/>
            <w:noWrap/>
            <w:vAlign w:val="center"/>
          </w:tcPr>
          <w:p w14:paraId="3CF78C3A">
            <w:pPr>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10</w:t>
            </w:r>
          </w:p>
        </w:tc>
        <w:tc>
          <w:tcPr>
            <w:tcW w:w="544" w:type="pct"/>
            <w:vAlign w:val="center"/>
          </w:tcPr>
          <w:p w14:paraId="01721F29">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服务器端国产化替代专项技术服务</w:t>
            </w:r>
          </w:p>
        </w:tc>
        <w:tc>
          <w:tcPr>
            <w:tcW w:w="2593" w:type="pct"/>
            <w:noWrap/>
            <w:vAlign w:val="center"/>
          </w:tcPr>
          <w:p w14:paraId="02CC5795">
            <w:pPr>
              <w:snapToGrid w:val="0"/>
              <w:spacing w:line="360" w:lineRule="auto"/>
              <w:rPr>
                <w:rFonts w:ascii="仿宋" w:hAnsi="仿宋" w:eastAsia="仿宋" w:cs="仿宋"/>
                <w:sz w:val="20"/>
                <w:szCs w:val="20"/>
              </w:rPr>
            </w:pPr>
            <w:r>
              <w:rPr>
                <w:rFonts w:hint="eastAsia" w:ascii="仿宋" w:hAnsi="仿宋" w:eastAsia="仿宋" w:cs="仿宋"/>
                <w:sz w:val="20"/>
                <w:szCs w:val="20"/>
              </w:rPr>
              <w:t>1. 国产化适配前置评估：针对采购人服务器端国产化替代建设需求，完成现有《电生理信息管理系统》全模块、全功能的国产化环境兼容性评估，覆盖国产服务器硬件、操作系统、数据库、中间件的全栈适配性分析，出具完整评估与实施方案；</w:t>
            </w:r>
          </w:p>
          <w:p w14:paraId="0D4F3582">
            <w:pPr>
              <w:snapToGrid w:val="0"/>
              <w:spacing w:line="360" w:lineRule="auto"/>
              <w:rPr>
                <w:rFonts w:ascii="仿宋" w:hAnsi="仿宋" w:eastAsia="仿宋" w:cs="仿宋"/>
                <w:sz w:val="20"/>
                <w:szCs w:val="20"/>
              </w:rPr>
            </w:pPr>
            <w:r>
              <w:rPr>
                <w:rFonts w:hint="eastAsia" w:ascii="仿宋" w:hAnsi="仿宋" w:eastAsia="仿宋" w:cs="仿宋"/>
                <w:sz w:val="20"/>
                <w:szCs w:val="20"/>
              </w:rPr>
              <w:t>2. 原厂级适配改造开发：针对评估发现的兼容性问题，提供系统源代码级的适配改造、功能优化、接口重构服务，确保系统在国产化服务器环境下全功能正常运行、业务流程无断点、数据交互无异常，同时保障系统与院内HIS、LIS、PACS、EMR等现有及新增信创/非信创系统的互联互通，适配改造后系统性能不低于原有非国产化环境水平；</w:t>
            </w:r>
          </w:p>
          <w:p w14:paraId="12BFA2D3">
            <w:pPr>
              <w:snapToGrid w:val="0"/>
              <w:spacing w:line="360" w:lineRule="auto"/>
              <w:rPr>
                <w:rFonts w:ascii="仿宋" w:hAnsi="仿宋" w:eastAsia="仿宋" w:cs="仿宋"/>
                <w:sz w:val="20"/>
                <w:szCs w:val="20"/>
              </w:rPr>
            </w:pPr>
            <w:r>
              <w:rPr>
                <w:rFonts w:hint="eastAsia" w:ascii="仿宋" w:hAnsi="仿宋" w:eastAsia="仿宋" w:cs="仿宋"/>
                <w:sz w:val="20"/>
                <w:szCs w:val="20"/>
              </w:rPr>
              <w:t>1. 国产化适配前置评估：针对采购人服务器端国产化替代建设需求，完成现有《体检导检系统》《门诊叫号系统》全模块、全功能的国产化环境兼容性评估，覆盖国产服务器硬件、操作系统、数据库、中间件的全栈适配性分析，出具完整评估与实施方案；</w:t>
            </w:r>
          </w:p>
          <w:p w14:paraId="1C758513">
            <w:pPr>
              <w:snapToGrid w:val="0"/>
              <w:spacing w:line="360" w:lineRule="auto"/>
              <w:rPr>
                <w:rFonts w:ascii="仿宋" w:hAnsi="仿宋" w:eastAsia="仿宋" w:cs="仿宋"/>
                <w:sz w:val="20"/>
                <w:szCs w:val="20"/>
              </w:rPr>
            </w:pPr>
            <w:r>
              <w:rPr>
                <w:rFonts w:hint="eastAsia" w:ascii="仿宋" w:hAnsi="仿宋" w:eastAsia="仿宋" w:cs="仿宋"/>
                <w:sz w:val="20"/>
                <w:szCs w:val="20"/>
              </w:rPr>
              <w:t>2. 原厂级适配改造开发：针对评估发现的兼容性问题，提供系统源代码级的适配改造、功能优化、接口重构服务，确保系统在国产化服务器环境下全功能正常运行、业务流程无断点、数据交互无异常，同时保障系统与院内HIS、LIS、PACS、EMR等现有及新增信创/非信创系统的互联互通，适配改造后系统性能不低于原有非国产化环境水平；</w:t>
            </w:r>
          </w:p>
          <w:p w14:paraId="1CD1D42D">
            <w:pPr>
              <w:snapToGrid w:val="0"/>
              <w:spacing w:line="360" w:lineRule="auto"/>
              <w:rPr>
                <w:rFonts w:ascii="仿宋" w:hAnsi="仿宋" w:eastAsia="仿宋" w:cs="仿宋"/>
                <w:sz w:val="20"/>
                <w:szCs w:val="20"/>
              </w:rPr>
            </w:pPr>
            <w:r>
              <w:rPr>
                <w:rFonts w:hint="eastAsia" w:ascii="仿宋" w:hAnsi="仿宋" w:eastAsia="仿宋" w:cs="仿宋"/>
                <w:sz w:val="20"/>
                <w:szCs w:val="20"/>
              </w:rPr>
              <w:t>3. 国产化迁移与割接实施：配合采购人完成国产化测试环境搭建、全量功能测试、压力测试、兼容性测试、安全测试，制定分阶段、零风险的业务割接方案，割接操作安排在非业务高峰时段（夜间、节假日），全程派驻技术人员现场值守，保障迁移过程医疗数据零丢失、零泄露、零篡改，业务中断时长符合医院医疗安全管理要求，如出现异常立即启动回滚预案，保障业务连续性；</w:t>
            </w:r>
          </w:p>
          <w:p w14:paraId="37986ED0">
            <w:pPr>
              <w:snapToGrid w:val="0"/>
              <w:spacing w:line="360" w:lineRule="auto"/>
              <w:rPr>
                <w:rFonts w:ascii="仿宋" w:hAnsi="仿宋" w:eastAsia="仿宋" w:cs="仿宋"/>
                <w:sz w:val="20"/>
                <w:szCs w:val="20"/>
              </w:rPr>
            </w:pPr>
            <w:r>
              <w:rPr>
                <w:rFonts w:hint="eastAsia" w:ascii="仿宋" w:hAnsi="仿宋" w:eastAsia="仿宋" w:cs="仿宋"/>
                <w:sz w:val="20"/>
                <w:szCs w:val="20"/>
              </w:rPr>
              <w:t>4. 国产化环境专项运维保障：系统迁移至国产化服务器环境后，提供专属专项运维服务，包括国产化环境下系统日常巡检、性能优化、故障排查处置、安全补丁适配、漏洞修复、合规性升级，建立国产化环境专属运维台账，针对国产化平台特性优化运维流程，保障系统在国产化服务器环境下持续稳定运行；</w:t>
            </w:r>
          </w:p>
          <w:p w14:paraId="50E036A6">
            <w:pPr>
              <w:snapToGrid w:val="0"/>
              <w:spacing w:line="360" w:lineRule="auto"/>
              <w:rPr>
                <w:rFonts w:ascii="仿宋" w:hAnsi="仿宋" w:eastAsia="仿宋" w:cs="仿宋"/>
                <w:sz w:val="20"/>
                <w:szCs w:val="20"/>
              </w:rPr>
            </w:pPr>
            <w:r>
              <w:rPr>
                <w:rFonts w:hint="eastAsia" w:ascii="仿宋" w:hAnsi="仿宋" w:eastAsia="仿宋" w:cs="仿宋"/>
                <w:sz w:val="20"/>
                <w:szCs w:val="20"/>
              </w:rPr>
              <w:t>5. 合规适配与测评支撑：配合采购人完成信创建设合规验收、网络安全等级保护测评、医院信息互联互通标准化成熟度测评等相关工作，提供系统国产化适配证明、测试报告、技术支撑及整改服务，确保系统符合国家及地方交通、卫健、网信部门关于医疗信息化信创建设的最新政策要求；</w:t>
            </w:r>
          </w:p>
          <w:p w14:paraId="2B1E8FC6">
            <w:pPr>
              <w:snapToGrid w:val="0"/>
              <w:spacing w:line="360" w:lineRule="auto"/>
              <w:rPr>
                <w:rFonts w:ascii="仿宋" w:hAnsi="仿宋" w:eastAsia="仿宋" w:cs="仿宋"/>
                <w:sz w:val="20"/>
                <w:szCs w:val="20"/>
              </w:rPr>
            </w:pPr>
            <w:r>
              <w:rPr>
                <w:rFonts w:hint="eastAsia" w:ascii="仿宋" w:hAnsi="仿宋" w:eastAsia="仿宋" w:cs="仿宋"/>
                <w:sz w:val="20"/>
                <w:szCs w:val="20"/>
              </w:rPr>
              <w:t>6. 国产化专项培训：针对国产化服务器环境下的系统运维、操作使用、故障应急处置，为采购人信息科技术人员、医护操作岗、管理岗人员提供专项定制化培训，编制专属培训教材，确保参训人员掌握对应技能。</w:t>
            </w:r>
          </w:p>
        </w:tc>
        <w:tc>
          <w:tcPr>
            <w:tcW w:w="665" w:type="pct"/>
            <w:noWrap/>
            <w:vAlign w:val="center"/>
          </w:tcPr>
          <w:p w14:paraId="449BF4D2">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现场服务为主、远程辅助服务、专项驻场服务</w:t>
            </w:r>
          </w:p>
        </w:tc>
        <w:tc>
          <w:tcPr>
            <w:tcW w:w="809" w:type="pct"/>
            <w:vAlign w:val="center"/>
          </w:tcPr>
          <w:p w14:paraId="2C0C03B7">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按需提供全流程服务，服务期内不限响应次数；迁移完成后每月至少1次国产化环境专项巡检，每季度至少1次性能优化</w:t>
            </w:r>
          </w:p>
        </w:tc>
      </w:tr>
      <w:tr w14:paraId="44C13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385" w:type="pct"/>
            <w:noWrap/>
            <w:vAlign w:val="center"/>
          </w:tcPr>
          <w:p w14:paraId="56FE1062">
            <w:pPr>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11</w:t>
            </w:r>
          </w:p>
        </w:tc>
        <w:tc>
          <w:tcPr>
            <w:tcW w:w="544" w:type="pct"/>
            <w:vAlign w:val="center"/>
          </w:tcPr>
          <w:p w14:paraId="6A8892BF">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运维报告服务</w:t>
            </w:r>
          </w:p>
        </w:tc>
        <w:tc>
          <w:tcPr>
            <w:tcW w:w="2593" w:type="pct"/>
            <w:noWrap/>
            <w:vAlign w:val="center"/>
          </w:tcPr>
          <w:p w14:paraId="4BC1D5E2">
            <w:pPr>
              <w:snapToGrid w:val="0"/>
              <w:spacing w:line="360" w:lineRule="auto"/>
              <w:rPr>
                <w:rFonts w:ascii="仿宋" w:hAnsi="仿宋" w:eastAsia="仿宋" w:cs="仿宋"/>
                <w:sz w:val="20"/>
                <w:szCs w:val="20"/>
              </w:rPr>
            </w:pPr>
            <w:r>
              <w:rPr>
                <w:rFonts w:hint="eastAsia" w:ascii="仿宋" w:hAnsi="仿宋" w:eastAsia="仿宋" w:cs="仿宋"/>
                <w:sz w:val="20"/>
                <w:szCs w:val="20"/>
              </w:rPr>
              <w:t>1. 每季度、每年提交阶段性运维报告，年度报告须包含全年服务总结、系统运行评估、安全合规情况、下一年度运维优化方案等；</w:t>
            </w:r>
          </w:p>
          <w:p w14:paraId="752BA08F">
            <w:pPr>
              <w:snapToGrid w:val="0"/>
              <w:spacing w:line="360" w:lineRule="auto"/>
              <w:rPr>
                <w:rFonts w:ascii="仿宋" w:hAnsi="仿宋" w:eastAsia="仿宋" w:cs="仿宋"/>
                <w:sz w:val="20"/>
                <w:szCs w:val="20"/>
              </w:rPr>
            </w:pPr>
            <w:r>
              <w:rPr>
                <w:rFonts w:hint="eastAsia" w:ascii="仿宋" w:hAnsi="仿宋" w:eastAsia="仿宋" w:cs="仿宋"/>
                <w:sz w:val="20"/>
                <w:szCs w:val="20"/>
              </w:rPr>
              <w:t>2. 重大故障、专项工作单独提交专项报告。</w:t>
            </w:r>
          </w:p>
        </w:tc>
        <w:tc>
          <w:tcPr>
            <w:tcW w:w="665" w:type="pct"/>
            <w:noWrap/>
            <w:vAlign w:val="center"/>
          </w:tcPr>
          <w:p w14:paraId="3362EC95">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书面盖章报告、电子文档</w:t>
            </w:r>
          </w:p>
        </w:tc>
        <w:tc>
          <w:tcPr>
            <w:tcW w:w="809" w:type="pct"/>
            <w:vAlign w:val="center"/>
          </w:tcPr>
          <w:p w14:paraId="63717996">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每季度1次季报，每年1次年报，专项报告按需提交</w:t>
            </w:r>
          </w:p>
        </w:tc>
      </w:tr>
    </w:tbl>
    <w:p w14:paraId="3AD6D5B5">
      <w:pPr>
        <w:pStyle w:val="4"/>
        <w:spacing w:line="336" w:lineRule="auto"/>
        <w:ind w:firstLineChars="200"/>
        <w:rPr>
          <w:rFonts w:ascii="仿宋" w:hAnsi="仿宋" w:eastAsia="仿宋" w:cs="仿宋"/>
          <w:szCs w:val="21"/>
        </w:rPr>
      </w:pPr>
    </w:p>
    <w:p w14:paraId="1FFE1F2F">
      <w:pPr>
        <w:pStyle w:val="4"/>
        <w:spacing w:line="336" w:lineRule="auto"/>
        <w:ind w:firstLineChars="200"/>
        <w:rPr>
          <w:rFonts w:ascii="仿宋" w:hAnsi="仿宋" w:eastAsia="仿宋" w:cs="仿宋"/>
          <w:szCs w:val="21"/>
        </w:rPr>
      </w:pPr>
      <w:r>
        <w:rPr>
          <w:rFonts w:hint="eastAsia" w:ascii="仿宋" w:hAnsi="仿宋" w:eastAsia="仿宋" w:cs="仿宋"/>
          <w:szCs w:val="21"/>
        </w:rPr>
        <w:t>2. 第三方系统接口开发服务技术要求：</w:t>
      </w:r>
    </w:p>
    <w:p w14:paraId="3D491192">
      <w:pPr>
        <w:pStyle w:val="2"/>
        <w:snapToGrid w:val="0"/>
        <w:spacing w:line="360" w:lineRule="auto"/>
        <w:ind w:firstLine="402" w:firstLineChars="200"/>
        <w:rPr>
          <w:b/>
          <w:sz w:val="20"/>
          <w:szCs w:val="20"/>
          <w:lang w:eastAsia="zh-CN"/>
        </w:rPr>
      </w:pPr>
      <w:r>
        <w:rPr>
          <w:rFonts w:hint="eastAsia"/>
          <w:b/>
          <w:sz w:val="20"/>
          <w:szCs w:val="20"/>
          <w:lang w:eastAsia="zh-CN"/>
        </w:rPr>
        <w:t>2.1西安市检验结果汇聚共享平台对接技术要求</w:t>
      </w:r>
    </w:p>
    <w:p w14:paraId="0BB68A2F">
      <w:pPr>
        <w:pStyle w:val="17"/>
        <w:snapToGrid w:val="0"/>
        <w:spacing w:line="360" w:lineRule="auto"/>
        <w:ind w:firstLine="402"/>
        <w:rPr>
          <w:rFonts w:ascii="仿宋" w:hAnsi="仿宋" w:eastAsia="仿宋" w:cs="仿宋"/>
          <w:b/>
          <w:vanish/>
          <w:sz w:val="20"/>
          <w:szCs w:val="20"/>
        </w:rPr>
      </w:pPr>
      <w:r>
        <w:rPr>
          <w:rFonts w:hint="eastAsia" w:ascii="仿宋" w:hAnsi="仿宋" w:eastAsia="仿宋" w:cs="仿宋"/>
          <w:b/>
          <w:vanish/>
          <w:sz w:val="20"/>
          <w:szCs w:val="20"/>
        </w:rPr>
        <w:t>1.</w:t>
      </w:r>
    </w:p>
    <w:p w14:paraId="382BE01D">
      <w:pPr>
        <w:pStyle w:val="17"/>
        <w:snapToGrid w:val="0"/>
        <w:spacing w:line="360" w:lineRule="auto"/>
        <w:ind w:firstLine="402"/>
        <w:rPr>
          <w:rFonts w:ascii="仿宋" w:hAnsi="仿宋" w:eastAsia="仿宋" w:cs="仿宋"/>
          <w:b/>
          <w:vanish/>
          <w:sz w:val="20"/>
          <w:szCs w:val="20"/>
        </w:rPr>
      </w:pPr>
      <w:r>
        <w:rPr>
          <w:rFonts w:hint="eastAsia" w:ascii="仿宋" w:hAnsi="仿宋" w:eastAsia="仿宋" w:cs="仿宋"/>
          <w:b/>
          <w:vanish/>
          <w:sz w:val="20"/>
          <w:szCs w:val="20"/>
        </w:rPr>
        <w:t>2.</w:t>
      </w:r>
    </w:p>
    <w:p w14:paraId="146076F1">
      <w:pPr>
        <w:pStyle w:val="17"/>
        <w:snapToGrid w:val="0"/>
        <w:spacing w:line="360" w:lineRule="auto"/>
        <w:ind w:firstLine="402"/>
        <w:rPr>
          <w:rFonts w:ascii="仿宋" w:hAnsi="仿宋" w:eastAsia="仿宋" w:cs="仿宋"/>
          <w:b/>
          <w:vanish/>
          <w:sz w:val="20"/>
          <w:szCs w:val="20"/>
        </w:rPr>
      </w:pPr>
      <w:r>
        <w:rPr>
          <w:rFonts w:hint="eastAsia" w:ascii="仿宋" w:hAnsi="仿宋" w:eastAsia="仿宋" w:cs="仿宋"/>
          <w:b/>
          <w:vanish/>
          <w:sz w:val="20"/>
          <w:szCs w:val="20"/>
        </w:rPr>
        <w:t>3.</w:t>
      </w:r>
    </w:p>
    <w:p w14:paraId="3B0763B3">
      <w:pPr>
        <w:pStyle w:val="17"/>
        <w:snapToGrid w:val="0"/>
        <w:spacing w:line="360" w:lineRule="auto"/>
        <w:ind w:firstLine="402"/>
        <w:rPr>
          <w:rFonts w:ascii="仿宋" w:hAnsi="仿宋" w:eastAsia="仿宋" w:cs="仿宋"/>
          <w:b/>
          <w:vanish/>
          <w:sz w:val="20"/>
          <w:szCs w:val="20"/>
        </w:rPr>
      </w:pPr>
      <w:r>
        <w:rPr>
          <w:rFonts w:hint="eastAsia" w:ascii="仿宋" w:hAnsi="仿宋" w:eastAsia="仿宋" w:cs="仿宋"/>
          <w:b/>
          <w:vanish/>
          <w:sz w:val="20"/>
          <w:szCs w:val="20"/>
        </w:rPr>
        <w:t>4.</w:t>
      </w:r>
    </w:p>
    <w:p w14:paraId="05BC4D32">
      <w:pPr>
        <w:pStyle w:val="17"/>
        <w:numPr>
          <w:ilvl w:val="1"/>
          <w:numId w:val="0"/>
        </w:numPr>
        <w:snapToGrid w:val="0"/>
        <w:spacing w:line="360" w:lineRule="auto"/>
        <w:ind w:firstLine="402" w:firstLineChars="200"/>
        <w:rPr>
          <w:rFonts w:ascii="仿宋" w:hAnsi="仿宋" w:eastAsia="仿宋" w:cs="仿宋"/>
          <w:b/>
          <w:vanish/>
          <w:sz w:val="20"/>
          <w:szCs w:val="20"/>
        </w:rPr>
      </w:pPr>
      <w:r>
        <w:rPr>
          <w:rFonts w:hint="eastAsia" w:ascii="仿宋" w:hAnsi="仿宋" w:eastAsia="仿宋" w:cs="仿宋"/>
          <w:b/>
          <w:vanish/>
          <w:sz w:val="20"/>
          <w:szCs w:val="20"/>
        </w:rPr>
        <w:t>4.1.</w:t>
      </w:r>
    </w:p>
    <w:p w14:paraId="4A3A10F6">
      <w:pPr>
        <w:pStyle w:val="17"/>
        <w:numPr>
          <w:ilvl w:val="1"/>
          <w:numId w:val="0"/>
        </w:numPr>
        <w:snapToGrid w:val="0"/>
        <w:spacing w:line="360" w:lineRule="auto"/>
        <w:ind w:firstLine="402" w:firstLineChars="200"/>
        <w:rPr>
          <w:rFonts w:ascii="仿宋" w:hAnsi="仿宋" w:eastAsia="仿宋" w:cs="仿宋"/>
          <w:b/>
          <w:vanish/>
          <w:sz w:val="20"/>
          <w:szCs w:val="20"/>
        </w:rPr>
      </w:pPr>
      <w:r>
        <w:rPr>
          <w:rFonts w:hint="eastAsia" w:ascii="仿宋" w:hAnsi="仿宋" w:eastAsia="仿宋" w:cs="仿宋"/>
          <w:b/>
          <w:vanish/>
          <w:sz w:val="20"/>
          <w:szCs w:val="20"/>
        </w:rPr>
        <w:t>4.2.</w:t>
      </w:r>
    </w:p>
    <w:p w14:paraId="002740E6">
      <w:pPr>
        <w:pStyle w:val="17"/>
        <w:numPr>
          <w:ilvl w:val="2"/>
          <w:numId w:val="0"/>
        </w:numPr>
        <w:snapToGrid w:val="0"/>
        <w:spacing w:line="360" w:lineRule="auto"/>
        <w:ind w:firstLine="402" w:firstLineChars="200"/>
        <w:rPr>
          <w:rFonts w:ascii="仿宋" w:hAnsi="仿宋" w:eastAsia="仿宋" w:cs="仿宋"/>
          <w:b/>
          <w:vanish/>
          <w:sz w:val="20"/>
          <w:szCs w:val="20"/>
        </w:rPr>
      </w:pPr>
      <w:r>
        <w:rPr>
          <w:rFonts w:hint="eastAsia" w:ascii="仿宋" w:hAnsi="仿宋" w:eastAsia="仿宋" w:cs="仿宋"/>
          <w:b/>
          <w:vanish/>
          <w:sz w:val="20"/>
          <w:szCs w:val="20"/>
        </w:rPr>
        <w:t>4.2.1.</w:t>
      </w:r>
    </w:p>
    <w:p w14:paraId="14D4F67C">
      <w:pPr>
        <w:pStyle w:val="2"/>
        <w:numPr>
          <w:ilvl w:val="3"/>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2.1.1.项目背景</w:t>
      </w:r>
    </w:p>
    <w:p w14:paraId="1474442A">
      <w:pPr>
        <w:pStyle w:val="2"/>
        <w:snapToGrid w:val="0"/>
        <w:spacing w:line="360" w:lineRule="auto"/>
        <w:ind w:firstLine="400" w:firstLineChars="200"/>
        <w:rPr>
          <w:sz w:val="20"/>
          <w:szCs w:val="20"/>
          <w:lang w:eastAsia="zh-CN"/>
        </w:rPr>
      </w:pPr>
      <w:r>
        <w:rPr>
          <w:rFonts w:hint="eastAsia"/>
          <w:sz w:val="20"/>
          <w:szCs w:val="20"/>
          <w:lang w:eastAsia="zh-CN"/>
        </w:rPr>
        <w:t>为贯彻落实西安市检验结果共享互认工作要求，采购人须通过信息化手段与西安市检验结果汇聚共享平台（以下简称“平台”）对接，实现检验结果数据的归集上传、共享互认及报告引用等功能。投标人应具备与本平台对接的技术能力，确保医院业务系统（HIS、LIS等）满足《西安检验结果汇聚共享平台接入手册V2.0》技术要求。</w:t>
      </w:r>
    </w:p>
    <w:p w14:paraId="14F2A18C">
      <w:pPr>
        <w:pStyle w:val="2"/>
        <w:numPr>
          <w:ilvl w:val="3"/>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2.1.2.总体技术要求</w:t>
      </w:r>
    </w:p>
    <w:p w14:paraId="227C1D7C">
      <w:pPr>
        <w:pStyle w:val="2"/>
        <w:numPr>
          <w:ilvl w:val="4"/>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2.1.2.1.对接架构</w:t>
      </w:r>
    </w:p>
    <w:p w14:paraId="5D211E5C">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采用REST API方式与平台交互，遵循HTTP协议。</w:t>
      </w:r>
    </w:p>
    <w:p w14:paraId="597FC2CC">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数据格式使用JSON，字符编码为UTF-8。</w:t>
      </w:r>
    </w:p>
    <w:p w14:paraId="67409E75">
      <w:pPr>
        <w:pStyle w:val="2"/>
        <w:snapToGrid w:val="0"/>
        <w:spacing w:line="360" w:lineRule="auto"/>
        <w:ind w:firstLine="400" w:firstLineChars="200"/>
        <w:rPr>
          <w:sz w:val="20"/>
          <w:szCs w:val="20"/>
        </w:rPr>
      </w:pPr>
      <w:r>
        <w:rPr>
          <w:rFonts w:ascii="Wingdings" w:hAnsi="Wingdings"/>
          <w:sz w:val="20"/>
          <w:szCs w:val="20"/>
        </w:rPr>
        <w:t></w:t>
      </w:r>
      <w:r>
        <w:rPr>
          <w:rFonts w:hint="eastAsia"/>
          <w:sz w:val="20"/>
          <w:szCs w:val="20"/>
        </w:rPr>
        <w:t>请求与响应Content-Type均为：application/json;charset=UTF-8。</w:t>
      </w:r>
    </w:p>
    <w:p w14:paraId="6D18296B">
      <w:pPr>
        <w:pStyle w:val="2"/>
        <w:numPr>
          <w:ilvl w:val="4"/>
          <w:numId w:val="0"/>
        </w:numPr>
        <w:tabs>
          <w:tab w:val="left" w:pos="1843"/>
        </w:tabs>
        <w:snapToGrid w:val="0"/>
        <w:spacing w:line="360" w:lineRule="auto"/>
        <w:ind w:firstLine="402" w:firstLineChars="200"/>
        <w:rPr>
          <w:b/>
          <w:sz w:val="20"/>
          <w:szCs w:val="20"/>
        </w:rPr>
      </w:pPr>
      <w:r>
        <w:rPr>
          <w:rFonts w:hint="eastAsia"/>
          <w:b/>
          <w:sz w:val="20"/>
          <w:szCs w:val="20"/>
        </w:rPr>
        <w:t>2.1.2.2.网络与安全要求</w:t>
      </w:r>
    </w:p>
    <w:p w14:paraId="4155E985">
      <w:pPr>
        <w:pStyle w:val="2"/>
        <w:snapToGrid w:val="0"/>
        <w:spacing w:line="360" w:lineRule="auto"/>
        <w:ind w:firstLine="400" w:firstLineChars="200"/>
        <w:rPr>
          <w:sz w:val="20"/>
          <w:szCs w:val="20"/>
        </w:rPr>
      </w:pPr>
      <w:r>
        <w:rPr>
          <w:rFonts w:ascii="Wingdings" w:hAnsi="Wingdings"/>
          <w:sz w:val="20"/>
          <w:szCs w:val="20"/>
        </w:rPr>
        <w:t></w:t>
      </w:r>
      <w:r>
        <w:rPr>
          <w:rFonts w:hint="eastAsia"/>
          <w:sz w:val="20"/>
          <w:szCs w:val="20"/>
        </w:rPr>
        <w:t>须通过西安市电子政务外网访问平台。</w:t>
      </w:r>
    </w:p>
    <w:p w14:paraId="5F960460">
      <w:pPr>
        <w:pStyle w:val="2"/>
        <w:snapToGrid w:val="0"/>
        <w:spacing w:line="360" w:lineRule="auto"/>
        <w:ind w:firstLine="400" w:firstLineChars="200"/>
        <w:rPr>
          <w:sz w:val="20"/>
          <w:szCs w:val="20"/>
        </w:rPr>
      </w:pPr>
      <w:r>
        <w:rPr>
          <w:rFonts w:ascii="Wingdings" w:hAnsi="Wingdings"/>
          <w:sz w:val="20"/>
          <w:szCs w:val="20"/>
        </w:rPr>
        <w:t></w:t>
      </w:r>
      <w:r>
        <w:rPr>
          <w:rFonts w:hint="eastAsia"/>
          <w:sz w:val="20"/>
          <w:szCs w:val="20"/>
        </w:rPr>
        <w:t>防火墙须开通指定IP及端口。</w:t>
      </w:r>
    </w:p>
    <w:p w14:paraId="2023497B">
      <w:pPr>
        <w:pStyle w:val="2"/>
        <w:snapToGrid w:val="0"/>
        <w:spacing w:line="360" w:lineRule="auto"/>
        <w:ind w:firstLine="400" w:firstLineChars="200"/>
        <w:rPr>
          <w:sz w:val="20"/>
          <w:szCs w:val="20"/>
        </w:rPr>
      </w:pPr>
      <w:r>
        <w:rPr>
          <w:rFonts w:ascii="Wingdings" w:hAnsi="Wingdings"/>
          <w:sz w:val="20"/>
          <w:szCs w:val="20"/>
        </w:rPr>
        <w:t></w:t>
      </w:r>
      <w:r>
        <w:rPr>
          <w:rFonts w:hint="eastAsia"/>
          <w:sz w:val="20"/>
          <w:szCs w:val="20"/>
        </w:rPr>
        <w:t>支持access_token授权方式，token有效期24小时，系统须具备token自动刷新或异常重试机制。</w:t>
      </w:r>
    </w:p>
    <w:p w14:paraId="627C7927">
      <w:pPr>
        <w:pStyle w:val="2"/>
        <w:numPr>
          <w:ilvl w:val="3"/>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2.1.3.接口对接要求</w:t>
      </w:r>
    </w:p>
    <w:p w14:paraId="3E6EE1FE">
      <w:pPr>
        <w:pStyle w:val="2"/>
        <w:numPr>
          <w:ilvl w:val="4"/>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2.1.3.1.公共请求头要求</w:t>
      </w:r>
    </w:p>
    <w:p w14:paraId="640F9023">
      <w:pPr>
        <w:pStyle w:val="2"/>
        <w:snapToGrid w:val="0"/>
        <w:spacing w:line="360" w:lineRule="auto"/>
        <w:ind w:firstLine="400" w:firstLineChars="200"/>
        <w:rPr>
          <w:sz w:val="20"/>
          <w:szCs w:val="20"/>
          <w:lang w:eastAsia="zh-CN"/>
        </w:rPr>
      </w:pPr>
      <w:r>
        <w:rPr>
          <w:rFonts w:hint="eastAsia"/>
          <w:sz w:val="20"/>
          <w:szCs w:val="20"/>
          <w:lang w:eastAsia="zh-CN"/>
        </w:rPr>
        <w:t>系统须在每次API调用中携带以下请求头：</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2"/>
        <w:gridCol w:w="5330"/>
      </w:tblGrid>
      <w:tr w14:paraId="60C7D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vAlign w:val="center"/>
          </w:tcPr>
          <w:p w14:paraId="55A78B95">
            <w:pPr>
              <w:pStyle w:val="2"/>
              <w:snapToGrid w:val="0"/>
              <w:spacing w:line="360" w:lineRule="auto"/>
              <w:jc w:val="center"/>
              <w:rPr>
                <w:b/>
                <w:sz w:val="20"/>
                <w:szCs w:val="20"/>
              </w:rPr>
            </w:pPr>
            <w:r>
              <w:rPr>
                <w:rFonts w:hint="eastAsia"/>
                <w:b/>
                <w:sz w:val="20"/>
                <w:szCs w:val="20"/>
              </w:rPr>
              <w:t>参数名</w:t>
            </w:r>
          </w:p>
        </w:tc>
        <w:tc>
          <w:tcPr>
            <w:tcW w:w="5330" w:type="dxa"/>
            <w:vAlign w:val="center"/>
          </w:tcPr>
          <w:p w14:paraId="7E4BAE52">
            <w:pPr>
              <w:pStyle w:val="2"/>
              <w:snapToGrid w:val="0"/>
              <w:spacing w:line="360" w:lineRule="auto"/>
              <w:jc w:val="center"/>
              <w:rPr>
                <w:b/>
                <w:sz w:val="20"/>
                <w:szCs w:val="20"/>
              </w:rPr>
            </w:pPr>
            <w:r>
              <w:rPr>
                <w:rFonts w:hint="eastAsia"/>
                <w:b/>
                <w:sz w:val="20"/>
                <w:szCs w:val="20"/>
              </w:rPr>
              <w:t>说明</w:t>
            </w:r>
          </w:p>
        </w:tc>
      </w:tr>
      <w:tr w14:paraId="77C5A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vAlign w:val="center"/>
          </w:tcPr>
          <w:p w14:paraId="34DB37D9">
            <w:pPr>
              <w:pStyle w:val="2"/>
              <w:snapToGrid w:val="0"/>
              <w:spacing w:line="360" w:lineRule="auto"/>
              <w:jc w:val="center"/>
              <w:rPr>
                <w:sz w:val="20"/>
                <w:szCs w:val="20"/>
              </w:rPr>
            </w:pPr>
            <w:r>
              <w:rPr>
                <w:rFonts w:hint="eastAsia"/>
                <w:sz w:val="20"/>
                <w:szCs w:val="20"/>
              </w:rPr>
              <w:t>authoritytype</w:t>
            </w:r>
          </w:p>
        </w:tc>
        <w:tc>
          <w:tcPr>
            <w:tcW w:w="5330" w:type="dxa"/>
          </w:tcPr>
          <w:p w14:paraId="0DA02FBA">
            <w:pPr>
              <w:pStyle w:val="2"/>
              <w:snapToGrid w:val="0"/>
              <w:spacing w:line="360" w:lineRule="auto"/>
              <w:rPr>
                <w:sz w:val="20"/>
                <w:szCs w:val="20"/>
              </w:rPr>
            </w:pPr>
            <w:r>
              <w:rPr>
                <w:rFonts w:hint="eastAsia"/>
                <w:sz w:val="20"/>
                <w:szCs w:val="20"/>
              </w:rPr>
              <w:t>固定为“2”（access_token认证）</w:t>
            </w:r>
          </w:p>
        </w:tc>
      </w:tr>
      <w:tr w14:paraId="1BF36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vAlign w:val="center"/>
          </w:tcPr>
          <w:p w14:paraId="4A96A5ED">
            <w:pPr>
              <w:pStyle w:val="2"/>
              <w:snapToGrid w:val="0"/>
              <w:spacing w:line="360" w:lineRule="auto"/>
              <w:jc w:val="center"/>
              <w:rPr>
                <w:sz w:val="20"/>
                <w:szCs w:val="20"/>
              </w:rPr>
            </w:pPr>
            <w:r>
              <w:rPr>
                <w:rFonts w:hint="eastAsia"/>
                <w:sz w:val="20"/>
                <w:szCs w:val="20"/>
              </w:rPr>
              <w:t>access_token</w:t>
            </w:r>
          </w:p>
        </w:tc>
        <w:tc>
          <w:tcPr>
            <w:tcW w:w="5330" w:type="dxa"/>
          </w:tcPr>
          <w:p w14:paraId="34FF8869">
            <w:pPr>
              <w:pStyle w:val="2"/>
              <w:snapToGrid w:val="0"/>
              <w:spacing w:line="360" w:lineRule="auto"/>
              <w:rPr>
                <w:sz w:val="20"/>
                <w:szCs w:val="20"/>
                <w:lang w:eastAsia="zh-CN"/>
              </w:rPr>
            </w:pPr>
            <w:r>
              <w:rPr>
                <w:rFonts w:hint="eastAsia"/>
                <w:sz w:val="20"/>
                <w:szCs w:val="20"/>
                <w:lang w:eastAsia="zh-CN"/>
              </w:rPr>
              <w:t>通过授权服务获取的令牌</w:t>
            </w:r>
          </w:p>
        </w:tc>
      </w:tr>
      <w:tr w14:paraId="3829E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vAlign w:val="center"/>
          </w:tcPr>
          <w:p w14:paraId="2ADF230E">
            <w:pPr>
              <w:pStyle w:val="2"/>
              <w:snapToGrid w:val="0"/>
              <w:spacing w:line="360" w:lineRule="auto"/>
              <w:jc w:val="center"/>
              <w:rPr>
                <w:sz w:val="20"/>
                <w:szCs w:val="20"/>
              </w:rPr>
            </w:pPr>
            <w:r>
              <w:rPr>
                <w:rFonts w:hint="eastAsia"/>
                <w:sz w:val="20"/>
                <w:szCs w:val="20"/>
              </w:rPr>
              <w:t>testmarker</w:t>
            </w:r>
          </w:p>
        </w:tc>
        <w:tc>
          <w:tcPr>
            <w:tcW w:w="5330" w:type="dxa"/>
          </w:tcPr>
          <w:p w14:paraId="72DD774F">
            <w:pPr>
              <w:pStyle w:val="2"/>
              <w:snapToGrid w:val="0"/>
              <w:spacing w:line="360" w:lineRule="auto"/>
              <w:rPr>
                <w:sz w:val="20"/>
                <w:szCs w:val="20"/>
              </w:rPr>
            </w:pPr>
            <w:r>
              <w:rPr>
                <w:rFonts w:hint="eastAsia"/>
                <w:sz w:val="20"/>
                <w:szCs w:val="20"/>
              </w:rPr>
              <w:t>正式环境为“0”</w:t>
            </w:r>
          </w:p>
        </w:tc>
      </w:tr>
      <w:tr w14:paraId="2E52E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vAlign w:val="center"/>
          </w:tcPr>
          <w:p w14:paraId="1C8DADBA">
            <w:pPr>
              <w:pStyle w:val="2"/>
              <w:snapToGrid w:val="0"/>
              <w:spacing w:line="360" w:lineRule="auto"/>
              <w:jc w:val="center"/>
              <w:rPr>
                <w:sz w:val="20"/>
                <w:szCs w:val="20"/>
              </w:rPr>
            </w:pPr>
            <w:r>
              <w:rPr>
                <w:rFonts w:hint="eastAsia"/>
                <w:sz w:val="20"/>
                <w:szCs w:val="20"/>
              </w:rPr>
              <w:t>heartbeat</w:t>
            </w:r>
          </w:p>
        </w:tc>
        <w:tc>
          <w:tcPr>
            <w:tcW w:w="5330" w:type="dxa"/>
          </w:tcPr>
          <w:p w14:paraId="4D73F60B">
            <w:pPr>
              <w:pStyle w:val="2"/>
              <w:snapToGrid w:val="0"/>
              <w:spacing w:line="360" w:lineRule="auto"/>
              <w:rPr>
                <w:sz w:val="20"/>
                <w:szCs w:val="20"/>
              </w:rPr>
            </w:pPr>
            <w:r>
              <w:rPr>
                <w:rFonts w:hint="eastAsia"/>
                <w:sz w:val="20"/>
                <w:szCs w:val="20"/>
              </w:rPr>
              <w:t>业务调用为“0”</w:t>
            </w:r>
          </w:p>
        </w:tc>
      </w:tr>
      <w:tr w14:paraId="7E631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vAlign w:val="center"/>
          </w:tcPr>
          <w:p w14:paraId="30442B8F">
            <w:pPr>
              <w:pStyle w:val="2"/>
              <w:snapToGrid w:val="0"/>
              <w:spacing w:line="360" w:lineRule="auto"/>
              <w:jc w:val="center"/>
              <w:rPr>
                <w:sz w:val="20"/>
                <w:szCs w:val="20"/>
              </w:rPr>
            </w:pPr>
            <w:r>
              <w:rPr>
                <w:rFonts w:hint="eastAsia"/>
                <w:sz w:val="20"/>
                <w:szCs w:val="20"/>
              </w:rPr>
              <w:t>elementsVersion</w:t>
            </w:r>
          </w:p>
        </w:tc>
        <w:tc>
          <w:tcPr>
            <w:tcW w:w="5330" w:type="dxa"/>
          </w:tcPr>
          <w:p w14:paraId="242A6092">
            <w:pPr>
              <w:pStyle w:val="2"/>
              <w:snapToGrid w:val="0"/>
              <w:spacing w:line="360" w:lineRule="auto"/>
              <w:rPr>
                <w:sz w:val="20"/>
                <w:szCs w:val="20"/>
              </w:rPr>
            </w:pPr>
            <w:r>
              <w:rPr>
                <w:rFonts w:hint="eastAsia"/>
                <w:sz w:val="20"/>
                <w:szCs w:val="20"/>
              </w:rPr>
              <w:t>版本号，如“1.00”</w:t>
            </w:r>
          </w:p>
        </w:tc>
      </w:tr>
      <w:tr w14:paraId="1DA27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vAlign w:val="center"/>
          </w:tcPr>
          <w:p w14:paraId="5F609B60">
            <w:pPr>
              <w:pStyle w:val="2"/>
              <w:snapToGrid w:val="0"/>
              <w:spacing w:line="360" w:lineRule="auto"/>
              <w:jc w:val="center"/>
              <w:rPr>
                <w:sz w:val="20"/>
                <w:szCs w:val="20"/>
              </w:rPr>
            </w:pPr>
            <w:r>
              <w:rPr>
                <w:rFonts w:hint="eastAsia"/>
                <w:sz w:val="20"/>
                <w:szCs w:val="20"/>
              </w:rPr>
              <w:t>sourceorgan</w:t>
            </w:r>
          </w:p>
        </w:tc>
        <w:tc>
          <w:tcPr>
            <w:tcW w:w="5330" w:type="dxa"/>
          </w:tcPr>
          <w:p w14:paraId="0C1D0FE2">
            <w:pPr>
              <w:pStyle w:val="2"/>
              <w:snapToGrid w:val="0"/>
              <w:spacing w:line="360" w:lineRule="auto"/>
              <w:rPr>
                <w:sz w:val="20"/>
                <w:szCs w:val="20"/>
              </w:rPr>
            </w:pPr>
            <w:r>
              <w:rPr>
                <w:rFonts w:hint="eastAsia"/>
                <w:sz w:val="20"/>
                <w:szCs w:val="20"/>
              </w:rPr>
              <w:t>机构编码</w:t>
            </w:r>
          </w:p>
        </w:tc>
      </w:tr>
      <w:tr w14:paraId="344E5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vAlign w:val="center"/>
          </w:tcPr>
          <w:p w14:paraId="1D400BE1">
            <w:pPr>
              <w:pStyle w:val="2"/>
              <w:snapToGrid w:val="0"/>
              <w:spacing w:line="360" w:lineRule="auto"/>
              <w:jc w:val="center"/>
              <w:rPr>
                <w:sz w:val="20"/>
                <w:szCs w:val="20"/>
              </w:rPr>
            </w:pPr>
            <w:r>
              <w:rPr>
                <w:rFonts w:hint="eastAsia"/>
                <w:sz w:val="20"/>
                <w:szCs w:val="20"/>
              </w:rPr>
              <w:t>sourcedomain</w:t>
            </w:r>
          </w:p>
        </w:tc>
        <w:tc>
          <w:tcPr>
            <w:tcW w:w="5330" w:type="dxa"/>
          </w:tcPr>
          <w:p w14:paraId="7C1018CA">
            <w:pPr>
              <w:pStyle w:val="2"/>
              <w:snapToGrid w:val="0"/>
              <w:spacing w:line="360" w:lineRule="auto"/>
              <w:rPr>
                <w:sz w:val="20"/>
                <w:szCs w:val="20"/>
                <w:lang w:eastAsia="zh-CN"/>
              </w:rPr>
            </w:pPr>
            <w:r>
              <w:rPr>
                <w:rFonts w:hint="eastAsia"/>
                <w:sz w:val="20"/>
                <w:szCs w:val="20"/>
                <w:lang w:eastAsia="zh-CN"/>
              </w:rPr>
              <w:t>接入系统编码（平台下发）</w:t>
            </w:r>
          </w:p>
        </w:tc>
      </w:tr>
      <w:tr w14:paraId="7F31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vAlign w:val="center"/>
          </w:tcPr>
          <w:p w14:paraId="12B6F86C">
            <w:pPr>
              <w:pStyle w:val="2"/>
              <w:snapToGrid w:val="0"/>
              <w:spacing w:line="360" w:lineRule="auto"/>
              <w:jc w:val="center"/>
              <w:rPr>
                <w:sz w:val="20"/>
                <w:szCs w:val="20"/>
              </w:rPr>
            </w:pPr>
            <w:r>
              <w:rPr>
                <w:rFonts w:hint="eastAsia"/>
                <w:sz w:val="20"/>
                <w:szCs w:val="20"/>
              </w:rPr>
              <w:t>targetdomain</w:t>
            </w:r>
          </w:p>
        </w:tc>
        <w:tc>
          <w:tcPr>
            <w:tcW w:w="5330" w:type="dxa"/>
          </w:tcPr>
          <w:p w14:paraId="4DA1F023">
            <w:pPr>
              <w:pStyle w:val="2"/>
              <w:snapToGrid w:val="0"/>
              <w:spacing w:line="360" w:lineRule="auto"/>
              <w:rPr>
                <w:sz w:val="20"/>
                <w:szCs w:val="20"/>
              </w:rPr>
            </w:pPr>
            <w:r>
              <w:rPr>
                <w:rFonts w:hint="eastAsia"/>
                <w:sz w:val="20"/>
                <w:szCs w:val="20"/>
              </w:rPr>
              <w:t>固定为“NTP0000001”</w:t>
            </w:r>
          </w:p>
        </w:tc>
      </w:tr>
      <w:tr w14:paraId="54991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vAlign w:val="center"/>
          </w:tcPr>
          <w:p w14:paraId="20F858C5">
            <w:pPr>
              <w:pStyle w:val="2"/>
              <w:snapToGrid w:val="0"/>
              <w:spacing w:line="360" w:lineRule="auto"/>
              <w:jc w:val="center"/>
              <w:rPr>
                <w:sz w:val="20"/>
                <w:szCs w:val="20"/>
              </w:rPr>
            </w:pPr>
            <w:r>
              <w:rPr>
                <w:rFonts w:hint="eastAsia"/>
                <w:sz w:val="20"/>
                <w:szCs w:val="20"/>
              </w:rPr>
              <w:t>Content-Encoding</w:t>
            </w:r>
          </w:p>
        </w:tc>
        <w:tc>
          <w:tcPr>
            <w:tcW w:w="5330" w:type="dxa"/>
          </w:tcPr>
          <w:p w14:paraId="2B072AF9">
            <w:pPr>
              <w:pStyle w:val="2"/>
              <w:snapToGrid w:val="0"/>
              <w:spacing w:line="360" w:lineRule="auto"/>
              <w:rPr>
                <w:sz w:val="20"/>
                <w:szCs w:val="20"/>
                <w:lang w:eastAsia="zh-CN"/>
              </w:rPr>
            </w:pPr>
            <w:r>
              <w:rPr>
                <w:rFonts w:hint="eastAsia"/>
                <w:sz w:val="20"/>
                <w:szCs w:val="20"/>
                <w:lang w:eastAsia="zh-CN"/>
              </w:rPr>
              <w:t>如使用压缩须为“gzip”</w:t>
            </w:r>
          </w:p>
        </w:tc>
      </w:tr>
    </w:tbl>
    <w:p w14:paraId="3C9560E5">
      <w:pPr>
        <w:pStyle w:val="2"/>
        <w:numPr>
          <w:ilvl w:val="4"/>
          <w:numId w:val="0"/>
        </w:numPr>
        <w:tabs>
          <w:tab w:val="left" w:pos="1843"/>
        </w:tabs>
        <w:snapToGrid w:val="0"/>
        <w:spacing w:line="360" w:lineRule="auto"/>
        <w:ind w:firstLine="402" w:firstLineChars="200"/>
        <w:rPr>
          <w:b/>
          <w:sz w:val="20"/>
          <w:szCs w:val="20"/>
        </w:rPr>
      </w:pPr>
      <w:r>
        <w:rPr>
          <w:rFonts w:hint="eastAsia"/>
          <w:b/>
          <w:sz w:val="20"/>
          <w:szCs w:val="20"/>
        </w:rPr>
        <w:t>2.1.3.2.授权码获取服务</w:t>
      </w:r>
    </w:p>
    <w:p w14:paraId="331CC98A">
      <w:pPr>
        <w:pStyle w:val="2"/>
        <w:snapToGrid w:val="0"/>
        <w:spacing w:line="360" w:lineRule="auto"/>
        <w:ind w:firstLine="400" w:firstLineChars="200"/>
        <w:rPr>
          <w:sz w:val="20"/>
          <w:szCs w:val="20"/>
        </w:rPr>
      </w:pPr>
      <w:r>
        <w:rPr>
          <w:rFonts w:ascii="Wingdings" w:hAnsi="Wingdings"/>
          <w:sz w:val="20"/>
          <w:szCs w:val="20"/>
        </w:rPr>
        <w:t></w:t>
      </w:r>
      <w:r>
        <w:rPr>
          <w:rFonts w:hint="eastAsia"/>
          <w:sz w:val="20"/>
          <w:szCs w:val="20"/>
        </w:rPr>
        <w:t>接口地址：http://10.17.83.194:8888/auth/accesstoken/create</w:t>
      </w:r>
    </w:p>
    <w:p w14:paraId="1DBE68BE">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请求方式：GET</w:t>
      </w:r>
    </w:p>
    <w:p w14:paraId="0A6BB261">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参数：appId、appSecret</w:t>
      </w:r>
    </w:p>
    <w:p w14:paraId="56AD39BC">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系统须具备token过期处理机制（定时刷新或异常重试）。</w:t>
      </w:r>
    </w:p>
    <w:p w14:paraId="221C53AE">
      <w:pPr>
        <w:pStyle w:val="2"/>
        <w:numPr>
          <w:ilvl w:val="3"/>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2.1.4.功能模块技术要求</w:t>
      </w:r>
    </w:p>
    <w:p w14:paraId="47BBD137">
      <w:pPr>
        <w:pStyle w:val="2"/>
        <w:numPr>
          <w:ilvl w:val="4"/>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2.1.4.1.检验结果数据归集服务</w:t>
      </w:r>
    </w:p>
    <w:p w14:paraId="1FB0B742">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按照《西安市检验结果汇聚共享平台-数据归集接口规范》实现数据上传。</w:t>
      </w:r>
    </w:p>
    <w:p w14:paraId="686058F4">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遵循《西安市卫生健康信息化标准规范第三部分：数据交互标准规范（第五章节 实验室检验部分）》开发数据集。</w:t>
      </w:r>
    </w:p>
    <w:p w14:paraId="5D2F7667">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支持《机构互认项目单价数据表【主】》的上传。</w:t>
      </w:r>
    </w:p>
    <w:p w14:paraId="2838EBF7">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支持事中质控：上传后可通过平台查看数据质量报告，系统须能根据质控反馈进行数据修正。</w:t>
      </w:r>
    </w:p>
    <w:p w14:paraId="03359EC3">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支持事后质控：平台定期生成质控报告，系统须支持问题数据整改。</w:t>
      </w:r>
    </w:p>
    <w:p w14:paraId="2FD1A84F">
      <w:pPr>
        <w:pStyle w:val="2"/>
        <w:numPr>
          <w:ilvl w:val="4"/>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2.1.4.2.检验结果共享互认服务</w:t>
      </w:r>
    </w:p>
    <w:p w14:paraId="2040EEAC">
      <w:pPr>
        <w:pStyle w:val="2"/>
        <w:snapToGrid w:val="0"/>
        <w:spacing w:line="360" w:lineRule="auto"/>
        <w:ind w:firstLine="400" w:firstLineChars="200"/>
        <w:rPr>
          <w:sz w:val="20"/>
          <w:szCs w:val="20"/>
          <w:lang w:eastAsia="zh-CN"/>
        </w:rPr>
      </w:pPr>
      <w:r>
        <w:rPr>
          <w:rFonts w:hint="eastAsia"/>
          <w:sz w:val="20"/>
          <w:szCs w:val="20"/>
          <w:lang w:eastAsia="zh-CN"/>
        </w:rPr>
        <w:t>系统须实现以下服务接口对接：</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4716"/>
        <w:gridCol w:w="2637"/>
      </w:tblGrid>
      <w:tr w14:paraId="79A28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14:paraId="1C5ACDD0">
            <w:pPr>
              <w:pStyle w:val="2"/>
              <w:snapToGrid w:val="0"/>
              <w:spacing w:line="360" w:lineRule="auto"/>
              <w:jc w:val="center"/>
              <w:rPr>
                <w:b/>
                <w:sz w:val="20"/>
                <w:szCs w:val="20"/>
              </w:rPr>
            </w:pPr>
            <w:r>
              <w:rPr>
                <w:rFonts w:hint="eastAsia"/>
                <w:b/>
                <w:sz w:val="20"/>
                <w:szCs w:val="20"/>
              </w:rPr>
              <w:t>服务名称</w:t>
            </w:r>
          </w:p>
        </w:tc>
        <w:tc>
          <w:tcPr>
            <w:tcW w:w="3827" w:type="dxa"/>
            <w:vAlign w:val="center"/>
          </w:tcPr>
          <w:p w14:paraId="7003A7D2">
            <w:pPr>
              <w:pStyle w:val="2"/>
              <w:snapToGrid w:val="0"/>
              <w:spacing w:line="360" w:lineRule="auto"/>
              <w:jc w:val="center"/>
              <w:rPr>
                <w:b/>
                <w:sz w:val="20"/>
                <w:szCs w:val="20"/>
              </w:rPr>
            </w:pPr>
            <w:r>
              <w:rPr>
                <w:rFonts w:hint="eastAsia"/>
                <w:b/>
                <w:sz w:val="20"/>
                <w:szCs w:val="20"/>
              </w:rPr>
              <w:t>接口地址</w:t>
            </w:r>
          </w:p>
        </w:tc>
        <w:tc>
          <w:tcPr>
            <w:tcW w:w="2637" w:type="dxa"/>
            <w:vAlign w:val="center"/>
          </w:tcPr>
          <w:p w14:paraId="29C4953E">
            <w:pPr>
              <w:pStyle w:val="2"/>
              <w:snapToGrid w:val="0"/>
              <w:spacing w:line="360" w:lineRule="auto"/>
              <w:jc w:val="center"/>
              <w:rPr>
                <w:b/>
                <w:sz w:val="20"/>
                <w:szCs w:val="20"/>
              </w:rPr>
            </w:pPr>
            <w:r>
              <w:rPr>
                <w:rFonts w:hint="eastAsia"/>
                <w:b/>
                <w:sz w:val="20"/>
                <w:szCs w:val="20"/>
              </w:rPr>
              <w:t>功能说明</w:t>
            </w:r>
          </w:p>
        </w:tc>
      </w:tr>
      <w:tr w14:paraId="2B0F1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78A1E87E">
            <w:pPr>
              <w:pStyle w:val="2"/>
              <w:snapToGrid w:val="0"/>
              <w:spacing w:line="360" w:lineRule="auto"/>
              <w:rPr>
                <w:sz w:val="20"/>
                <w:szCs w:val="20"/>
              </w:rPr>
            </w:pPr>
            <w:r>
              <w:rPr>
                <w:rFonts w:hint="eastAsia"/>
                <w:sz w:val="20"/>
                <w:szCs w:val="20"/>
              </w:rPr>
              <w:t>HR02-开单互认提醒</w:t>
            </w:r>
          </w:p>
        </w:tc>
        <w:tc>
          <w:tcPr>
            <w:tcW w:w="3827" w:type="dxa"/>
          </w:tcPr>
          <w:p w14:paraId="6419E214">
            <w:pPr>
              <w:pStyle w:val="2"/>
              <w:snapToGrid w:val="0"/>
              <w:spacing w:line="360" w:lineRule="auto"/>
              <w:rPr>
                <w:sz w:val="20"/>
                <w:szCs w:val="20"/>
              </w:rPr>
            </w:pPr>
            <w:r>
              <w:rPr>
                <w:rFonts w:hint="eastAsia"/>
                <w:sz w:val="20"/>
                <w:szCs w:val="20"/>
              </w:rPr>
              <w:t>/pmemr/productMutualRecognition/checkApply</w:t>
            </w:r>
          </w:p>
        </w:tc>
        <w:tc>
          <w:tcPr>
            <w:tcW w:w="2637" w:type="dxa"/>
          </w:tcPr>
          <w:p w14:paraId="4A36F098">
            <w:pPr>
              <w:pStyle w:val="2"/>
              <w:snapToGrid w:val="0"/>
              <w:spacing w:line="360" w:lineRule="auto"/>
              <w:rPr>
                <w:sz w:val="20"/>
                <w:szCs w:val="20"/>
                <w:lang w:eastAsia="zh-CN"/>
              </w:rPr>
            </w:pPr>
            <w:r>
              <w:rPr>
                <w:rFonts w:hint="eastAsia"/>
                <w:sz w:val="20"/>
                <w:szCs w:val="20"/>
                <w:lang w:eastAsia="zh-CN"/>
              </w:rPr>
              <w:t>开单时查询患者是否存在可互认报告</w:t>
            </w:r>
          </w:p>
        </w:tc>
      </w:tr>
      <w:tr w14:paraId="07B08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6A0088ED">
            <w:pPr>
              <w:pStyle w:val="2"/>
              <w:snapToGrid w:val="0"/>
              <w:spacing w:line="360" w:lineRule="auto"/>
              <w:rPr>
                <w:sz w:val="20"/>
                <w:szCs w:val="20"/>
                <w:lang w:eastAsia="zh-CN"/>
              </w:rPr>
            </w:pPr>
            <w:r>
              <w:rPr>
                <w:rFonts w:hint="eastAsia"/>
                <w:sz w:val="20"/>
                <w:szCs w:val="20"/>
                <w:lang w:eastAsia="zh-CN"/>
              </w:rPr>
              <w:t>HR03-互认提醒处理结果查询（可选）</w:t>
            </w:r>
          </w:p>
        </w:tc>
        <w:tc>
          <w:tcPr>
            <w:tcW w:w="3827" w:type="dxa"/>
          </w:tcPr>
          <w:p w14:paraId="20FFB454">
            <w:pPr>
              <w:pStyle w:val="2"/>
              <w:snapToGrid w:val="0"/>
              <w:spacing w:line="360" w:lineRule="auto"/>
              <w:rPr>
                <w:sz w:val="20"/>
                <w:szCs w:val="20"/>
              </w:rPr>
            </w:pPr>
            <w:r>
              <w:rPr>
                <w:rFonts w:hint="eastAsia"/>
                <w:sz w:val="20"/>
                <w:szCs w:val="20"/>
              </w:rPr>
              <w:t>/pmemr/productMutualRecognition/getCheckInfo</w:t>
            </w:r>
          </w:p>
        </w:tc>
        <w:tc>
          <w:tcPr>
            <w:tcW w:w="2637" w:type="dxa"/>
          </w:tcPr>
          <w:p w14:paraId="56992B12">
            <w:pPr>
              <w:pStyle w:val="2"/>
              <w:snapToGrid w:val="0"/>
              <w:spacing w:line="360" w:lineRule="auto"/>
              <w:rPr>
                <w:sz w:val="20"/>
                <w:szCs w:val="20"/>
                <w:lang w:eastAsia="zh-CN"/>
              </w:rPr>
            </w:pPr>
            <w:r>
              <w:rPr>
                <w:rFonts w:hint="eastAsia"/>
                <w:sz w:val="20"/>
                <w:szCs w:val="20"/>
                <w:lang w:eastAsia="zh-CN"/>
              </w:rPr>
              <w:t>查询互认处理结果，用于开单阻断</w:t>
            </w:r>
          </w:p>
        </w:tc>
      </w:tr>
      <w:tr w14:paraId="67731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3D79BFA7">
            <w:pPr>
              <w:pStyle w:val="2"/>
              <w:snapToGrid w:val="0"/>
              <w:spacing w:line="360" w:lineRule="auto"/>
              <w:rPr>
                <w:sz w:val="20"/>
                <w:szCs w:val="20"/>
                <w:lang w:eastAsia="zh-CN"/>
              </w:rPr>
            </w:pPr>
            <w:r>
              <w:rPr>
                <w:rFonts w:hint="eastAsia"/>
                <w:sz w:val="20"/>
                <w:szCs w:val="20"/>
                <w:lang w:eastAsia="zh-CN"/>
              </w:rPr>
              <w:t>HR04-互认报告导入申请</w:t>
            </w:r>
          </w:p>
        </w:tc>
        <w:tc>
          <w:tcPr>
            <w:tcW w:w="3827" w:type="dxa"/>
          </w:tcPr>
          <w:p w14:paraId="3A2BA5C3">
            <w:pPr>
              <w:pStyle w:val="2"/>
              <w:snapToGrid w:val="0"/>
              <w:spacing w:line="360" w:lineRule="auto"/>
              <w:rPr>
                <w:sz w:val="20"/>
                <w:szCs w:val="20"/>
              </w:rPr>
            </w:pPr>
            <w:r>
              <w:rPr>
                <w:rFonts w:hint="eastAsia"/>
                <w:sz w:val="20"/>
                <w:szCs w:val="20"/>
              </w:rPr>
              <w:t>/pmemr/productMutualRecognition/importApply</w:t>
            </w:r>
          </w:p>
        </w:tc>
        <w:tc>
          <w:tcPr>
            <w:tcW w:w="2637" w:type="dxa"/>
          </w:tcPr>
          <w:p w14:paraId="46DFE14D">
            <w:pPr>
              <w:pStyle w:val="2"/>
              <w:snapToGrid w:val="0"/>
              <w:spacing w:line="360" w:lineRule="auto"/>
              <w:rPr>
                <w:sz w:val="20"/>
                <w:szCs w:val="20"/>
                <w:lang w:eastAsia="zh-CN"/>
              </w:rPr>
            </w:pPr>
            <w:r>
              <w:rPr>
                <w:rFonts w:hint="eastAsia"/>
                <w:sz w:val="20"/>
                <w:szCs w:val="20"/>
                <w:lang w:eastAsia="zh-CN"/>
              </w:rPr>
              <w:t>获取互认报告URL，用于病历引用</w:t>
            </w:r>
          </w:p>
        </w:tc>
      </w:tr>
      <w:tr w14:paraId="7DEA6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64465C98">
            <w:pPr>
              <w:pStyle w:val="2"/>
              <w:snapToGrid w:val="0"/>
              <w:spacing w:line="360" w:lineRule="auto"/>
              <w:rPr>
                <w:sz w:val="20"/>
                <w:szCs w:val="20"/>
                <w:lang w:eastAsia="zh-CN"/>
              </w:rPr>
            </w:pPr>
            <w:r>
              <w:rPr>
                <w:rFonts w:hint="eastAsia"/>
                <w:sz w:val="20"/>
                <w:szCs w:val="20"/>
                <w:lang w:eastAsia="zh-CN"/>
              </w:rPr>
              <w:t>HR05-导入内容查询（可选）</w:t>
            </w:r>
          </w:p>
        </w:tc>
        <w:tc>
          <w:tcPr>
            <w:tcW w:w="3827" w:type="dxa"/>
          </w:tcPr>
          <w:p w14:paraId="1B742485">
            <w:pPr>
              <w:pStyle w:val="2"/>
              <w:snapToGrid w:val="0"/>
              <w:spacing w:line="360" w:lineRule="auto"/>
              <w:rPr>
                <w:sz w:val="20"/>
                <w:szCs w:val="20"/>
              </w:rPr>
            </w:pPr>
            <w:r>
              <w:rPr>
                <w:rFonts w:hint="eastAsia"/>
                <w:sz w:val="20"/>
                <w:szCs w:val="20"/>
              </w:rPr>
              <w:t>/pmemr/productMutualRecognition/getImportInfo</w:t>
            </w:r>
            <w:r>
              <w:rPr>
                <w:rFonts w:hint="eastAsia"/>
                <w:sz w:val="20"/>
                <w:szCs w:val="20"/>
              </w:rPr>
              <w:tab/>
            </w:r>
          </w:p>
        </w:tc>
        <w:tc>
          <w:tcPr>
            <w:tcW w:w="2637" w:type="dxa"/>
          </w:tcPr>
          <w:p w14:paraId="0C5D2E89">
            <w:pPr>
              <w:pStyle w:val="2"/>
              <w:snapToGrid w:val="0"/>
              <w:spacing w:line="360" w:lineRule="auto"/>
              <w:rPr>
                <w:sz w:val="20"/>
                <w:szCs w:val="20"/>
                <w:lang w:eastAsia="zh-CN"/>
              </w:rPr>
            </w:pPr>
            <w:r>
              <w:rPr>
                <w:rFonts w:hint="eastAsia"/>
                <w:sz w:val="20"/>
                <w:szCs w:val="20"/>
                <w:lang w:eastAsia="zh-CN"/>
              </w:rPr>
              <w:t>获取导入的互认项目内容</w:t>
            </w:r>
          </w:p>
        </w:tc>
      </w:tr>
    </w:tbl>
    <w:p w14:paraId="7A5C2E43">
      <w:pPr>
        <w:pStyle w:val="2"/>
        <w:numPr>
          <w:ilvl w:val="5"/>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2.1.4.2.1.开单互认提醒场景</w:t>
      </w:r>
    </w:p>
    <w:p w14:paraId="6FEDD2A2">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HIS系统在开立检验项目时调用HR02，若返回可互认标识为true，系统须能打开返回的URL页面，供医生查看互认报告。</w:t>
      </w:r>
    </w:p>
    <w:p w14:paraId="26D54260">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医生完成互认操作后，系统可选调用HR03实现开单阻断提醒。</w:t>
      </w:r>
    </w:p>
    <w:p w14:paraId="06303476">
      <w:pPr>
        <w:pStyle w:val="2"/>
        <w:numPr>
          <w:ilvl w:val="5"/>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2.1.4.2.2.互认报告引用场景</w:t>
      </w:r>
    </w:p>
    <w:p w14:paraId="667F6ECB">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医生撰写病历时，系统调用HR04获取互认报告URL并打开。</w:t>
      </w:r>
    </w:p>
    <w:p w14:paraId="4745E92B">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支持两种引用模式：</w:t>
      </w:r>
    </w:p>
    <w:p w14:paraId="02B42D00">
      <w:pPr>
        <w:pStyle w:val="2"/>
        <w:numPr>
          <w:ilvl w:val="1"/>
          <w:numId w:val="0"/>
        </w:numPr>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模式一：医生手动复制粘贴结果。</w:t>
      </w:r>
    </w:p>
    <w:p w14:paraId="652DF6DA">
      <w:pPr>
        <w:pStyle w:val="2"/>
        <w:numPr>
          <w:ilvl w:val="1"/>
          <w:numId w:val="0"/>
        </w:numPr>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模式二：系统调用HR05获取导入内容并自动插入病历。</w:t>
      </w:r>
    </w:p>
    <w:p w14:paraId="69E68FAF">
      <w:pPr>
        <w:pStyle w:val="2"/>
        <w:numPr>
          <w:ilvl w:val="5"/>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2.1.4.2.3.页面集成要求</w:t>
      </w:r>
    </w:p>
    <w:p w14:paraId="5258A1CC">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支持弹窗嵌入互认页面，监听URL变化（如about:blank或blank.html）自动关闭弹窗。</w:t>
      </w:r>
    </w:p>
    <w:p w14:paraId="68D8CC74">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支持新窗口打开互认页面，由互认系统自动关闭。</w:t>
      </w:r>
    </w:p>
    <w:p w14:paraId="0B6B32F3">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须实现超时熔断机制，避免接口阻塞影响HIS正常业务。</w:t>
      </w:r>
    </w:p>
    <w:p w14:paraId="3458E955">
      <w:pPr>
        <w:pStyle w:val="2"/>
        <w:numPr>
          <w:ilvl w:val="3"/>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2.1.5.平台前期准备支持</w:t>
      </w:r>
    </w:p>
    <w:p w14:paraId="708C852B">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系统须支持通过平台下发账号完成首次登录、密码修改。</w:t>
      </w:r>
    </w:p>
    <w:p w14:paraId="7285C3CA">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支持在信息资源发布共享平台中完成：</w:t>
      </w:r>
    </w:p>
    <w:p w14:paraId="1E624015">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开发者账号申请</w:t>
      </w:r>
    </w:p>
    <w:p w14:paraId="35926AB5">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appid和密钥获取</w:t>
      </w:r>
    </w:p>
    <w:p w14:paraId="119CE97C">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服务订阅（数据归集、HR02、HR03、HR04、HR05）</w:t>
      </w:r>
    </w:p>
    <w:p w14:paraId="143E1179">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支持查看服务的调阅地址、参数、响应信息。</w:t>
      </w:r>
    </w:p>
    <w:p w14:paraId="4730AE1E">
      <w:pPr>
        <w:pStyle w:val="2"/>
        <w:numPr>
          <w:ilvl w:val="3"/>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2.1.6.性能与可靠性要求</w:t>
      </w:r>
    </w:p>
    <w:p w14:paraId="7253D377">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接口调用须具备重试机制、熔断机制、超时控制。</w:t>
      </w:r>
    </w:p>
    <w:p w14:paraId="21095B24">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支持大数据量上传时的压缩传输（如gzip）。</w:t>
      </w:r>
    </w:p>
    <w:p w14:paraId="66F61EEA">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系统应具备日志记录能力，便于排查接口调用问题。</w:t>
      </w:r>
    </w:p>
    <w:p w14:paraId="4200B1A1">
      <w:pPr>
        <w:pStyle w:val="2"/>
        <w:numPr>
          <w:ilvl w:val="3"/>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2.1.7.文档与培训要求</w:t>
      </w:r>
    </w:p>
    <w:p w14:paraId="5A73CC44">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投标人须提供详细的《接口对接方案》和《系统部署与配置手册》。</w:t>
      </w:r>
    </w:p>
    <w:p w14:paraId="2D5B0EC7">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提供对医院信息科及业务科室的操作培训与技术交接培训。</w:t>
      </w:r>
    </w:p>
    <w:p w14:paraId="62CDACF5">
      <w:pPr>
        <w:pStyle w:val="2"/>
        <w:numPr>
          <w:ilvl w:val="3"/>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2.1.8.验收标准及实施交付期限</w:t>
      </w:r>
    </w:p>
    <w:p w14:paraId="0FB145B2">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成功完成与西安市检验结果汇聚共享平台的数据归集服务对接，并能通过事中/事后质控。</w:t>
      </w:r>
    </w:p>
    <w:p w14:paraId="6116A83A">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成功完成HR02、HR04等共享互认服务对接，医生端可正常使用互认提醒与报告引用功能。</w:t>
      </w:r>
    </w:p>
    <w:p w14:paraId="1335C726">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系统运行稳定，无因对接导致的业务中断或性能下降。</w:t>
      </w:r>
    </w:p>
    <w:p w14:paraId="48A28B36">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项目实施交付期限：自合同签定之日起15个工作日内。</w:t>
      </w:r>
    </w:p>
    <w:p w14:paraId="5DA51A42">
      <w:pPr>
        <w:pStyle w:val="17"/>
        <w:snapToGrid w:val="0"/>
        <w:spacing w:line="360" w:lineRule="auto"/>
        <w:ind w:firstLine="402"/>
        <w:rPr>
          <w:rFonts w:ascii="仿宋" w:hAnsi="仿宋" w:eastAsia="仿宋" w:cs="仿宋"/>
          <w:b/>
          <w:vanish/>
          <w:sz w:val="20"/>
          <w:szCs w:val="20"/>
        </w:rPr>
      </w:pPr>
      <w:r>
        <w:rPr>
          <w:rFonts w:hint="eastAsia" w:ascii="仿宋" w:hAnsi="仿宋" w:eastAsia="仿宋" w:cs="仿宋"/>
          <w:b/>
          <w:vanish/>
          <w:sz w:val="20"/>
          <w:szCs w:val="20"/>
        </w:rPr>
        <w:t>1.</w:t>
      </w:r>
    </w:p>
    <w:p w14:paraId="67E97732">
      <w:pPr>
        <w:pStyle w:val="17"/>
        <w:snapToGrid w:val="0"/>
        <w:spacing w:line="360" w:lineRule="auto"/>
        <w:ind w:firstLine="402"/>
        <w:rPr>
          <w:rFonts w:ascii="仿宋" w:hAnsi="仿宋" w:eastAsia="仿宋" w:cs="仿宋"/>
          <w:b/>
          <w:vanish/>
          <w:sz w:val="20"/>
          <w:szCs w:val="20"/>
        </w:rPr>
      </w:pPr>
      <w:r>
        <w:rPr>
          <w:rFonts w:hint="eastAsia" w:ascii="仿宋" w:hAnsi="仿宋" w:eastAsia="仿宋" w:cs="仿宋"/>
          <w:b/>
          <w:vanish/>
          <w:sz w:val="20"/>
          <w:szCs w:val="20"/>
        </w:rPr>
        <w:t>2.</w:t>
      </w:r>
    </w:p>
    <w:p w14:paraId="0A9DB3EB">
      <w:pPr>
        <w:pStyle w:val="17"/>
        <w:snapToGrid w:val="0"/>
        <w:spacing w:line="360" w:lineRule="auto"/>
        <w:ind w:firstLine="402"/>
        <w:rPr>
          <w:rFonts w:ascii="仿宋" w:hAnsi="仿宋" w:eastAsia="仿宋" w:cs="仿宋"/>
          <w:b/>
          <w:vanish/>
          <w:sz w:val="20"/>
          <w:szCs w:val="20"/>
        </w:rPr>
      </w:pPr>
      <w:r>
        <w:rPr>
          <w:rFonts w:hint="eastAsia" w:ascii="仿宋" w:hAnsi="仿宋" w:eastAsia="仿宋" w:cs="仿宋"/>
          <w:b/>
          <w:vanish/>
          <w:sz w:val="20"/>
          <w:szCs w:val="20"/>
        </w:rPr>
        <w:t>3.</w:t>
      </w:r>
    </w:p>
    <w:p w14:paraId="061934ED">
      <w:pPr>
        <w:pStyle w:val="17"/>
        <w:snapToGrid w:val="0"/>
        <w:spacing w:line="360" w:lineRule="auto"/>
        <w:ind w:firstLine="402"/>
        <w:rPr>
          <w:rFonts w:ascii="仿宋" w:hAnsi="仿宋" w:eastAsia="仿宋" w:cs="仿宋"/>
          <w:b/>
          <w:vanish/>
          <w:sz w:val="20"/>
          <w:szCs w:val="20"/>
        </w:rPr>
      </w:pPr>
      <w:r>
        <w:rPr>
          <w:rFonts w:hint="eastAsia" w:ascii="仿宋" w:hAnsi="仿宋" w:eastAsia="仿宋" w:cs="仿宋"/>
          <w:b/>
          <w:vanish/>
          <w:sz w:val="20"/>
          <w:szCs w:val="20"/>
        </w:rPr>
        <w:t>4.</w:t>
      </w:r>
    </w:p>
    <w:p w14:paraId="7C3C1EEB">
      <w:pPr>
        <w:pStyle w:val="17"/>
        <w:numPr>
          <w:ilvl w:val="1"/>
          <w:numId w:val="0"/>
        </w:numPr>
        <w:snapToGrid w:val="0"/>
        <w:spacing w:line="360" w:lineRule="auto"/>
        <w:ind w:firstLine="402" w:firstLineChars="200"/>
        <w:rPr>
          <w:rFonts w:ascii="仿宋" w:hAnsi="仿宋" w:eastAsia="仿宋" w:cs="仿宋"/>
          <w:b/>
          <w:vanish/>
          <w:sz w:val="20"/>
          <w:szCs w:val="20"/>
        </w:rPr>
      </w:pPr>
      <w:r>
        <w:rPr>
          <w:rFonts w:hint="eastAsia" w:ascii="仿宋" w:hAnsi="仿宋" w:eastAsia="仿宋" w:cs="仿宋"/>
          <w:b/>
          <w:vanish/>
          <w:sz w:val="20"/>
          <w:szCs w:val="20"/>
        </w:rPr>
        <w:t>4.1.</w:t>
      </w:r>
    </w:p>
    <w:p w14:paraId="3E11C1A6">
      <w:pPr>
        <w:pStyle w:val="17"/>
        <w:numPr>
          <w:ilvl w:val="1"/>
          <w:numId w:val="0"/>
        </w:numPr>
        <w:snapToGrid w:val="0"/>
        <w:spacing w:line="360" w:lineRule="auto"/>
        <w:ind w:firstLine="402" w:firstLineChars="200"/>
        <w:rPr>
          <w:rFonts w:ascii="仿宋" w:hAnsi="仿宋" w:eastAsia="仿宋" w:cs="仿宋"/>
          <w:b/>
          <w:vanish/>
          <w:sz w:val="20"/>
          <w:szCs w:val="20"/>
        </w:rPr>
      </w:pPr>
      <w:r>
        <w:rPr>
          <w:rFonts w:hint="eastAsia" w:ascii="仿宋" w:hAnsi="仿宋" w:eastAsia="仿宋" w:cs="仿宋"/>
          <w:b/>
          <w:vanish/>
          <w:sz w:val="20"/>
          <w:szCs w:val="20"/>
        </w:rPr>
        <w:t>4.2.</w:t>
      </w:r>
    </w:p>
    <w:p w14:paraId="7DBF4C1C">
      <w:pPr>
        <w:pStyle w:val="17"/>
        <w:numPr>
          <w:ilvl w:val="2"/>
          <w:numId w:val="0"/>
        </w:numPr>
        <w:snapToGrid w:val="0"/>
        <w:spacing w:line="360" w:lineRule="auto"/>
        <w:ind w:firstLine="402" w:firstLineChars="200"/>
        <w:rPr>
          <w:rFonts w:ascii="仿宋" w:hAnsi="仿宋" w:eastAsia="仿宋" w:cs="仿宋"/>
          <w:b/>
          <w:vanish/>
          <w:sz w:val="20"/>
          <w:szCs w:val="20"/>
        </w:rPr>
      </w:pPr>
      <w:r>
        <w:rPr>
          <w:rFonts w:hint="eastAsia" w:ascii="仿宋" w:hAnsi="仿宋" w:eastAsia="仿宋" w:cs="仿宋"/>
          <w:b/>
          <w:vanish/>
          <w:sz w:val="20"/>
          <w:szCs w:val="20"/>
        </w:rPr>
        <w:t>4.2.1.</w:t>
      </w:r>
    </w:p>
    <w:p w14:paraId="72074604">
      <w:pPr>
        <w:pStyle w:val="2"/>
        <w:numPr>
          <w:ilvl w:val="2"/>
          <w:numId w:val="0"/>
        </w:numPr>
        <w:tabs>
          <w:tab w:val="left" w:pos="851"/>
        </w:tabs>
        <w:snapToGrid w:val="0"/>
        <w:spacing w:line="360" w:lineRule="auto"/>
        <w:ind w:firstLine="402" w:firstLineChars="200"/>
        <w:rPr>
          <w:b/>
          <w:sz w:val="20"/>
          <w:szCs w:val="20"/>
          <w:lang w:eastAsia="zh-CN"/>
        </w:rPr>
      </w:pPr>
      <w:r>
        <w:rPr>
          <w:rFonts w:hint="eastAsia"/>
          <w:b/>
          <w:sz w:val="20"/>
          <w:szCs w:val="20"/>
          <w:lang w:eastAsia="zh-CN"/>
        </w:rPr>
        <w:t>2.2.医师权限管理模块升级及其接口改造技术要求</w:t>
      </w:r>
    </w:p>
    <w:p w14:paraId="6ABD1182">
      <w:pPr>
        <w:pStyle w:val="17"/>
        <w:numPr>
          <w:ilvl w:val="2"/>
          <w:numId w:val="0"/>
        </w:numPr>
        <w:tabs>
          <w:tab w:val="left" w:pos="1843"/>
        </w:tabs>
        <w:snapToGrid w:val="0"/>
        <w:spacing w:line="360" w:lineRule="auto"/>
        <w:ind w:firstLine="402" w:firstLineChars="200"/>
        <w:rPr>
          <w:rFonts w:ascii="仿宋" w:hAnsi="仿宋" w:eastAsia="仿宋" w:cs="仿宋"/>
          <w:b/>
          <w:vanish/>
          <w:sz w:val="20"/>
          <w:szCs w:val="20"/>
        </w:rPr>
      </w:pPr>
      <w:r>
        <w:rPr>
          <w:rFonts w:hint="eastAsia" w:ascii="仿宋" w:hAnsi="仿宋" w:eastAsia="仿宋" w:cs="仿宋"/>
          <w:b/>
          <w:vanish/>
          <w:sz w:val="20"/>
          <w:szCs w:val="20"/>
        </w:rPr>
        <w:t>4.2.2.</w:t>
      </w:r>
    </w:p>
    <w:p w14:paraId="3B76A68F">
      <w:pPr>
        <w:pStyle w:val="2"/>
        <w:numPr>
          <w:ilvl w:val="3"/>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2.2.1.项目建设目标</w:t>
      </w:r>
    </w:p>
    <w:p w14:paraId="7618A2F2">
      <w:pPr>
        <w:pStyle w:val="2"/>
        <w:snapToGrid w:val="0"/>
        <w:spacing w:line="360" w:lineRule="auto"/>
        <w:ind w:firstLine="400" w:firstLineChars="200"/>
        <w:rPr>
          <w:sz w:val="20"/>
          <w:szCs w:val="20"/>
          <w:lang w:eastAsia="zh-CN"/>
        </w:rPr>
      </w:pPr>
      <w:r>
        <w:rPr>
          <w:rFonts w:hint="eastAsia"/>
          <w:sz w:val="20"/>
          <w:szCs w:val="20"/>
          <w:lang w:eastAsia="zh-CN"/>
        </w:rPr>
        <w:t>为响应国家相关政策法规要求，提升医师开立处方及诊疗活动的合规性，构建一套可配置、可视化、可授权的医师开立权管理系统，实现对诊疗项目、药品、卫材等开立权限的精细化控制，满足医院内部管理及外部监管的双重需求。</w:t>
      </w:r>
    </w:p>
    <w:p w14:paraId="4086F3BB">
      <w:pPr>
        <w:pStyle w:val="2"/>
        <w:numPr>
          <w:ilvl w:val="3"/>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2.2.2.总体技术要求</w:t>
      </w:r>
    </w:p>
    <w:p w14:paraId="2CAAC24D">
      <w:pPr>
        <w:pStyle w:val="2"/>
        <w:numPr>
          <w:ilvl w:val="4"/>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2.2.2.1.一体化集成能力</w:t>
      </w:r>
    </w:p>
    <w:p w14:paraId="5B2D24A9">
      <w:pPr>
        <w:pStyle w:val="2"/>
        <w:snapToGrid w:val="0"/>
        <w:spacing w:line="360" w:lineRule="auto"/>
        <w:ind w:firstLine="400" w:firstLineChars="200"/>
        <w:rPr>
          <w:sz w:val="20"/>
          <w:szCs w:val="20"/>
          <w:lang w:eastAsia="zh-CN"/>
        </w:rPr>
      </w:pPr>
      <w:r>
        <w:rPr>
          <w:rFonts w:hint="eastAsia"/>
          <w:sz w:val="20"/>
          <w:szCs w:val="20"/>
          <w:lang w:eastAsia="zh-CN"/>
        </w:rPr>
        <w:t>系统需支持与医院现有HIS系统一体化应用，同时支持独立部署与升级。需与HIS系统共用账户及密码体系，实现统一身份认证。</w:t>
      </w:r>
    </w:p>
    <w:p w14:paraId="7AFDF1E3">
      <w:pPr>
        <w:pStyle w:val="2"/>
        <w:numPr>
          <w:ilvl w:val="4"/>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2.2.2.2.平台支持能力</w:t>
      </w:r>
    </w:p>
    <w:p w14:paraId="06F799C5">
      <w:pPr>
        <w:pStyle w:val="2"/>
        <w:snapToGrid w:val="0"/>
        <w:spacing w:line="360" w:lineRule="auto"/>
        <w:ind w:firstLine="400" w:firstLineChars="200"/>
        <w:rPr>
          <w:sz w:val="20"/>
          <w:szCs w:val="20"/>
          <w:lang w:eastAsia="zh-CN"/>
        </w:rPr>
      </w:pPr>
      <w:r>
        <w:rPr>
          <w:rFonts w:hint="eastAsia"/>
          <w:sz w:val="20"/>
          <w:szCs w:val="20"/>
          <w:lang w:eastAsia="zh-CN"/>
        </w:rPr>
        <w:t>支持国产芯片服务器（如：海光、麒麟、兆芯等），国产操作系统（如：麒麟、统信）。</w:t>
      </w:r>
    </w:p>
    <w:p w14:paraId="67060CBE">
      <w:pPr>
        <w:pStyle w:val="2"/>
        <w:numPr>
          <w:ilvl w:val="3"/>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2.2.3.功能要求</w:t>
      </w:r>
    </w:p>
    <w:p w14:paraId="009E56D3">
      <w:pPr>
        <w:pStyle w:val="2"/>
        <w:numPr>
          <w:ilvl w:val="4"/>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2.2.3.1.诊疗附加属性管理</w:t>
      </w:r>
    </w:p>
    <w:p w14:paraId="499E6F9C">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支持对诊疗项目附加属性及属性值域进行增、删、改操作。</w:t>
      </w:r>
    </w:p>
    <w:p w14:paraId="2AFF65F4">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可将属性及值域设置到具体诊疗项目中，作为开立控制规则的判断条件。</w:t>
      </w:r>
    </w:p>
    <w:p w14:paraId="70E7047A">
      <w:pPr>
        <w:pStyle w:val="2"/>
        <w:numPr>
          <w:ilvl w:val="4"/>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2.2.3.2.开立控制规则配置</w:t>
      </w:r>
    </w:p>
    <w:p w14:paraId="11125173">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支持开立方案、开立内容、开立规则的新增、修改、删除、停用。</w:t>
      </w:r>
    </w:p>
    <w:p w14:paraId="6EBDC6ED">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支持诊疗申请单格式及内容配置。</w:t>
      </w:r>
    </w:p>
    <w:p w14:paraId="37D93D1F">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支持按病人身份属性设置适用人群。</w:t>
      </w:r>
    </w:p>
    <w:p w14:paraId="16CF5530">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支持检验项目重复开立的规则控制。</w:t>
      </w:r>
    </w:p>
    <w:p w14:paraId="2DB9E958">
      <w:pPr>
        <w:pStyle w:val="2"/>
        <w:numPr>
          <w:ilvl w:val="4"/>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2.2.3.3.控制方式</w:t>
      </w:r>
    </w:p>
    <w:p w14:paraId="220F79B3">
      <w:pPr>
        <w:pStyle w:val="2"/>
        <w:snapToGrid w:val="0"/>
        <w:spacing w:line="360" w:lineRule="auto"/>
        <w:ind w:firstLine="400" w:firstLineChars="200"/>
        <w:rPr>
          <w:sz w:val="20"/>
          <w:szCs w:val="20"/>
          <w:lang w:eastAsia="zh-CN"/>
        </w:rPr>
      </w:pPr>
      <w:r>
        <w:rPr>
          <w:rFonts w:hint="eastAsia"/>
          <w:sz w:val="20"/>
          <w:szCs w:val="20"/>
          <w:lang w:eastAsia="zh-CN"/>
        </w:rPr>
        <w:t>系统至少支持以下控制模式：</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51"/>
        <w:gridCol w:w="4151"/>
      </w:tblGrid>
      <w:tr w14:paraId="7B1A4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1" w:type="dxa"/>
            <w:vAlign w:val="center"/>
          </w:tcPr>
          <w:p w14:paraId="058F26FD">
            <w:pPr>
              <w:pStyle w:val="2"/>
              <w:snapToGrid w:val="0"/>
              <w:spacing w:line="360" w:lineRule="auto"/>
              <w:jc w:val="center"/>
              <w:rPr>
                <w:sz w:val="20"/>
                <w:szCs w:val="20"/>
              </w:rPr>
            </w:pPr>
            <w:r>
              <w:rPr>
                <w:rFonts w:hint="eastAsia"/>
                <w:sz w:val="20"/>
                <w:szCs w:val="20"/>
              </w:rPr>
              <w:t>控制方式</w:t>
            </w:r>
          </w:p>
        </w:tc>
        <w:tc>
          <w:tcPr>
            <w:tcW w:w="4151" w:type="dxa"/>
            <w:vAlign w:val="center"/>
          </w:tcPr>
          <w:p w14:paraId="27BE0BA4">
            <w:pPr>
              <w:pStyle w:val="2"/>
              <w:snapToGrid w:val="0"/>
              <w:spacing w:line="360" w:lineRule="auto"/>
              <w:jc w:val="center"/>
              <w:rPr>
                <w:sz w:val="20"/>
                <w:szCs w:val="20"/>
              </w:rPr>
            </w:pPr>
            <w:r>
              <w:rPr>
                <w:rFonts w:hint="eastAsia"/>
                <w:sz w:val="20"/>
                <w:szCs w:val="20"/>
              </w:rPr>
              <w:t>说明</w:t>
            </w:r>
          </w:p>
        </w:tc>
      </w:tr>
      <w:tr w14:paraId="23AD3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1" w:type="dxa"/>
            <w:vAlign w:val="center"/>
          </w:tcPr>
          <w:p w14:paraId="7BB4C71A">
            <w:pPr>
              <w:pStyle w:val="2"/>
              <w:snapToGrid w:val="0"/>
              <w:spacing w:line="360" w:lineRule="auto"/>
              <w:jc w:val="center"/>
              <w:rPr>
                <w:sz w:val="20"/>
                <w:szCs w:val="20"/>
              </w:rPr>
            </w:pPr>
            <w:r>
              <w:rPr>
                <w:rFonts w:hint="eastAsia"/>
                <w:sz w:val="20"/>
                <w:szCs w:val="20"/>
              </w:rPr>
              <w:t>白名单</w:t>
            </w:r>
          </w:p>
        </w:tc>
        <w:tc>
          <w:tcPr>
            <w:tcW w:w="4151" w:type="dxa"/>
            <w:vAlign w:val="center"/>
          </w:tcPr>
          <w:p w14:paraId="681D9C58">
            <w:pPr>
              <w:pStyle w:val="2"/>
              <w:snapToGrid w:val="0"/>
              <w:spacing w:line="360" w:lineRule="auto"/>
              <w:jc w:val="center"/>
              <w:rPr>
                <w:sz w:val="20"/>
                <w:szCs w:val="20"/>
                <w:lang w:eastAsia="zh-CN"/>
              </w:rPr>
            </w:pPr>
            <w:r>
              <w:rPr>
                <w:rFonts w:hint="eastAsia"/>
                <w:sz w:val="20"/>
                <w:szCs w:val="20"/>
                <w:lang w:eastAsia="zh-CN"/>
              </w:rPr>
              <w:t>授权医生可开立特定属性项目</w:t>
            </w:r>
          </w:p>
        </w:tc>
      </w:tr>
      <w:tr w14:paraId="70ADE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1" w:type="dxa"/>
            <w:vAlign w:val="center"/>
          </w:tcPr>
          <w:p w14:paraId="0D1E0BBF">
            <w:pPr>
              <w:pStyle w:val="2"/>
              <w:snapToGrid w:val="0"/>
              <w:spacing w:line="360" w:lineRule="auto"/>
              <w:jc w:val="center"/>
              <w:rPr>
                <w:sz w:val="20"/>
                <w:szCs w:val="20"/>
              </w:rPr>
            </w:pPr>
            <w:r>
              <w:rPr>
                <w:rFonts w:hint="eastAsia"/>
                <w:sz w:val="20"/>
                <w:szCs w:val="20"/>
              </w:rPr>
              <w:t>黑名单</w:t>
            </w:r>
          </w:p>
        </w:tc>
        <w:tc>
          <w:tcPr>
            <w:tcW w:w="4151" w:type="dxa"/>
            <w:vAlign w:val="center"/>
          </w:tcPr>
          <w:p w14:paraId="4624D5A4">
            <w:pPr>
              <w:pStyle w:val="2"/>
              <w:snapToGrid w:val="0"/>
              <w:spacing w:line="360" w:lineRule="auto"/>
              <w:jc w:val="center"/>
              <w:rPr>
                <w:sz w:val="20"/>
                <w:szCs w:val="20"/>
                <w:lang w:eastAsia="zh-CN"/>
              </w:rPr>
            </w:pPr>
            <w:r>
              <w:rPr>
                <w:rFonts w:hint="eastAsia"/>
                <w:sz w:val="20"/>
                <w:szCs w:val="20"/>
                <w:lang w:eastAsia="zh-CN"/>
              </w:rPr>
              <w:t>禁止医生开立特定属性项目</w:t>
            </w:r>
          </w:p>
        </w:tc>
      </w:tr>
      <w:tr w14:paraId="17E3E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1" w:type="dxa"/>
            <w:vAlign w:val="center"/>
          </w:tcPr>
          <w:p w14:paraId="360CAF0A">
            <w:pPr>
              <w:pStyle w:val="2"/>
              <w:snapToGrid w:val="0"/>
              <w:spacing w:line="360" w:lineRule="auto"/>
              <w:jc w:val="center"/>
              <w:rPr>
                <w:sz w:val="20"/>
                <w:szCs w:val="20"/>
              </w:rPr>
            </w:pPr>
            <w:r>
              <w:rPr>
                <w:rFonts w:hint="eastAsia"/>
                <w:sz w:val="20"/>
                <w:szCs w:val="20"/>
              </w:rPr>
              <w:t>一级/二级审核</w:t>
            </w:r>
          </w:p>
        </w:tc>
        <w:tc>
          <w:tcPr>
            <w:tcW w:w="4151" w:type="dxa"/>
            <w:vAlign w:val="center"/>
          </w:tcPr>
          <w:p w14:paraId="023FF0D5">
            <w:pPr>
              <w:pStyle w:val="2"/>
              <w:snapToGrid w:val="0"/>
              <w:spacing w:line="360" w:lineRule="auto"/>
              <w:jc w:val="center"/>
              <w:rPr>
                <w:sz w:val="20"/>
                <w:szCs w:val="20"/>
              </w:rPr>
            </w:pPr>
            <w:r>
              <w:rPr>
                <w:rFonts w:hint="eastAsia"/>
                <w:sz w:val="20"/>
                <w:szCs w:val="20"/>
              </w:rPr>
              <w:t>开立后需上级审核</w:t>
            </w:r>
          </w:p>
        </w:tc>
      </w:tr>
      <w:tr w14:paraId="04CF7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1" w:type="dxa"/>
            <w:vAlign w:val="center"/>
          </w:tcPr>
          <w:p w14:paraId="2903E83F">
            <w:pPr>
              <w:pStyle w:val="2"/>
              <w:snapToGrid w:val="0"/>
              <w:spacing w:line="360" w:lineRule="auto"/>
              <w:jc w:val="center"/>
              <w:rPr>
                <w:sz w:val="20"/>
                <w:szCs w:val="20"/>
              </w:rPr>
            </w:pPr>
            <w:r>
              <w:rPr>
                <w:rFonts w:hint="eastAsia"/>
                <w:sz w:val="20"/>
                <w:szCs w:val="20"/>
              </w:rPr>
              <w:t>开立警示</w:t>
            </w:r>
          </w:p>
        </w:tc>
        <w:tc>
          <w:tcPr>
            <w:tcW w:w="4151" w:type="dxa"/>
            <w:vAlign w:val="center"/>
          </w:tcPr>
          <w:p w14:paraId="0B157D85">
            <w:pPr>
              <w:pStyle w:val="2"/>
              <w:snapToGrid w:val="0"/>
              <w:spacing w:line="360" w:lineRule="auto"/>
              <w:jc w:val="center"/>
              <w:rPr>
                <w:sz w:val="20"/>
                <w:szCs w:val="20"/>
                <w:lang w:eastAsia="zh-CN"/>
              </w:rPr>
            </w:pPr>
            <w:r>
              <w:rPr>
                <w:rFonts w:hint="eastAsia"/>
                <w:sz w:val="20"/>
                <w:szCs w:val="20"/>
                <w:lang w:eastAsia="zh-CN"/>
              </w:rPr>
              <w:t>开立时系统提示但不禁止</w:t>
            </w:r>
          </w:p>
        </w:tc>
      </w:tr>
      <w:tr w14:paraId="6E433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1" w:type="dxa"/>
            <w:vAlign w:val="center"/>
          </w:tcPr>
          <w:p w14:paraId="5F1D3F23">
            <w:pPr>
              <w:pStyle w:val="2"/>
              <w:snapToGrid w:val="0"/>
              <w:spacing w:line="360" w:lineRule="auto"/>
              <w:jc w:val="center"/>
              <w:rPr>
                <w:sz w:val="20"/>
                <w:szCs w:val="20"/>
              </w:rPr>
            </w:pPr>
            <w:r>
              <w:rPr>
                <w:rFonts w:hint="eastAsia"/>
                <w:sz w:val="20"/>
                <w:szCs w:val="20"/>
              </w:rPr>
              <w:t>诊疗申请</w:t>
            </w:r>
          </w:p>
        </w:tc>
        <w:tc>
          <w:tcPr>
            <w:tcW w:w="4151" w:type="dxa"/>
            <w:vAlign w:val="center"/>
          </w:tcPr>
          <w:p w14:paraId="05ED30A9">
            <w:pPr>
              <w:pStyle w:val="2"/>
              <w:snapToGrid w:val="0"/>
              <w:spacing w:line="360" w:lineRule="auto"/>
              <w:jc w:val="center"/>
              <w:rPr>
                <w:sz w:val="20"/>
                <w:szCs w:val="20"/>
                <w:lang w:eastAsia="zh-CN"/>
              </w:rPr>
            </w:pPr>
            <w:r>
              <w:rPr>
                <w:rFonts w:hint="eastAsia"/>
                <w:sz w:val="20"/>
                <w:szCs w:val="20"/>
                <w:lang w:eastAsia="zh-CN"/>
              </w:rPr>
              <w:t>开立时需填写指定申请内容</w:t>
            </w:r>
          </w:p>
        </w:tc>
      </w:tr>
      <w:tr w14:paraId="7B085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1" w:type="dxa"/>
            <w:vAlign w:val="center"/>
          </w:tcPr>
          <w:p w14:paraId="4B55DC8E">
            <w:pPr>
              <w:pStyle w:val="2"/>
              <w:snapToGrid w:val="0"/>
              <w:spacing w:line="360" w:lineRule="auto"/>
              <w:jc w:val="center"/>
              <w:rPr>
                <w:sz w:val="20"/>
                <w:szCs w:val="20"/>
              </w:rPr>
            </w:pPr>
            <w:r>
              <w:rPr>
                <w:rFonts w:hint="eastAsia"/>
                <w:sz w:val="20"/>
                <w:szCs w:val="20"/>
              </w:rPr>
              <w:t>用法用量控制</w:t>
            </w:r>
          </w:p>
        </w:tc>
        <w:tc>
          <w:tcPr>
            <w:tcW w:w="4151" w:type="dxa"/>
            <w:vAlign w:val="center"/>
          </w:tcPr>
          <w:p w14:paraId="65AFB23A">
            <w:pPr>
              <w:pStyle w:val="2"/>
              <w:snapToGrid w:val="0"/>
              <w:spacing w:line="360" w:lineRule="auto"/>
              <w:jc w:val="center"/>
              <w:rPr>
                <w:sz w:val="20"/>
                <w:szCs w:val="20"/>
                <w:lang w:eastAsia="zh-CN"/>
              </w:rPr>
            </w:pPr>
            <w:r>
              <w:rPr>
                <w:rFonts w:hint="eastAsia"/>
                <w:sz w:val="20"/>
                <w:szCs w:val="20"/>
                <w:lang w:eastAsia="zh-CN"/>
              </w:rPr>
              <w:t>如抗菌药物紧急使用时限制24小时用量</w:t>
            </w:r>
          </w:p>
        </w:tc>
      </w:tr>
    </w:tbl>
    <w:p w14:paraId="43B89D6F">
      <w:pPr>
        <w:pStyle w:val="2"/>
        <w:numPr>
          <w:ilvl w:val="4"/>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2.2.3.4.医生开立授权</w:t>
      </w:r>
    </w:p>
    <w:p w14:paraId="6B242794">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支持按科室、专业技术职务、管理职务进行授权。</w:t>
      </w:r>
    </w:p>
    <w:p w14:paraId="00C6CC81">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支持单人、多人、批量授权模式。</w:t>
      </w:r>
    </w:p>
    <w:p w14:paraId="69A43825">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支持重新授权与授权变更。</w:t>
      </w:r>
    </w:p>
    <w:p w14:paraId="61420697">
      <w:pPr>
        <w:pStyle w:val="2"/>
        <w:numPr>
          <w:ilvl w:val="4"/>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2.2.3.5.医生审核授权</w:t>
      </w:r>
    </w:p>
    <w:p w14:paraId="139313A7">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支持按科室、职务、管理职务查询。</w:t>
      </w:r>
    </w:p>
    <w:p w14:paraId="37E13990">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支持对审核规则的适用科室进行设置。</w:t>
      </w:r>
    </w:p>
    <w:p w14:paraId="72CB8A8E">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支持对审核人员的授权管理。</w:t>
      </w:r>
    </w:p>
    <w:p w14:paraId="78630776">
      <w:pPr>
        <w:pStyle w:val="2"/>
        <w:numPr>
          <w:ilvl w:val="4"/>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2.2.3.6.申请审核功能</w:t>
      </w:r>
    </w:p>
    <w:p w14:paraId="189D186E">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支持对需审核的开立申请进行审核、取消审核。</w:t>
      </w:r>
    </w:p>
    <w:p w14:paraId="07F2FBD2">
      <w:pPr>
        <w:pStyle w:val="2"/>
        <w:snapToGrid w:val="0"/>
        <w:spacing w:line="360" w:lineRule="auto"/>
        <w:ind w:firstLine="400" w:firstLineChars="200"/>
        <w:rPr>
          <w:sz w:val="20"/>
          <w:szCs w:val="20"/>
          <w:lang w:eastAsia="zh-CN"/>
        </w:rPr>
      </w:pPr>
      <w:r>
        <w:rPr>
          <w:rFonts w:ascii="Wingdings" w:hAnsi="Wingdings"/>
          <w:sz w:val="20"/>
          <w:szCs w:val="20"/>
          <w:lang w:eastAsia="zh-CN"/>
        </w:rPr>
        <w:t></w:t>
      </w:r>
      <w:r>
        <w:rPr>
          <w:rFonts w:hint="eastAsia"/>
          <w:sz w:val="20"/>
          <w:szCs w:val="20"/>
          <w:lang w:eastAsia="zh-CN"/>
        </w:rPr>
        <w:t>支持特殊级抗菌药物使用前的会诊申请与审核流程。</w:t>
      </w:r>
    </w:p>
    <w:p w14:paraId="768A0291">
      <w:pPr>
        <w:pStyle w:val="2"/>
        <w:numPr>
          <w:ilvl w:val="4"/>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2.2.3.7.外部接口</w:t>
      </w:r>
    </w:p>
    <w:p w14:paraId="613877E8">
      <w:pPr>
        <w:pStyle w:val="2"/>
        <w:snapToGrid w:val="0"/>
        <w:spacing w:line="360" w:lineRule="auto"/>
        <w:ind w:firstLine="400" w:firstLineChars="200"/>
        <w:rPr>
          <w:sz w:val="20"/>
          <w:szCs w:val="20"/>
          <w:lang w:eastAsia="zh-CN"/>
        </w:rPr>
      </w:pPr>
      <w:r>
        <w:rPr>
          <w:rFonts w:hint="eastAsia"/>
          <w:sz w:val="20"/>
          <w:szCs w:val="20"/>
          <w:lang w:eastAsia="zh-CN"/>
        </w:rPr>
        <w:t>提供标准外部接口，支持与第三方OA系统对接，实现开立权授权的远程调用与同步。</w:t>
      </w:r>
    </w:p>
    <w:p w14:paraId="0C7BC183">
      <w:pPr>
        <w:pStyle w:val="2"/>
        <w:numPr>
          <w:ilvl w:val="4"/>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2.2.3.8.统计查询功能</w:t>
      </w:r>
    </w:p>
    <w:p w14:paraId="48ED2521">
      <w:pPr>
        <w:pStyle w:val="2"/>
        <w:snapToGrid w:val="0"/>
        <w:spacing w:line="360" w:lineRule="auto"/>
        <w:ind w:firstLine="400" w:firstLineChars="200"/>
        <w:rPr>
          <w:sz w:val="20"/>
          <w:szCs w:val="20"/>
          <w:lang w:eastAsia="zh-CN"/>
        </w:rPr>
      </w:pPr>
      <w:r>
        <w:rPr>
          <w:rFonts w:hint="eastAsia"/>
          <w:sz w:val="20"/>
          <w:szCs w:val="20"/>
          <w:lang w:eastAsia="zh-CN"/>
        </w:rPr>
        <w:t>提供标准统计查询模块，支持数据导出、打印，满足日常统计与管理需求。</w:t>
      </w:r>
    </w:p>
    <w:p w14:paraId="7D60D75F">
      <w:pPr>
        <w:pStyle w:val="2"/>
        <w:numPr>
          <w:ilvl w:val="3"/>
          <w:numId w:val="0"/>
        </w:numPr>
        <w:tabs>
          <w:tab w:val="left" w:pos="1843"/>
        </w:tabs>
        <w:snapToGrid w:val="0"/>
        <w:spacing w:line="360" w:lineRule="auto"/>
        <w:ind w:firstLine="402" w:firstLineChars="200"/>
        <w:rPr>
          <w:b/>
          <w:sz w:val="20"/>
          <w:szCs w:val="20"/>
          <w:lang w:eastAsia="zh-CN"/>
        </w:rPr>
      </w:pPr>
      <w:r>
        <w:rPr>
          <w:rFonts w:hint="eastAsia"/>
          <w:b/>
          <w:sz w:val="20"/>
          <w:szCs w:val="20"/>
          <w:lang w:eastAsia="zh-CN"/>
        </w:rPr>
        <w:t>2.2.4.实施与交付期限</w:t>
      </w:r>
    </w:p>
    <w:p w14:paraId="0770C7BF">
      <w:pPr>
        <w:pStyle w:val="4"/>
        <w:adjustRightInd w:val="0"/>
        <w:spacing w:line="336" w:lineRule="auto"/>
        <w:ind w:firstLine="400" w:firstLineChars="200"/>
        <w:rPr>
          <w:rFonts w:ascii="仿宋" w:hAnsi="仿宋" w:eastAsia="仿宋" w:cs="仿宋"/>
          <w:sz w:val="20"/>
        </w:rPr>
      </w:pPr>
      <w:r>
        <w:rPr>
          <w:rFonts w:hint="eastAsia" w:ascii="仿宋" w:hAnsi="仿宋" w:eastAsia="仿宋" w:cs="仿宋"/>
          <w:sz w:val="20"/>
        </w:rPr>
        <w:t>项目实施交付期限：自合同签定之日起15个工作日内。</w:t>
      </w:r>
    </w:p>
    <w:p w14:paraId="4AFD90D2">
      <w:pPr>
        <w:spacing w:line="336" w:lineRule="auto"/>
        <w:ind w:left="632" w:hanging="632" w:hangingChars="300"/>
        <w:rPr>
          <w:rFonts w:ascii="仿宋" w:hAnsi="仿宋" w:eastAsia="仿宋" w:cs="仿宋"/>
          <w:b/>
          <w:bCs/>
          <w:szCs w:val="21"/>
        </w:rPr>
      </w:pPr>
      <w:r>
        <w:rPr>
          <w:rFonts w:hint="eastAsia" w:ascii="仿宋" w:hAnsi="仿宋" w:eastAsia="仿宋" w:cs="仿宋"/>
          <w:b/>
          <w:bCs/>
          <w:szCs w:val="21"/>
        </w:rPr>
        <w:t>第二条  甲方责任及义务</w:t>
      </w:r>
    </w:p>
    <w:p w14:paraId="45CC6B5E">
      <w:pPr>
        <w:pStyle w:val="15"/>
        <w:spacing w:line="336" w:lineRule="auto"/>
        <w:rPr>
          <w:rFonts w:ascii="仿宋" w:hAnsi="仿宋" w:eastAsia="仿宋" w:cs="仿宋"/>
          <w:szCs w:val="21"/>
        </w:rPr>
      </w:pPr>
      <w:r>
        <w:rPr>
          <w:rFonts w:hint="eastAsia" w:ascii="仿宋" w:hAnsi="仿宋" w:eastAsia="仿宋" w:cs="仿宋"/>
          <w:szCs w:val="21"/>
        </w:rPr>
        <w:t>1.甲方应按本合同约定及时向乙方支付维护费。</w:t>
      </w:r>
    </w:p>
    <w:p w14:paraId="14CC7452">
      <w:pPr>
        <w:pStyle w:val="15"/>
        <w:spacing w:line="336" w:lineRule="auto"/>
        <w:rPr>
          <w:rFonts w:ascii="仿宋" w:hAnsi="仿宋" w:eastAsia="仿宋" w:cs="仿宋"/>
          <w:szCs w:val="21"/>
        </w:rPr>
      </w:pPr>
      <w:r>
        <w:rPr>
          <w:rFonts w:hint="eastAsia" w:ascii="仿宋" w:hAnsi="仿宋" w:eastAsia="仿宋" w:cs="仿宋"/>
          <w:szCs w:val="21"/>
        </w:rPr>
        <w:t>2.甲方应发现故障后及时向乙方发出维护服务要求。</w:t>
      </w:r>
    </w:p>
    <w:p w14:paraId="70BECE43">
      <w:pPr>
        <w:pStyle w:val="15"/>
        <w:spacing w:line="336" w:lineRule="auto"/>
        <w:rPr>
          <w:rFonts w:ascii="仿宋" w:hAnsi="仿宋" w:eastAsia="仿宋" w:cs="仿宋"/>
          <w:szCs w:val="21"/>
        </w:rPr>
      </w:pPr>
      <w:r>
        <w:rPr>
          <w:rFonts w:hint="eastAsia" w:ascii="仿宋" w:hAnsi="仿宋" w:eastAsia="仿宋" w:cs="仿宋"/>
          <w:szCs w:val="21"/>
        </w:rPr>
        <w:t>3.甲方应向乙方提供相关软件系统正常使用和维护的环境。</w:t>
      </w:r>
    </w:p>
    <w:p w14:paraId="6272E3DC">
      <w:pPr>
        <w:pStyle w:val="15"/>
        <w:spacing w:line="336" w:lineRule="auto"/>
        <w:rPr>
          <w:rFonts w:ascii="仿宋" w:hAnsi="仿宋" w:eastAsia="仿宋" w:cs="仿宋"/>
          <w:szCs w:val="21"/>
        </w:rPr>
      </w:pPr>
      <w:r>
        <w:rPr>
          <w:rFonts w:hint="eastAsia" w:ascii="仿宋" w:hAnsi="仿宋" w:eastAsia="仿宋" w:cs="仿宋"/>
          <w:szCs w:val="21"/>
        </w:rPr>
        <w:t>4.甲方所提维护服务需求内容应符合甲方实际业务需求，符合国家相关规定。</w:t>
      </w:r>
    </w:p>
    <w:p w14:paraId="53C31C5F">
      <w:pPr>
        <w:pStyle w:val="15"/>
        <w:spacing w:line="336" w:lineRule="auto"/>
        <w:rPr>
          <w:rFonts w:ascii="仿宋" w:hAnsi="仿宋" w:eastAsia="仿宋" w:cs="仿宋"/>
          <w:b/>
          <w:bCs/>
          <w:szCs w:val="21"/>
        </w:rPr>
      </w:pPr>
      <w:r>
        <w:rPr>
          <w:rFonts w:hint="eastAsia" w:ascii="仿宋" w:hAnsi="仿宋" w:eastAsia="仿宋" w:cs="仿宋"/>
          <w:szCs w:val="21"/>
        </w:rPr>
        <w:t>5.甲方应安排专人配合乙方运维工程师的维护工作，协助乙方进行需求调研及分析，向乙方提供维护服务所需的必要支持，并对乙方的维护服务过程、结果进行监督、检查、确认、评价。</w:t>
      </w:r>
    </w:p>
    <w:p w14:paraId="5B5C51EB">
      <w:pPr>
        <w:spacing w:line="336" w:lineRule="auto"/>
        <w:rPr>
          <w:rFonts w:ascii="仿宋" w:hAnsi="仿宋" w:eastAsia="仿宋" w:cs="仿宋"/>
          <w:b/>
          <w:bCs/>
          <w:szCs w:val="21"/>
        </w:rPr>
      </w:pPr>
      <w:r>
        <w:rPr>
          <w:rFonts w:hint="eastAsia" w:ascii="仿宋" w:hAnsi="仿宋" w:eastAsia="仿宋" w:cs="仿宋"/>
          <w:b/>
          <w:bCs/>
          <w:szCs w:val="21"/>
        </w:rPr>
        <w:t>第三条  乙方责任及义务</w:t>
      </w:r>
    </w:p>
    <w:p w14:paraId="4DC47C35">
      <w:pPr>
        <w:pStyle w:val="15"/>
        <w:spacing w:line="336" w:lineRule="auto"/>
        <w:rPr>
          <w:rFonts w:ascii="仿宋" w:hAnsi="仿宋" w:eastAsia="仿宋" w:cs="仿宋"/>
          <w:szCs w:val="21"/>
        </w:rPr>
      </w:pPr>
      <w:r>
        <w:rPr>
          <w:rFonts w:hint="eastAsia" w:ascii="仿宋" w:hAnsi="仿宋" w:eastAsia="仿宋" w:cs="仿宋"/>
          <w:szCs w:val="21"/>
        </w:rPr>
        <w:t>1.专人负责：乙方应指派经验丰富的运维工程师来承担甲方医院信息管理系统的具体维护工作，乙方服务人员应保证相对固定。</w:t>
      </w:r>
    </w:p>
    <w:p w14:paraId="7FF16C90">
      <w:pPr>
        <w:pStyle w:val="15"/>
        <w:spacing w:line="336" w:lineRule="auto"/>
        <w:rPr>
          <w:rFonts w:ascii="仿宋" w:hAnsi="仿宋" w:eastAsia="仿宋" w:cs="仿宋"/>
          <w:szCs w:val="21"/>
        </w:rPr>
      </w:pPr>
      <w:r>
        <w:rPr>
          <w:rFonts w:hint="eastAsia" w:ascii="仿宋" w:hAnsi="仿宋" w:eastAsia="仿宋" w:cs="仿宋"/>
          <w:szCs w:val="21"/>
        </w:rPr>
        <w:t>指定联系人：乙方指定</w:t>
      </w:r>
      <w:r>
        <w:rPr>
          <w:rFonts w:hint="eastAsia" w:ascii="仿宋" w:hAnsi="仿宋" w:eastAsia="仿宋" w:cs="仿宋"/>
          <w:szCs w:val="21"/>
          <w:u w:val="single"/>
        </w:rPr>
        <w:t>【     】</w:t>
      </w:r>
      <w:r>
        <w:rPr>
          <w:rFonts w:hint="eastAsia" w:ascii="仿宋" w:hAnsi="仿宋" w:eastAsia="仿宋" w:cs="仿宋"/>
          <w:szCs w:val="21"/>
        </w:rPr>
        <w:t>为联系人，联系电话</w:t>
      </w:r>
      <w:r>
        <w:rPr>
          <w:rFonts w:hint="eastAsia" w:ascii="仿宋" w:hAnsi="仿宋" w:eastAsia="仿宋" w:cs="仿宋"/>
          <w:szCs w:val="21"/>
          <w:u w:val="single"/>
        </w:rPr>
        <w:t xml:space="preserve">：       </w:t>
      </w:r>
      <w:r>
        <w:rPr>
          <w:rFonts w:hint="eastAsia" w:ascii="仿宋" w:hAnsi="仿宋" w:eastAsia="仿宋" w:cs="仿宋"/>
          <w:szCs w:val="21"/>
        </w:rPr>
        <w:t>，微信：</w:t>
      </w:r>
      <w:r>
        <w:rPr>
          <w:rFonts w:hint="eastAsia" w:ascii="仿宋" w:hAnsi="仿宋" w:eastAsia="仿宋" w:cs="仿宋"/>
          <w:szCs w:val="21"/>
          <w:u w:val="single"/>
        </w:rPr>
        <w:t xml:space="preserve">       </w:t>
      </w:r>
      <w:r>
        <w:rPr>
          <w:rFonts w:hint="eastAsia" w:ascii="仿宋" w:hAnsi="仿宋" w:eastAsia="仿宋" w:cs="仿宋"/>
          <w:szCs w:val="21"/>
        </w:rPr>
        <w:t>；联系地址：</w:t>
      </w:r>
      <w:r>
        <w:rPr>
          <w:rFonts w:hint="eastAsia" w:ascii="仿宋" w:hAnsi="仿宋" w:eastAsia="仿宋" w:cs="仿宋"/>
          <w:szCs w:val="21"/>
          <w:u w:val="single"/>
        </w:rPr>
        <w:t xml:space="preserve">                       </w:t>
      </w:r>
      <w:r>
        <w:rPr>
          <w:rFonts w:hint="eastAsia" w:ascii="仿宋" w:hAnsi="仿宋" w:eastAsia="仿宋" w:cs="仿宋"/>
          <w:szCs w:val="21"/>
        </w:rPr>
        <w:t>，全权负责日常服务合作事宜，乙方指定联系人发生变化时，应提前【15】个工作日内书面通知甲方。</w:t>
      </w:r>
    </w:p>
    <w:p w14:paraId="2C47EFD1">
      <w:pPr>
        <w:pStyle w:val="15"/>
        <w:spacing w:line="336" w:lineRule="auto"/>
        <w:rPr>
          <w:rFonts w:ascii="仿宋" w:hAnsi="仿宋" w:eastAsia="仿宋" w:cs="仿宋"/>
          <w:szCs w:val="21"/>
        </w:rPr>
      </w:pPr>
      <w:r>
        <w:rPr>
          <w:rFonts w:hint="eastAsia" w:ascii="仿宋" w:hAnsi="仿宋" w:eastAsia="仿宋" w:cs="仿宋"/>
          <w:szCs w:val="21"/>
        </w:rPr>
        <w:t>2.运维响应：乙方应为甲方提供全年7*24小时的电话技术支持、远程网络协助及现场服务；电话服务专线：</w:t>
      </w:r>
      <w:r>
        <w:rPr>
          <w:rFonts w:hint="eastAsia" w:ascii="仿宋" w:hAnsi="仿宋" w:eastAsia="仿宋" w:cs="仿宋"/>
          <w:szCs w:val="21"/>
          <w:u w:val="single"/>
        </w:rPr>
        <w:t>【                】</w:t>
      </w:r>
      <w:r>
        <w:rPr>
          <w:rFonts w:hint="eastAsia" w:ascii="仿宋" w:hAnsi="仿宋" w:eastAsia="仿宋" w:cs="仿宋"/>
          <w:szCs w:val="21"/>
        </w:rPr>
        <w:t>。乙方在合同服务期内按附件2：《医院信息系统故障分级标准及响应时间明细表》为甲方信息系统提供维护或故障维修，直至系统恢复正常运营。</w:t>
      </w:r>
    </w:p>
    <w:p w14:paraId="63D876E1">
      <w:pPr>
        <w:pStyle w:val="15"/>
        <w:spacing w:line="336" w:lineRule="auto"/>
        <w:rPr>
          <w:rFonts w:ascii="仿宋" w:hAnsi="仿宋" w:eastAsia="仿宋" w:cs="仿宋"/>
          <w:szCs w:val="21"/>
        </w:rPr>
      </w:pPr>
      <w:r>
        <w:rPr>
          <w:rFonts w:hint="eastAsia" w:ascii="仿宋" w:hAnsi="仿宋" w:eastAsia="仿宋" w:cs="仿宋"/>
          <w:szCs w:val="21"/>
        </w:rPr>
        <w:t>3.维护记录：在本合同约定的维护期限内，乙方应建立完善的维护记录管理体系，对于任何维护任务，乙方服务人员应严格填写维护记录单并交由甲方相关负责人审批，每次服务还应由甲方进行评价；服务产生的相关文件应及时归档且双方同时备案。</w:t>
      </w:r>
    </w:p>
    <w:p w14:paraId="1723CF13">
      <w:pPr>
        <w:pStyle w:val="15"/>
        <w:spacing w:line="336" w:lineRule="auto"/>
        <w:rPr>
          <w:rFonts w:ascii="仿宋" w:hAnsi="仿宋" w:eastAsia="仿宋" w:cs="仿宋"/>
          <w:szCs w:val="21"/>
        </w:rPr>
      </w:pPr>
      <w:r>
        <w:rPr>
          <w:rFonts w:hint="eastAsia" w:ascii="仿宋" w:hAnsi="仿宋" w:eastAsia="仿宋" w:cs="仿宋"/>
          <w:szCs w:val="21"/>
        </w:rPr>
        <w:t>4.巡检：乙方应每季度至少【1】次到达甲方现场对相关软件系统进行检查，优化软件系统运行，同时做好相关软件系统运行使用情况的记录；对可能存在的隐患及出现的故障提出解决方案，在征得甲方同意后现场进行软件系统优化；另外，乙方应根据实际需要，现场对甲方信息中心工作人员进行维护方案的培训及实际操作的指导。</w:t>
      </w:r>
    </w:p>
    <w:p w14:paraId="3B2636FE">
      <w:pPr>
        <w:pStyle w:val="15"/>
        <w:spacing w:line="336" w:lineRule="auto"/>
        <w:rPr>
          <w:rFonts w:ascii="仿宋" w:hAnsi="仿宋" w:eastAsia="仿宋" w:cs="仿宋"/>
          <w:szCs w:val="21"/>
        </w:rPr>
      </w:pPr>
      <w:r>
        <w:rPr>
          <w:rFonts w:hint="eastAsia" w:ascii="仿宋" w:hAnsi="仿宋" w:eastAsia="仿宋" w:cs="仿宋"/>
          <w:szCs w:val="21"/>
        </w:rPr>
        <w:t>5.数据安全及保密：乙方在软件系统维护过程中，应协助甲方提前做好相关数据的备份工作，保证数据安全，并且做好相关数据及资料的保密工作；未经甲方允许，乙方不得将相关数据及资料带走、传播或它用。</w:t>
      </w:r>
    </w:p>
    <w:p w14:paraId="68B6D35E">
      <w:pPr>
        <w:pStyle w:val="15"/>
        <w:spacing w:line="336" w:lineRule="auto"/>
        <w:rPr>
          <w:rFonts w:ascii="仿宋" w:hAnsi="仿宋" w:eastAsia="仿宋" w:cs="仿宋"/>
          <w:szCs w:val="21"/>
        </w:rPr>
      </w:pPr>
      <w:r>
        <w:rPr>
          <w:rFonts w:hint="eastAsia" w:ascii="仿宋" w:hAnsi="仿宋" w:eastAsia="仿宋" w:cs="仿宋"/>
          <w:szCs w:val="21"/>
        </w:rPr>
        <w:t>6. 知识产权条款</w:t>
      </w:r>
    </w:p>
    <w:p w14:paraId="42B6AA50">
      <w:pPr>
        <w:pStyle w:val="15"/>
        <w:spacing w:line="336" w:lineRule="auto"/>
        <w:rPr>
          <w:rFonts w:ascii="仿宋" w:hAnsi="仿宋" w:eastAsia="仿宋" w:cs="仿宋"/>
          <w:szCs w:val="21"/>
        </w:rPr>
      </w:pPr>
      <w:r>
        <w:rPr>
          <w:rFonts w:hint="eastAsia" w:ascii="仿宋" w:hAnsi="仿宋" w:eastAsia="仿宋" w:cs="仿宋"/>
          <w:szCs w:val="21"/>
        </w:rPr>
        <w:t>6.1供应商须保证，其提供的运维服务、软件更新、升级服务及相关技术成果，不会出现任何第三方提出侵犯其专利权、商标权、著作权或其他知识产权的主张或诉讼，如发生前述情形，由供应商承担全部法律责任，并赔偿采购人因此遭受的全部经济损失。</w:t>
      </w:r>
    </w:p>
    <w:p w14:paraId="7A6BF3E9">
      <w:pPr>
        <w:pStyle w:val="15"/>
        <w:spacing w:line="336" w:lineRule="auto"/>
        <w:rPr>
          <w:rFonts w:ascii="仿宋" w:hAnsi="仿宋" w:eastAsia="仿宋" w:cs="仿宋"/>
          <w:szCs w:val="21"/>
        </w:rPr>
      </w:pPr>
      <w:r>
        <w:rPr>
          <w:rFonts w:hint="eastAsia" w:ascii="仿宋" w:hAnsi="仿宋" w:eastAsia="仿宋" w:cs="仿宋"/>
          <w:szCs w:val="21"/>
        </w:rPr>
        <w:t>6.2本项目涉及系统的软件著作权、知识产权归原权利人所有，供应商仅可基于本项目运维服务目的，在采购人授权范围内使用相关软件及技术资料，不得擅自复制、分发、转让、反编译、反向工程，不得用于任何其他用途。</w:t>
      </w:r>
    </w:p>
    <w:p w14:paraId="256F6AFA">
      <w:pPr>
        <w:pStyle w:val="15"/>
        <w:spacing w:line="336" w:lineRule="auto"/>
        <w:rPr>
          <w:rFonts w:ascii="仿宋" w:hAnsi="仿宋" w:eastAsia="仿宋" w:cs="仿宋"/>
          <w:szCs w:val="21"/>
        </w:rPr>
      </w:pPr>
      <w:r>
        <w:rPr>
          <w:rFonts w:hint="eastAsia" w:ascii="仿宋" w:hAnsi="仿宋" w:eastAsia="仿宋" w:cs="仿宋"/>
          <w:szCs w:val="21"/>
        </w:rPr>
        <w:t>6.3服务期内，采购人基于系统使用产生的全部医疗数据、业务数据、患者个人信息、生命体征数据等所有数据的所有权、使用权均归采购人所有，供应商不得主张任何权利，不得擅自使用。</w:t>
      </w:r>
    </w:p>
    <w:p w14:paraId="680A3964">
      <w:pPr>
        <w:pStyle w:val="15"/>
        <w:spacing w:line="336" w:lineRule="auto"/>
        <w:rPr>
          <w:rFonts w:ascii="仿宋" w:hAnsi="仿宋" w:eastAsia="仿宋" w:cs="仿宋"/>
          <w:szCs w:val="21"/>
        </w:rPr>
      </w:pPr>
      <w:r>
        <w:rPr>
          <w:rFonts w:hint="eastAsia" w:ascii="仿宋" w:hAnsi="仿宋" w:eastAsia="仿宋" w:cs="仿宋"/>
          <w:szCs w:val="21"/>
        </w:rPr>
        <w:t>6.4供应商为采购人提供的定制化功能开发、政策适配升级、技术方案等成果，知识产权归采购人所有，供应商仅可保留非商业用途的技术使用权。</w:t>
      </w:r>
    </w:p>
    <w:p w14:paraId="5AA7D143">
      <w:pPr>
        <w:pStyle w:val="15"/>
        <w:spacing w:line="336" w:lineRule="auto"/>
        <w:rPr>
          <w:rFonts w:ascii="仿宋" w:hAnsi="仿宋" w:eastAsia="仿宋" w:cs="仿宋"/>
          <w:szCs w:val="21"/>
        </w:rPr>
      </w:pPr>
      <w:r>
        <w:rPr>
          <w:rFonts w:hint="eastAsia" w:ascii="仿宋" w:hAnsi="仿宋" w:eastAsia="仿宋" w:cs="仿宋"/>
          <w:szCs w:val="21"/>
        </w:rPr>
        <w:t>7.其余服务内容及服务承诺以甲方单一来源采购文件要求及乙方响应文件承诺内容为准，若二者不一致的，以更有利于甲方的条款执行。</w:t>
      </w:r>
    </w:p>
    <w:p w14:paraId="1D463B55">
      <w:pPr>
        <w:spacing w:line="336" w:lineRule="auto"/>
        <w:rPr>
          <w:rFonts w:ascii="仿宋" w:hAnsi="仿宋" w:eastAsia="仿宋" w:cs="仿宋"/>
          <w:b/>
          <w:bCs/>
          <w:szCs w:val="21"/>
        </w:rPr>
      </w:pPr>
      <w:r>
        <w:rPr>
          <w:rFonts w:hint="eastAsia" w:ascii="仿宋" w:hAnsi="仿宋" w:eastAsia="仿宋" w:cs="仿宋"/>
          <w:b/>
          <w:bCs/>
          <w:szCs w:val="21"/>
        </w:rPr>
        <w:t>第四条  不可抗力条款</w:t>
      </w:r>
    </w:p>
    <w:p w14:paraId="05B614EF">
      <w:pPr>
        <w:spacing w:line="336" w:lineRule="auto"/>
        <w:ind w:firstLine="420" w:firstLineChars="200"/>
        <w:rPr>
          <w:rFonts w:ascii="仿宋" w:hAnsi="仿宋" w:eastAsia="仿宋" w:cs="仿宋"/>
          <w:szCs w:val="21"/>
        </w:rPr>
      </w:pPr>
      <w:r>
        <w:rPr>
          <w:rFonts w:hint="eastAsia" w:ascii="仿宋" w:hAnsi="仿宋" w:eastAsia="仿宋" w:cs="仿宋"/>
          <w:szCs w:val="21"/>
        </w:rPr>
        <w:t>1.乙方对甲方在使用相关软件系统的过程中，因设备故障、病毒等造成的系统故障、数据丢失，以及因相关软件系统误用、毁损、遗失、被盗或其他不可抗力造成的损失双方均不承担责任，乙方积极协助甲方处理此类问题。</w:t>
      </w:r>
    </w:p>
    <w:p w14:paraId="6CC3A214">
      <w:pPr>
        <w:pStyle w:val="15"/>
        <w:spacing w:line="336" w:lineRule="auto"/>
        <w:ind w:firstLine="480" w:firstLineChars="0"/>
        <w:rPr>
          <w:rFonts w:ascii="仿宋" w:hAnsi="仿宋" w:eastAsia="仿宋" w:cs="仿宋"/>
          <w:szCs w:val="21"/>
        </w:rPr>
      </w:pPr>
      <w:r>
        <w:rPr>
          <w:rFonts w:hint="eastAsia" w:ascii="仿宋" w:hAnsi="仿宋" w:eastAsia="仿宋" w:cs="仿宋"/>
          <w:bCs/>
          <w:szCs w:val="21"/>
        </w:rPr>
        <w:t>2.由于特殊情况（非乙方原因所致）及不可抗力造成维护服务拖延或不能正常进行，甲乙双方应按实际情况重新调整维护服务时间和内容，双方同意后执行。</w:t>
      </w:r>
    </w:p>
    <w:p w14:paraId="5EFE3F6F">
      <w:pPr>
        <w:tabs>
          <w:tab w:val="left" w:pos="900"/>
        </w:tabs>
        <w:spacing w:line="336" w:lineRule="auto"/>
        <w:ind w:left="632" w:hanging="632" w:hangingChars="300"/>
        <w:rPr>
          <w:rFonts w:ascii="仿宋" w:hAnsi="仿宋" w:eastAsia="仿宋" w:cs="仿宋"/>
          <w:b/>
          <w:bCs/>
          <w:szCs w:val="21"/>
        </w:rPr>
      </w:pPr>
      <w:r>
        <w:rPr>
          <w:rFonts w:hint="eastAsia" w:ascii="仿宋" w:hAnsi="仿宋" w:eastAsia="仿宋" w:cs="仿宋"/>
          <w:b/>
          <w:bCs/>
          <w:szCs w:val="21"/>
        </w:rPr>
        <w:t>第五条  保密条款</w:t>
      </w:r>
    </w:p>
    <w:p w14:paraId="2C183F98">
      <w:pPr>
        <w:tabs>
          <w:tab w:val="left" w:pos="360"/>
        </w:tabs>
        <w:spacing w:line="336" w:lineRule="auto"/>
        <w:ind w:firstLine="420" w:firstLineChars="200"/>
        <w:rPr>
          <w:rFonts w:ascii="仿宋" w:hAnsi="仿宋" w:eastAsia="仿宋" w:cs="仿宋"/>
          <w:szCs w:val="21"/>
        </w:rPr>
      </w:pPr>
      <w:r>
        <w:rPr>
          <w:rFonts w:hint="eastAsia" w:ascii="仿宋" w:hAnsi="仿宋" w:eastAsia="仿宋" w:cs="仿宋"/>
          <w:szCs w:val="21"/>
        </w:rPr>
        <w:t>1.乙方负责对甲方的所有业务及软件系统数据进行保密，不得以任何形式泄露给第三方；保密时效和机密性质认定应参照同行业有关规定。</w:t>
      </w:r>
    </w:p>
    <w:p w14:paraId="6FB16D24">
      <w:pPr>
        <w:tabs>
          <w:tab w:val="left" w:pos="360"/>
        </w:tabs>
        <w:spacing w:line="336" w:lineRule="auto"/>
        <w:ind w:firstLine="420" w:firstLineChars="200"/>
        <w:rPr>
          <w:rFonts w:ascii="仿宋" w:hAnsi="仿宋" w:eastAsia="仿宋" w:cs="仿宋"/>
          <w:szCs w:val="21"/>
        </w:rPr>
      </w:pPr>
      <w:r>
        <w:rPr>
          <w:rFonts w:hint="eastAsia" w:ascii="仿宋" w:hAnsi="仿宋" w:eastAsia="仿宋" w:cs="仿宋"/>
          <w:szCs w:val="21"/>
        </w:rPr>
        <w:t>2.本协议所述之保密信息系指本协议条款的全部内容，本协议签订及履行情况，以及甲、乙双方通过签订及履行本协议而获知的对方或对方关联公司尚未公开的任何信息，包括但不限于：甲方医疗信息、经营信息、患者信息、相关知识产权内容、业务规划与计划、生产经营业绩与财务数据、现有及预期的客户和供应商信息、财务信息、人力资源资料、业务运作文件，技术资料与创意、设计、处理流程、技术与集成方案、实施计划、咨询报告、计算机程序（包括源程序与目标代码），以及其他类似的信息。如乙方泄露甲方以上信息，需承担全部法律责任。</w:t>
      </w:r>
    </w:p>
    <w:p w14:paraId="51EE356A">
      <w:pPr>
        <w:tabs>
          <w:tab w:val="left" w:pos="360"/>
        </w:tabs>
        <w:spacing w:line="336" w:lineRule="auto"/>
        <w:ind w:firstLine="420" w:firstLineChars="200"/>
        <w:rPr>
          <w:rFonts w:ascii="仿宋" w:hAnsi="仿宋" w:eastAsia="仿宋" w:cs="仿宋"/>
          <w:szCs w:val="21"/>
        </w:rPr>
      </w:pPr>
      <w:r>
        <w:rPr>
          <w:rFonts w:hint="eastAsia" w:ascii="仿宋" w:hAnsi="仿宋" w:eastAsia="仿宋" w:cs="仿宋"/>
          <w:szCs w:val="21"/>
        </w:rPr>
        <w:t>3.甲、乙双方均有义务对上述保密信息履行保密义务，未经对方同意，另一方不得向任何第三方披露或者透露任何保密信息，以及将任何保密信息用于与本协议无关的其他任何用途，亦不得依据披露方提供的任何保密信息向本协议以外的任何第三方做出任何建议，但双方向各自的外部顾问，如律师事务所、会计事务所、审计事务所或公司披露以及根据各级有管辖权的立法、司法、行政机关或证券市场主管机构的要求披露除外。</w:t>
      </w:r>
    </w:p>
    <w:p w14:paraId="454DC33E">
      <w:pPr>
        <w:tabs>
          <w:tab w:val="left" w:pos="360"/>
        </w:tabs>
        <w:spacing w:line="336" w:lineRule="auto"/>
        <w:ind w:firstLine="420" w:firstLineChars="200"/>
        <w:rPr>
          <w:rFonts w:ascii="仿宋" w:hAnsi="仿宋" w:eastAsia="仿宋" w:cs="仿宋"/>
          <w:szCs w:val="21"/>
        </w:rPr>
      </w:pPr>
      <w:r>
        <w:rPr>
          <w:rFonts w:hint="eastAsia" w:ascii="仿宋" w:hAnsi="仿宋" w:eastAsia="仿宋" w:cs="仿宋"/>
          <w:szCs w:val="21"/>
        </w:rPr>
        <w:t>4.任何一方违反保密义务，应向守约方赔偿由此造成的一切损失，并承担相应法律责任。</w:t>
      </w:r>
    </w:p>
    <w:p w14:paraId="3AF2A001">
      <w:pPr>
        <w:tabs>
          <w:tab w:val="left" w:pos="360"/>
        </w:tabs>
        <w:spacing w:line="336" w:lineRule="auto"/>
        <w:ind w:firstLine="420" w:firstLineChars="200"/>
        <w:rPr>
          <w:rFonts w:ascii="仿宋" w:hAnsi="仿宋" w:eastAsia="仿宋" w:cs="仿宋"/>
          <w:szCs w:val="21"/>
        </w:rPr>
      </w:pPr>
      <w:r>
        <w:rPr>
          <w:rFonts w:hint="eastAsia" w:ascii="仿宋" w:hAnsi="仿宋" w:eastAsia="仿宋" w:cs="仿宋"/>
          <w:szCs w:val="21"/>
        </w:rPr>
        <w:t>5.本条款不因本协议的无效、解除、终止而失效。</w:t>
      </w:r>
    </w:p>
    <w:p w14:paraId="126315C1">
      <w:pPr>
        <w:spacing w:line="336" w:lineRule="auto"/>
        <w:rPr>
          <w:rFonts w:ascii="仿宋" w:hAnsi="仿宋" w:eastAsia="仿宋" w:cs="仿宋"/>
          <w:b/>
          <w:bCs/>
          <w:szCs w:val="21"/>
        </w:rPr>
      </w:pPr>
      <w:r>
        <w:rPr>
          <w:rFonts w:hint="eastAsia" w:ascii="仿宋" w:hAnsi="仿宋" w:eastAsia="仿宋" w:cs="仿宋"/>
          <w:b/>
          <w:bCs/>
          <w:szCs w:val="21"/>
        </w:rPr>
        <w:t>第六条  维保期限及地点</w:t>
      </w:r>
    </w:p>
    <w:p w14:paraId="0EC89418">
      <w:pPr>
        <w:spacing w:line="336" w:lineRule="auto"/>
        <w:ind w:firstLine="420" w:firstLineChars="200"/>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日至</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日，为期【1】年。（本合同约定的维护期）</w:t>
      </w:r>
    </w:p>
    <w:p w14:paraId="5C1A5741">
      <w:pPr>
        <w:spacing w:line="336" w:lineRule="auto"/>
        <w:ind w:firstLine="420" w:firstLineChars="200"/>
        <w:rPr>
          <w:rFonts w:ascii="仿宋" w:hAnsi="仿宋" w:eastAsia="仿宋" w:cs="仿宋"/>
          <w:bCs/>
          <w:szCs w:val="21"/>
        </w:rPr>
      </w:pPr>
      <w:r>
        <w:rPr>
          <w:rFonts w:hint="eastAsia" w:ascii="仿宋" w:hAnsi="仿宋" w:eastAsia="仿宋" w:cs="仿宋"/>
          <w:bCs/>
          <w:szCs w:val="21"/>
        </w:rPr>
        <w:t>2.合同履行地点：陕西省交通医院</w:t>
      </w:r>
    </w:p>
    <w:p w14:paraId="03BDA043">
      <w:pPr>
        <w:tabs>
          <w:tab w:val="left" w:pos="2910"/>
        </w:tabs>
        <w:spacing w:line="336" w:lineRule="auto"/>
        <w:rPr>
          <w:rFonts w:ascii="仿宋" w:hAnsi="仿宋" w:eastAsia="仿宋" w:cs="仿宋"/>
          <w:b/>
          <w:bCs/>
          <w:szCs w:val="21"/>
        </w:rPr>
      </w:pPr>
      <w:r>
        <w:rPr>
          <w:rFonts w:hint="eastAsia" w:ascii="仿宋" w:hAnsi="仿宋" w:eastAsia="仿宋" w:cs="仿宋"/>
          <w:b/>
          <w:bCs/>
          <w:szCs w:val="21"/>
        </w:rPr>
        <w:t>第七条  维护费及付款方式</w:t>
      </w:r>
    </w:p>
    <w:p w14:paraId="2A774100">
      <w:pPr>
        <w:pStyle w:val="16"/>
        <w:spacing w:line="336" w:lineRule="auto"/>
        <w:rPr>
          <w:rFonts w:ascii="仿宋" w:hAnsi="仿宋" w:eastAsia="仿宋" w:cs="仿宋"/>
          <w:szCs w:val="21"/>
        </w:rPr>
      </w:pPr>
      <w:r>
        <w:rPr>
          <w:rFonts w:hint="eastAsia" w:ascii="仿宋" w:hAnsi="仿宋" w:eastAsia="仿宋" w:cs="仿宋"/>
          <w:szCs w:val="21"/>
        </w:rPr>
        <w:t>维护费（每年）：</w:t>
      </w:r>
      <w:r>
        <w:rPr>
          <w:rFonts w:hint="eastAsia" w:ascii="仿宋" w:hAnsi="仿宋" w:eastAsia="仿宋" w:cs="仿宋"/>
          <w:szCs w:val="21"/>
          <w:u w:val="single"/>
        </w:rPr>
        <w:t>（大写）：人民币          （小写: ￥         元）</w:t>
      </w:r>
      <w:r>
        <w:rPr>
          <w:rFonts w:hint="eastAsia" w:ascii="仿宋" w:hAnsi="仿宋" w:eastAsia="仿宋" w:cs="仿宋"/>
          <w:szCs w:val="21"/>
        </w:rPr>
        <w:t>。合同签订生效后，共计分为以下两次进行付款：</w:t>
      </w:r>
    </w:p>
    <w:p w14:paraId="5D7ABE24">
      <w:pPr>
        <w:pStyle w:val="16"/>
        <w:spacing w:line="336" w:lineRule="auto"/>
        <w:rPr>
          <w:rFonts w:ascii="仿宋" w:hAnsi="仿宋" w:eastAsia="仿宋" w:cs="仿宋"/>
          <w:szCs w:val="21"/>
        </w:rPr>
      </w:pPr>
      <w:r>
        <w:rPr>
          <w:rFonts w:hint="eastAsia" w:ascii="仿宋" w:hAnsi="仿宋" w:eastAsia="仿宋" w:cs="仿宋"/>
          <w:szCs w:val="21"/>
        </w:rPr>
        <w:t>1.第一次付款：双方签订合同后，达到付款条件起5日内，支付合同总金额的 50.00%。</w:t>
      </w:r>
    </w:p>
    <w:p w14:paraId="5A6CEC00">
      <w:pPr>
        <w:pStyle w:val="16"/>
        <w:spacing w:line="336" w:lineRule="auto"/>
        <w:rPr>
          <w:rFonts w:ascii="仿宋" w:hAnsi="仿宋" w:eastAsia="仿宋" w:cs="仿宋"/>
          <w:szCs w:val="21"/>
        </w:rPr>
      </w:pPr>
      <w:r>
        <w:rPr>
          <w:rFonts w:hint="eastAsia" w:ascii="仿宋" w:hAnsi="仿宋" w:eastAsia="仿宋" w:cs="仿宋"/>
          <w:szCs w:val="21"/>
        </w:rPr>
        <w:t>2.第二次付款：服务期满后，采购人组织完成年度考核验收后 7 个工作日内，根据考核结果，根据考核结果支付剩余合同价款：</w:t>
      </w:r>
    </w:p>
    <w:p w14:paraId="33D3808B">
      <w:pPr>
        <w:pStyle w:val="16"/>
        <w:spacing w:line="336" w:lineRule="auto"/>
        <w:rPr>
          <w:rFonts w:ascii="仿宋" w:hAnsi="仿宋" w:eastAsia="仿宋" w:cs="仿宋"/>
          <w:szCs w:val="21"/>
        </w:rPr>
      </w:pPr>
      <w:r>
        <w:rPr>
          <w:rFonts w:hint="eastAsia" w:ascii="仿宋" w:hAnsi="仿宋" w:eastAsia="仿宋" w:cs="仿宋"/>
          <w:szCs w:val="21"/>
        </w:rPr>
        <w:t>ⅰ. 年度考核结果为优秀的，支付合同剩余 50% 价款；</w:t>
      </w:r>
    </w:p>
    <w:p w14:paraId="74246108">
      <w:pPr>
        <w:pStyle w:val="16"/>
        <w:spacing w:line="336" w:lineRule="auto"/>
        <w:rPr>
          <w:rFonts w:ascii="仿宋" w:hAnsi="仿宋" w:eastAsia="仿宋" w:cs="仿宋"/>
          <w:szCs w:val="21"/>
        </w:rPr>
      </w:pPr>
      <w:r>
        <w:rPr>
          <w:rFonts w:hint="eastAsia" w:ascii="仿宋" w:hAnsi="仿宋" w:eastAsia="仿宋" w:cs="仿宋"/>
          <w:szCs w:val="21"/>
        </w:rPr>
        <w:t>ⅱ. 年度考核结果为合格的，扣除合同总价款的 10% 作为违约金，支付合同剩余 40% 价款；</w:t>
      </w:r>
    </w:p>
    <w:p w14:paraId="0041E0E4">
      <w:pPr>
        <w:pStyle w:val="16"/>
        <w:spacing w:line="336" w:lineRule="auto"/>
        <w:rPr>
          <w:rFonts w:ascii="仿宋" w:hAnsi="仿宋" w:eastAsia="仿宋" w:cs="仿宋"/>
          <w:szCs w:val="21"/>
        </w:rPr>
      </w:pPr>
      <w:r>
        <w:rPr>
          <w:rFonts w:hint="eastAsia" w:ascii="仿宋" w:hAnsi="仿宋" w:eastAsia="仿宋" w:cs="仿宋"/>
          <w:szCs w:val="21"/>
        </w:rPr>
        <w:t>ⅲ. 年度考核结果为不合格的，采购人有权不予支付合同剩余 50% 价款，同时保留追究供应商违约责任的权利。</w:t>
      </w:r>
    </w:p>
    <w:p w14:paraId="187B27A2">
      <w:pPr>
        <w:pStyle w:val="16"/>
        <w:spacing w:line="336" w:lineRule="auto"/>
        <w:rPr>
          <w:rFonts w:ascii="仿宋" w:hAnsi="仿宋" w:eastAsia="仿宋" w:cs="仿宋"/>
          <w:szCs w:val="21"/>
        </w:rPr>
      </w:pPr>
      <w:r>
        <w:rPr>
          <w:rFonts w:hint="eastAsia" w:ascii="仿宋" w:hAnsi="仿宋" w:eastAsia="仿宋" w:cs="仿宋"/>
          <w:szCs w:val="21"/>
        </w:rPr>
        <w:t>3.若乙方在甲方付款前未能提供等额合规发票的，甲方有权拒付合同款项，且不承担任何责任，乙方亦不得以此为由拒绝履行任意合同义务。</w:t>
      </w:r>
    </w:p>
    <w:p w14:paraId="2272AD29">
      <w:pPr>
        <w:spacing w:line="336" w:lineRule="auto"/>
        <w:ind w:left="1"/>
        <w:rPr>
          <w:rFonts w:ascii="仿宋" w:hAnsi="仿宋" w:eastAsia="仿宋" w:cs="仿宋"/>
          <w:b/>
          <w:bCs/>
          <w:szCs w:val="21"/>
        </w:rPr>
      </w:pPr>
      <w:r>
        <w:rPr>
          <w:rFonts w:hint="eastAsia" w:ascii="仿宋" w:hAnsi="仿宋" w:eastAsia="仿宋" w:cs="仿宋"/>
          <w:b/>
          <w:bCs/>
          <w:szCs w:val="21"/>
        </w:rPr>
        <w:t>第八条 违约责任</w:t>
      </w:r>
    </w:p>
    <w:p w14:paraId="0F838B7E">
      <w:pPr>
        <w:pStyle w:val="16"/>
        <w:spacing w:line="336" w:lineRule="auto"/>
        <w:rPr>
          <w:rFonts w:ascii="仿宋" w:hAnsi="仿宋" w:eastAsia="仿宋" w:cs="仿宋"/>
          <w:szCs w:val="21"/>
        </w:rPr>
      </w:pPr>
      <w:r>
        <w:rPr>
          <w:rFonts w:hint="eastAsia" w:ascii="仿宋" w:hAnsi="仿宋" w:eastAsia="仿宋" w:cs="仿宋"/>
          <w:szCs w:val="21"/>
        </w:rPr>
        <w:t>1.本合同违约责任严格按照《中华人民共和国民法典》相关条款执行。</w:t>
      </w:r>
    </w:p>
    <w:p w14:paraId="169BE2C2">
      <w:pPr>
        <w:pStyle w:val="16"/>
        <w:spacing w:line="336" w:lineRule="auto"/>
        <w:rPr>
          <w:rFonts w:ascii="仿宋" w:hAnsi="仿宋" w:eastAsia="仿宋" w:cs="仿宋"/>
          <w:szCs w:val="21"/>
        </w:rPr>
      </w:pPr>
      <w:r>
        <w:rPr>
          <w:rFonts w:hint="eastAsia" w:ascii="仿宋" w:hAnsi="仿宋" w:eastAsia="仿宋" w:cs="仿宋"/>
          <w:szCs w:val="21"/>
        </w:rPr>
        <w:t>2.供应商未按合同约定提供服务，或服务质量、响应时效、技术能力不满足合同要求，采购人有权按《服务质量评价标准》扣除对应款项，并要求供应商限期整改；整改后仍无法满足合同要求的，采购人有权扣除对应合同款项，直至单方面解除合同，供应商须承担采购人因此遭受的全部损失。</w:t>
      </w:r>
    </w:p>
    <w:p w14:paraId="5D14687C">
      <w:pPr>
        <w:pStyle w:val="16"/>
        <w:spacing w:line="336" w:lineRule="auto"/>
        <w:rPr>
          <w:rFonts w:ascii="仿宋" w:hAnsi="仿宋" w:eastAsia="仿宋" w:cs="仿宋"/>
          <w:szCs w:val="21"/>
        </w:rPr>
      </w:pPr>
      <w:r>
        <w:rPr>
          <w:rFonts w:hint="eastAsia" w:ascii="仿宋" w:hAnsi="仿宋" w:eastAsia="仿宋" w:cs="仿宋"/>
          <w:szCs w:val="21"/>
        </w:rPr>
        <w:t>3.供应商未按故障SLA要求完成响应与故障处置的，每出现一次一级故障超时，扣除合同总价款的5%；每出现一次二级故障超时，扣除合同总价款的2%；三级、四级故障超时，按评价标准扣除对应分值，并累计扣除合同款项。前述超时情形累计出现【10】次的，视为供应商根本违约，采购人有权立即解除合同，不予支付剩余全部合同款项，供应商须支付合同总价款30%的违约金，同时承担全部法律责任，赔偿采购人因此遭受的全部经济损失（含监管处罚、民事赔偿、商誉损失等）。因供应商故障处置不及时导致医院业务中断、产生医疗纠纷或监管处罚的，全部责任与经济损失由供应商承担。</w:t>
      </w:r>
    </w:p>
    <w:p w14:paraId="53B0D7EF">
      <w:pPr>
        <w:pStyle w:val="16"/>
        <w:spacing w:line="336" w:lineRule="auto"/>
        <w:rPr>
          <w:rFonts w:ascii="仿宋" w:hAnsi="仿宋" w:eastAsia="仿宋" w:cs="仿宋"/>
          <w:szCs w:val="21"/>
        </w:rPr>
      </w:pPr>
      <w:r>
        <w:rPr>
          <w:rFonts w:hint="eastAsia" w:ascii="仿宋" w:hAnsi="仿宋" w:eastAsia="仿宋" w:cs="仿宋"/>
          <w:szCs w:val="21"/>
        </w:rPr>
        <w:t>4.供应商违反数据安全与保密约定，发生数据泄露、篡改、丢失等事件，或擅自使用、转让采购人数据的，采购人有权立即解除合同，不予支付剩余全部合同款项，供应商须支付合同总价款30%的违约金，同时承担全部法律责任，赔偿采购人因此遭受的全部经济损失（含监管处罚、民事赔偿、商誉损失等）。</w:t>
      </w:r>
    </w:p>
    <w:p w14:paraId="4F8727EA">
      <w:pPr>
        <w:pStyle w:val="16"/>
        <w:spacing w:line="336" w:lineRule="auto"/>
        <w:rPr>
          <w:rFonts w:ascii="仿宋" w:hAnsi="仿宋" w:eastAsia="仿宋" w:cs="仿宋"/>
          <w:szCs w:val="21"/>
        </w:rPr>
      </w:pPr>
      <w:r>
        <w:rPr>
          <w:rFonts w:hint="eastAsia" w:ascii="仿宋" w:hAnsi="仿宋" w:eastAsia="仿宋" w:cs="仿宋"/>
          <w:szCs w:val="21"/>
        </w:rPr>
        <w:t>5.供应商未经采购人同意，擅自更换项目核心人员、转包/分包本项目服务的，采购人有权扣除合同总价款的10%作为违约金，情节严重的，有权解除合同。</w:t>
      </w:r>
    </w:p>
    <w:p w14:paraId="3E49A649">
      <w:pPr>
        <w:spacing w:line="336" w:lineRule="auto"/>
        <w:ind w:left="1"/>
        <w:rPr>
          <w:rFonts w:ascii="仿宋" w:hAnsi="仿宋" w:eastAsia="仿宋" w:cs="仿宋"/>
          <w:b/>
          <w:bCs/>
          <w:szCs w:val="21"/>
        </w:rPr>
      </w:pPr>
      <w:r>
        <w:rPr>
          <w:rFonts w:hint="eastAsia" w:ascii="仿宋" w:hAnsi="仿宋" w:eastAsia="仿宋" w:cs="仿宋"/>
          <w:b/>
          <w:bCs/>
          <w:szCs w:val="21"/>
        </w:rPr>
        <w:t>第九条  争议解决</w:t>
      </w:r>
    </w:p>
    <w:p w14:paraId="0B03F16C">
      <w:pPr>
        <w:spacing w:line="360" w:lineRule="auto"/>
        <w:ind w:firstLine="480"/>
        <w:rPr>
          <w:rFonts w:ascii="仿宋" w:hAnsi="仿宋" w:eastAsia="仿宋" w:cs="仿宋"/>
          <w:szCs w:val="21"/>
        </w:rPr>
      </w:pPr>
      <w:r>
        <w:rPr>
          <w:rFonts w:hint="eastAsia" w:ascii="仿宋" w:hAnsi="仿宋" w:eastAsia="仿宋" w:cs="仿宋"/>
          <w:szCs w:val="21"/>
        </w:rPr>
        <w:t>甲乙双方在发生合同纠纷时，应本着互谅互让的原则友好协商解决。若协商不成，双方均可向甲方所在地有管辖权的人民法院提起诉讼。</w:t>
      </w:r>
    </w:p>
    <w:p w14:paraId="762154B1">
      <w:pPr>
        <w:spacing w:line="336" w:lineRule="auto"/>
        <w:ind w:left="1"/>
        <w:rPr>
          <w:rFonts w:ascii="仿宋" w:hAnsi="仿宋" w:eastAsia="仿宋" w:cs="仿宋"/>
          <w:b/>
          <w:bCs/>
          <w:szCs w:val="21"/>
        </w:rPr>
      </w:pPr>
      <w:r>
        <w:rPr>
          <w:rFonts w:hint="eastAsia" w:ascii="仿宋" w:hAnsi="仿宋" w:eastAsia="仿宋" w:cs="仿宋"/>
          <w:b/>
          <w:bCs/>
          <w:szCs w:val="21"/>
        </w:rPr>
        <w:t>第十条 通知及送达</w:t>
      </w:r>
    </w:p>
    <w:p w14:paraId="7A251851">
      <w:pPr>
        <w:spacing w:line="360" w:lineRule="auto"/>
        <w:ind w:firstLine="480"/>
        <w:rPr>
          <w:rFonts w:ascii="仿宋" w:hAnsi="仿宋" w:eastAsia="仿宋" w:cs="仿宋"/>
          <w:szCs w:val="21"/>
        </w:rPr>
      </w:pPr>
      <w:r>
        <w:rPr>
          <w:rFonts w:hint="eastAsia" w:ascii="仿宋" w:hAnsi="仿宋" w:eastAsia="仿宋" w:cs="仿宋"/>
          <w:szCs w:val="21"/>
        </w:rPr>
        <w:t>1.甲乙双方因履行本协议而相互发出或者提供的所有通知、文件、资料，均应以本协议所列明的联系方式送达，当面交付文件的，在交付之时视为送达；以邮寄方式的，以实际收到日为送达，实际送达日超出7日或无法查询投递结果的，均将视为在将通知交寄之后的7日按期送达；以电子邮件发送的，邮件发出并到达对方服务器之时视为送达。有关本协议的通知，任何一方向双方在本协议所填写的地址、手机号码、电话号码、电子邮件、微信号等发送的通知，即视为送达。</w:t>
      </w:r>
    </w:p>
    <w:p w14:paraId="50377913">
      <w:pPr>
        <w:spacing w:line="360" w:lineRule="auto"/>
        <w:ind w:firstLine="480"/>
        <w:rPr>
          <w:rFonts w:ascii="仿宋" w:hAnsi="仿宋" w:eastAsia="仿宋" w:cs="仿宋"/>
          <w:szCs w:val="21"/>
        </w:rPr>
      </w:pPr>
      <w:r>
        <w:rPr>
          <w:rFonts w:hint="eastAsia" w:ascii="仿宋" w:hAnsi="仿宋" w:eastAsia="仿宋" w:cs="仿宋"/>
          <w:szCs w:val="21"/>
        </w:rPr>
        <w:t>2.双方一致认可，在本协议签订后，双方之间的书面通知等文件通过递送、挂号、传真、特快专递等方式发送至协议记载的双方的通讯地址视为送达，且该通讯地址适用争议解决阶段；如果一方故意拒收、找他人代收、邮件被退回或以其他理由逃避接收文件的，所有书面文书自发出之日视为送达。</w:t>
      </w:r>
    </w:p>
    <w:p w14:paraId="29304972">
      <w:pPr>
        <w:spacing w:line="360" w:lineRule="auto"/>
        <w:ind w:firstLine="480"/>
        <w:rPr>
          <w:rFonts w:ascii="仿宋" w:hAnsi="仿宋" w:eastAsia="仿宋" w:cs="仿宋"/>
          <w:szCs w:val="21"/>
        </w:rPr>
      </w:pPr>
      <w:r>
        <w:rPr>
          <w:rFonts w:hint="eastAsia" w:ascii="仿宋" w:hAnsi="仿宋" w:eastAsia="仿宋" w:cs="仿宋"/>
          <w:szCs w:val="21"/>
        </w:rPr>
        <w:t>3.任何一方的联络方法发生变更的，应在变更之日起3个工作日内书面通知对方。在被通知方收到有关通知之前，被通知方根据变更前的联络方法所做出的联络和通讯应视为有效，未及时通知变更情况的一方自行承担由此产生的法律后果。</w:t>
      </w:r>
    </w:p>
    <w:p w14:paraId="4F5B1F94">
      <w:pPr>
        <w:spacing w:line="336" w:lineRule="auto"/>
        <w:ind w:left="1"/>
        <w:rPr>
          <w:rFonts w:ascii="仿宋" w:hAnsi="仿宋" w:eastAsia="仿宋" w:cs="仿宋"/>
          <w:b/>
          <w:bCs/>
          <w:szCs w:val="21"/>
        </w:rPr>
      </w:pPr>
      <w:r>
        <w:rPr>
          <w:rFonts w:hint="eastAsia" w:ascii="仿宋" w:hAnsi="仿宋" w:eastAsia="仿宋" w:cs="仿宋"/>
          <w:b/>
          <w:bCs/>
          <w:szCs w:val="21"/>
        </w:rPr>
        <w:t>第十一条  附则</w:t>
      </w:r>
    </w:p>
    <w:p w14:paraId="49F6F4CE">
      <w:pPr>
        <w:spacing w:line="336" w:lineRule="auto"/>
        <w:ind w:firstLine="420" w:firstLineChars="200"/>
        <w:rPr>
          <w:rFonts w:ascii="仿宋" w:hAnsi="仿宋" w:eastAsia="仿宋" w:cs="仿宋"/>
          <w:szCs w:val="21"/>
        </w:rPr>
      </w:pPr>
      <w:r>
        <w:rPr>
          <w:rFonts w:hint="eastAsia" w:ascii="仿宋" w:hAnsi="仿宋" w:eastAsia="仿宋" w:cs="仿宋"/>
          <w:szCs w:val="21"/>
        </w:rPr>
        <w:t>1.未经双方书面确认，任何一方不得变更或修改本合同。</w:t>
      </w:r>
    </w:p>
    <w:p w14:paraId="5182E9A8">
      <w:pPr>
        <w:spacing w:line="336" w:lineRule="auto"/>
        <w:ind w:firstLine="420" w:firstLineChars="200"/>
        <w:rPr>
          <w:rFonts w:ascii="仿宋" w:hAnsi="仿宋" w:eastAsia="仿宋" w:cs="仿宋"/>
          <w:szCs w:val="21"/>
        </w:rPr>
      </w:pPr>
      <w:r>
        <w:rPr>
          <w:rFonts w:hint="eastAsia" w:ascii="仿宋" w:hAnsi="仿宋" w:eastAsia="仿宋" w:cs="仿宋"/>
          <w:szCs w:val="21"/>
        </w:rPr>
        <w:t>2.对于本合同未尽事宜，双方可随时签订补充协议或以附件的形式对本合同中的有关问题作出补充、说明、解释。本合同的补充协议和附件为其不可分的部分，与本合同具有同等法律效力。</w:t>
      </w:r>
    </w:p>
    <w:p w14:paraId="1FB0F80B">
      <w:pPr>
        <w:spacing w:line="336" w:lineRule="auto"/>
        <w:ind w:firstLine="420" w:firstLineChars="200"/>
        <w:rPr>
          <w:rFonts w:ascii="仿宋" w:hAnsi="仿宋" w:eastAsia="仿宋" w:cs="仿宋"/>
          <w:szCs w:val="21"/>
        </w:rPr>
      </w:pPr>
      <w:r>
        <w:rPr>
          <w:rFonts w:hint="eastAsia" w:ascii="仿宋" w:hAnsi="仿宋" w:eastAsia="仿宋" w:cs="仿宋"/>
          <w:szCs w:val="21"/>
        </w:rPr>
        <w:t>3.本合同须加盖“骑缝章”，以确保合同的完整。</w:t>
      </w:r>
    </w:p>
    <w:p w14:paraId="0F6828F4">
      <w:pPr>
        <w:spacing w:line="336" w:lineRule="auto"/>
        <w:ind w:firstLine="420" w:firstLineChars="200"/>
        <w:rPr>
          <w:rFonts w:ascii="仿宋" w:hAnsi="仿宋" w:eastAsia="仿宋" w:cs="仿宋"/>
          <w:szCs w:val="21"/>
        </w:rPr>
      </w:pPr>
      <w:r>
        <w:rPr>
          <w:rFonts w:hint="eastAsia" w:ascii="仿宋" w:hAnsi="仿宋" w:eastAsia="仿宋" w:cs="仿宋"/>
          <w:szCs w:val="21"/>
        </w:rPr>
        <w:t>4.服务期限满，甲方若需乙方继续提供日常运行维护服务，甲方需与乙方续签技术服务合同，并支付年服务费。</w:t>
      </w:r>
    </w:p>
    <w:p w14:paraId="7D70CBDF">
      <w:pPr>
        <w:spacing w:line="336" w:lineRule="auto"/>
        <w:ind w:firstLine="420" w:firstLineChars="200"/>
        <w:rPr>
          <w:rFonts w:ascii="仿宋" w:hAnsi="仿宋" w:eastAsia="仿宋" w:cs="仿宋"/>
          <w:szCs w:val="21"/>
        </w:rPr>
      </w:pPr>
      <w:r>
        <w:rPr>
          <w:rFonts w:hint="eastAsia" w:ascii="仿宋" w:hAnsi="仿宋" w:eastAsia="仿宋" w:cs="仿宋"/>
          <w:szCs w:val="21"/>
        </w:rPr>
        <w:t>4.本合同共</w:t>
      </w:r>
      <w:r>
        <w:rPr>
          <w:rFonts w:hint="eastAsia" w:ascii="仿宋" w:hAnsi="仿宋" w:eastAsia="仿宋" w:cs="仿宋"/>
          <w:szCs w:val="21"/>
          <w:u w:val="single"/>
        </w:rPr>
        <w:t xml:space="preserve">    </w:t>
      </w:r>
      <w:r>
        <w:rPr>
          <w:rFonts w:hint="eastAsia" w:ascii="仿宋" w:hAnsi="仿宋" w:eastAsia="仿宋" w:cs="仿宋"/>
          <w:szCs w:val="21"/>
        </w:rPr>
        <w:t>页一式</w:t>
      </w:r>
      <w:r>
        <w:rPr>
          <w:rFonts w:hint="eastAsia" w:ascii="仿宋" w:hAnsi="仿宋" w:eastAsia="仿宋" w:cs="仿宋"/>
          <w:szCs w:val="21"/>
          <w:u w:val="single"/>
        </w:rPr>
        <w:t xml:space="preserve">   </w:t>
      </w:r>
      <w:r>
        <w:rPr>
          <w:rFonts w:hint="eastAsia" w:ascii="仿宋" w:hAnsi="仿宋" w:eastAsia="仿宋" w:cs="仿宋"/>
          <w:szCs w:val="21"/>
        </w:rPr>
        <w:t>份，双方各执</w:t>
      </w:r>
      <w:r>
        <w:rPr>
          <w:rFonts w:hint="eastAsia" w:ascii="仿宋" w:hAnsi="仿宋" w:eastAsia="仿宋" w:cs="仿宋"/>
          <w:szCs w:val="21"/>
          <w:u w:val="single"/>
        </w:rPr>
        <w:t xml:space="preserve">    </w:t>
      </w:r>
      <w:r>
        <w:rPr>
          <w:rFonts w:hint="eastAsia" w:ascii="仿宋" w:hAnsi="仿宋" w:eastAsia="仿宋" w:cs="仿宋"/>
          <w:szCs w:val="21"/>
        </w:rPr>
        <w:t>份，甲、乙双方法定代表人或授权代表签字并加盖公章后，方可生效，均具有同等法律效力。</w:t>
      </w:r>
    </w:p>
    <w:p w14:paraId="7B5FC069">
      <w:pPr>
        <w:pStyle w:val="10"/>
        <w:ind w:firstLine="210"/>
        <w:rPr>
          <w:rFonts w:ascii="仿宋" w:hAnsi="仿宋" w:eastAsia="仿宋" w:cs="仿宋"/>
          <w:szCs w:val="21"/>
        </w:rPr>
      </w:pPr>
      <w:r>
        <w:rPr>
          <w:rFonts w:hint="eastAsia" w:ascii="仿宋" w:hAnsi="仿宋" w:eastAsia="仿宋" w:cs="仿宋"/>
          <w:szCs w:val="21"/>
        </w:rPr>
        <w:t>（以下无正文）</w:t>
      </w:r>
    </w:p>
    <w:p w14:paraId="4C917D8F">
      <w:pPr>
        <w:rPr>
          <w:rFonts w:ascii="仿宋" w:hAnsi="仿宋" w:eastAsia="仿宋" w:cs="仿宋"/>
          <w:szCs w:val="21"/>
        </w:rPr>
      </w:pPr>
      <w:r>
        <w:rPr>
          <w:rFonts w:hint="eastAsia" w:ascii="仿宋" w:hAnsi="仿宋" w:eastAsia="仿宋" w:cs="仿宋"/>
          <w:szCs w:val="21"/>
        </w:rPr>
        <w:br w:type="page"/>
      </w:r>
    </w:p>
    <w:tbl>
      <w:tblPr>
        <w:tblStyle w:val="12"/>
        <w:tblpPr w:leftFromText="180" w:rightFromText="180" w:vertAnchor="text" w:horzAnchor="page" w:tblpX="1011" w:tblpY="396"/>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7"/>
        <w:gridCol w:w="3001"/>
        <w:gridCol w:w="1543"/>
        <w:gridCol w:w="3789"/>
      </w:tblGrid>
      <w:tr w14:paraId="3E4A2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70" w:type="pct"/>
          </w:tcPr>
          <w:p w14:paraId="6B87BE76">
            <w:pPr>
              <w:spacing w:line="360" w:lineRule="auto"/>
              <w:rPr>
                <w:rFonts w:ascii="仿宋" w:hAnsi="仿宋" w:eastAsia="仿宋" w:cs="仿宋"/>
                <w:szCs w:val="21"/>
              </w:rPr>
            </w:pPr>
            <w:r>
              <w:rPr>
                <w:rFonts w:hint="eastAsia" w:ascii="仿宋" w:hAnsi="仿宋" w:eastAsia="仿宋" w:cs="仿宋"/>
                <w:b/>
                <w:szCs w:val="21"/>
              </w:rPr>
              <w:t>甲    方：</w:t>
            </w:r>
            <w:r>
              <w:rPr>
                <w:rFonts w:hint="eastAsia" w:ascii="仿宋" w:hAnsi="仿宋" w:eastAsia="仿宋" w:cs="仿宋"/>
                <w:szCs w:val="21"/>
              </w:rPr>
              <w:t xml:space="preserve"> </w:t>
            </w:r>
          </w:p>
        </w:tc>
        <w:tc>
          <w:tcPr>
            <w:tcW w:w="1523" w:type="pct"/>
          </w:tcPr>
          <w:p w14:paraId="36FD439F">
            <w:pPr>
              <w:spacing w:line="360" w:lineRule="auto"/>
              <w:rPr>
                <w:rFonts w:ascii="仿宋" w:hAnsi="仿宋" w:eastAsia="仿宋" w:cs="仿宋"/>
                <w:b/>
                <w:szCs w:val="21"/>
              </w:rPr>
            </w:pPr>
            <w:r>
              <w:rPr>
                <w:rFonts w:hint="eastAsia" w:ascii="仿宋" w:hAnsi="仿宋" w:eastAsia="仿宋" w:cs="仿宋"/>
                <w:b/>
                <w:szCs w:val="21"/>
              </w:rPr>
              <w:t>陕西省交通医院（公章）</w:t>
            </w:r>
          </w:p>
        </w:tc>
        <w:tc>
          <w:tcPr>
            <w:tcW w:w="783" w:type="pct"/>
          </w:tcPr>
          <w:p w14:paraId="28226DE0">
            <w:pPr>
              <w:spacing w:line="360" w:lineRule="auto"/>
              <w:rPr>
                <w:rFonts w:ascii="仿宋" w:hAnsi="仿宋" w:eastAsia="仿宋" w:cs="仿宋"/>
                <w:szCs w:val="21"/>
              </w:rPr>
            </w:pPr>
            <w:r>
              <w:rPr>
                <w:rFonts w:hint="eastAsia" w:ascii="仿宋" w:hAnsi="仿宋" w:eastAsia="仿宋" w:cs="仿宋"/>
                <w:b/>
                <w:szCs w:val="21"/>
              </w:rPr>
              <w:t>乙    方：</w:t>
            </w:r>
            <w:r>
              <w:rPr>
                <w:rFonts w:hint="eastAsia" w:ascii="仿宋" w:hAnsi="仿宋" w:eastAsia="仿宋" w:cs="仿宋"/>
                <w:szCs w:val="21"/>
              </w:rPr>
              <w:t xml:space="preserve"> </w:t>
            </w:r>
          </w:p>
        </w:tc>
        <w:tc>
          <w:tcPr>
            <w:tcW w:w="1923" w:type="pct"/>
          </w:tcPr>
          <w:p w14:paraId="552325DB">
            <w:pPr>
              <w:spacing w:line="360" w:lineRule="auto"/>
              <w:rPr>
                <w:rFonts w:ascii="仿宋" w:hAnsi="仿宋" w:eastAsia="仿宋" w:cs="仿宋"/>
                <w:szCs w:val="21"/>
              </w:rPr>
            </w:pPr>
          </w:p>
        </w:tc>
      </w:tr>
      <w:tr w14:paraId="0A256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70" w:type="pct"/>
          </w:tcPr>
          <w:p w14:paraId="4DE7B691">
            <w:pPr>
              <w:spacing w:line="360" w:lineRule="auto"/>
              <w:rPr>
                <w:rFonts w:ascii="仿宋" w:hAnsi="仿宋" w:eastAsia="仿宋" w:cs="仿宋"/>
                <w:szCs w:val="21"/>
              </w:rPr>
            </w:pPr>
            <w:r>
              <w:rPr>
                <w:rFonts w:hint="eastAsia" w:ascii="仿宋" w:hAnsi="仿宋" w:eastAsia="仿宋" w:cs="仿宋"/>
                <w:szCs w:val="21"/>
              </w:rPr>
              <w:t>单位税号：</w:t>
            </w:r>
          </w:p>
        </w:tc>
        <w:tc>
          <w:tcPr>
            <w:tcW w:w="1523" w:type="pct"/>
          </w:tcPr>
          <w:p w14:paraId="6BA1574F">
            <w:pPr>
              <w:spacing w:line="360" w:lineRule="auto"/>
              <w:rPr>
                <w:rFonts w:ascii="仿宋" w:hAnsi="仿宋" w:eastAsia="仿宋" w:cs="仿宋"/>
                <w:szCs w:val="21"/>
              </w:rPr>
            </w:pPr>
            <w:r>
              <w:rPr>
                <w:rFonts w:hint="eastAsia" w:ascii="仿宋" w:hAnsi="仿宋" w:eastAsia="仿宋" w:cs="仿宋"/>
                <w:szCs w:val="21"/>
              </w:rPr>
              <w:t>12610000435201944P</w:t>
            </w:r>
          </w:p>
        </w:tc>
        <w:tc>
          <w:tcPr>
            <w:tcW w:w="783" w:type="pct"/>
          </w:tcPr>
          <w:p w14:paraId="68C9735D">
            <w:pPr>
              <w:spacing w:line="360" w:lineRule="auto"/>
              <w:rPr>
                <w:rFonts w:ascii="仿宋" w:hAnsi="仿宋" w:eastAsia="仿宋" w:cs="仿宋"/>
                <w:szCs w:val="21"/>
              </w:rPr>
            </w:pPr>
            <w:r>
              <w:rPr>
                <w:rFonts w:hint="eastAsia" w:ascii="仿宋" w:hAnsi="仿宋" w:eastAsia="仿宋" w:cs="仿宋"/>
                <w:szCs w:val="21"/>
              </w:rPr>
              <w:t>单位税号：</w:t>
            </w:r>
          </w:p>
        </w:tc>
        <w:tc>
          <w:tcPr>
            <w:tcW w:w="1923" w:type="pct"/>
          </w:tcPr>
          <w:p w14:paraId="5A2D9632">
            <w:pPr>
              <w:spacing w:line="360" w:lineRule="auto"/>
              <w:rPr>
                <w:rFonts w:ascii="仿宋" w:hAnsi="仿宋" w:eastAsia="仿宋" w:cs="仿宋"/>
                <w:szCs w:val="21"/>
              </w:rPr>
            </w:pPr>
          </w:p>
        </w:tc>
      </w:tr>
      <w:tr w14:paraId="7EFC6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70" w:type="pct"/>
          </w:tcPr>
          <w:p w14:paraId="20B28E8C">
            <w:pPr>
              <w:spacing w:line="360" w:lineRule="auto"/>
              <w:rPr>
                <w:rFonts w:ascii="仿宋" w:hAnsi="仿宋" w:eastAsia="仿宋" w:cs="仿宋"/>
                <w:szCs w:val="21"/>
              </w:rPr>
            </w:pPr>
            <w:r>
              <w:rPr>
                <w:rFonts w:hint="eastAsia" w:ascii="仿宋" w:hAnsi="仿宋" w:eastAsia="仿宋" w:cs="仿宋"/>
                <w:szCs w:val="21"/>
              </w:rPr>
              <w:t>单位地址：</w:t>
            </w:r>
          </w:p>
        </w:tc>
        <w:tc>
          <w:tcPr>
            <w:tcW w:w="1523" w:type="pct"/>
          </w:tcPr>
          <w:p w14:paraId="7AF4BA63">
            <w:pPr>
              <w:spacing w:line="360" w:lineRule="auto"/>
              <w:rPr>
                <w:rFonts w:ascii="仿宋" w:hAnsi="仿宋" w:eastAsia="仿宋" w:cs="仿宋"/>
                <w:szCs w:val="21"/>
              </w:rPr>
            </w:pPr>
            <w:r>
              <w:rPr>
                <w:rFonts w:hint="eastAsia" w:ascii="仿宋" w:hAnsi="仿宋" w:eastAsia="仿宋" w:cs="仿宋"/>
                <w:szCs w:val="21"/>
              </w:rPr>
              <w:t>西安市大学南路276号</w:t>
            </w:r>
          </w:p>
        </w:tc>
        <w:tc>
          <w:tcPr>
            <w:tcW w:w="783" w:type="pct"/>
          </w:tcPr>
          <w:p w14:paraId="1F89B45C">
            <w:pPr>
              <w:spacing w:line="360" w:lineRule="auto"/>
              <w:rPr>
                <w:rFonts w:ascii="仿宋" w:hAnsi="仿宋" w:eastAsia="仿宋" w:cs="仿宋"/>
                <w:szCs w:val="21"/>
              </w:rPr>
            </w:pPr>
            <w:r>
              <w:rPr>
                <w:rFonts w:hint="eastAsia" w:ascii="仿宋" w:hAnsi="仿宋" w:eastAsia="仿宋" w:cs="仿宋"/>
                <w:szCs w:val="21"/>
              </w:rPr>
              <w:t>单位地址：</w:t>
            </w:r>
          </w:p>
        </w:tc>
        <w:tc>
          <w:tcPr>
            <w:tcW w:w="1923" w:type="pct"/>
          </w:tcPr>
          <w:p w14:paraId="4E07F207">
            <w:pPr>
              <w:spacing w:line="360" w:lineRule="auto"/>
              <w:rPr>
                <w:rFonts w:ascii="仿宋" w:hAnsi="仿宋" w:eastAsia="仿宋" w:cs="仿宋"/>
                <w:szCs w:val="21"/>
              </w:rPr>
            </w:pPr>
          </w:p>
        </w:tc>
      </w:tr>
      <w:tr w14:paraId="1E5B2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70" w:type="pct"/>
          </w:tcPr>
          <w:p w14:paraId="6C5DD889">
            <w:pPr>
              <w:spacing w:line="360" w:lineRule="auto"/>
              <w:rPr>
                <w:rFonts w:ascii="仿宋" w:hAnsi="仿宋" w:eastAsia="仿宋" w:cs="仿宋"/>
                <w:szCs w:val="21"/>
              </w:rPr>
            </w:pPr>
            <w:r>
              <w:rPr>
                <w:rFonts w:hint="eastAsia" w:ascii="仿宋" w:hAnsi="仿宋" w:eastAsia="仿宋" w:cs="仿宋"/>
                <w:szCs w:val="21"/>
              </w:rPr>
              <w:t>电    话：</w:t>
            </w:r>
          </w:p>
        </w:tc>
        <w:tc>
          <w:tcPr>
            <w:tcW w:w="1523" w:type="pct"/>
          </w:tcPr>
          <w:p w14:paraId="7F7D5B55">
            <w:pPr>
              <w:spacing w:line="360" w:lineRule="auto"/>
              <w:rPr>
                <w:rFonts w:ascii="仿宋" w:hAnsi="仿宋" w:eastAsia="仿宋" w:cs="仿宋"/>
                <w:szCs w:val="21"/>
              </w:rPr>
            </w:pPr>
            <w:r>
              <w:rPr>
                <w:rFonts w:hint="eastAsia" w:ascii="仿宋" w:hAnsi="仿宋" w:eastAsia="仿宋" w:cs="仿宋"/>
                <w:szCs w:val="21"/>
              </w:rPr>
              <w:t>029-88490077</w:t>
            </w:r>
          </w:p>
        </w:tc>
        <w:tc>
          <w:tcPr>
            <w:tcW w:w="783" w:type="pct"/>
          </w:tcPr>
          <w:p w14:paraId="0114E197">
            <w:pPr>
              <w:spacing w:line="360" w:lineRule="auto"/>
              <w:rPr>
                <w:rFonts w:ascii="仿宋" w:hAnsi="仿宋" w:eastAsia="仿宋" w:cs="仿宋"/>
                <w:szCs w:val="21"/>
              </w:rPr>
            </w:pPr>
            <w:r>
              <w:rPr>
                <w:rFonts w:hint="eastAsia" w:ascii="仿宋" w:hAnsi="仿宋" w:eastAsia="仿宋" w:cs="仿宋"/>
                <w:szCs w:val="21"/>
              </w:rPr>
              <w:t>电    话：</w:t>
            </w:r>
          </w:p>
        </w:tc>
        <w:tc>
          <w:tcPr>
            <w:tcW w:w="1923" w:type="pct"/>
          </w:tcPr>
          <w:p w14:paraId="5951A964">
            <w:pPr>
              <w:spacing w:line="360" w:lineRule="auto"/>
              <w:rPr>
                <w:rFonts w:ascii="仿宋" w:hAnsi="仿宋" w:eastAsia="仿宋" w:cs="仿宋"/>
                <w:szCs w:val="21"/>
              </w:rPr>
            </w:pPr>
          </w:p>
        </w:tc>
      </w:tr>
      <w:tr w14:paraId="2FF39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70" w:type="pct"/>
          </w:tcPr>
          <w:p w14:paraId="1F22A90D">
            <w:pPr>
              <w:spacing w:line="360" w:lineRule="auto"/>
              <w:rPr>
                <w:rFonts w:ascii="仿宋" w:hAnsi="仿宋" w:eastAsia="仿宋" w:cs="仿宋"/>
                <w:szCs w:val="21"/>
              </w:rPr>
            </w:pPr>
            <w:r>
              <w:rPr>
                <w:rFonts w:hint="eastAsia" w:ascii="仿宋" w:hAnsi="仿宋" w:eastAsia="仿宋" w:cs="仿宋"/>
                <w:szCs w:val="21"/>
              </w:rPr>
              <w:t>银    行：</w:t>
            </w:r>
          </w:p>
        </w:tc>
        <w:tc>
          <w:tcPr>
            <w:tcW w:w="1523" w:type="pct"/>
          </w:tcPr>
          <w:p w14:paraId="6715AC54">
            <w:pPr>
              <w:spacing w:line="360" w:lineRule="auto"/>
              <w:rPr>
                <w:rFonts w:ascii="仿宋" w:hAnsi="仿宋" w:eastAsia="仿宋" w:cs="仿宋"/>
                <w:szCs w:val="21"/>
              </w:rPr>
            </w:pPr>
            <w:r>
              <w:rPr>
                <w:rFonts w:hint="eastAsia" w:ascii="仿宋" w:hAnsi="仿宋" w:eastAsia="仿宋" w:cs="仿宋"/>
                <w:szCs w:val="21"/>
              </w:rPr>
              <w:t>中国农业银行西安昆明路支行</w:t>
            </w:r>
          </w:p>
        </w:tc>
        <w:tc>
          <w:tcPr>
            <w:tcW w:w="783" w:type="pct"/>
          </w:tcPr>
          <w:p w14:paraId="5ABA00B7">
            <w:pPr>
              <w:spacing w:line="360" w:lineRule="auto"/>
              <w:rPr>
                <w:rFonts w:ascii="仿宋" w:hAnsi="仿宋" w:eastAsia="仿宋" w:cs="仿宋"/>
                <w:szCs w:val="21"/>
              </w:rPr>
            </w:pPr>
            <w:r>
              <w:rPr>
                <w:rFonts w:hint="eastAsia" w:ascii="仿宋" w:hAnsi="仿宋" w:eastAsia="仿宋" w:cs="仿宋"/>
                <w:szCs w:val="21"/>
              </w:rPr>
              <w:t xml:space="preserve">开户银行： </w:t>
            </w:r>
          </w:p>
        </w:tc>
        <w:tc>
          <w:tcPr>
            <w:tcW w:w="1923" w:type="pct"/>
          </w:tcPr>
          <w:p w14:paraId="445DB5B7">
            <w:pPr>
              <w:spacing w:line="360" w:lineRule="auto"/>
              <w:rPr>
                <w:rFonts w:ascii="仿宋" w:hAnsi="仿宋" w:eastAsia="仿宋" w:cs="仿宋"/>
                <w:szCs w:val="21"/>
              </w:rPr>
            </w:pPr>
          </w:p>
        </w:tc>
      </w:tr>
      <w:tr w14:paraId="70BAB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70" w:type="pct"/>
          </w:tcPr>
          <w:p w14:paraId="6E39B316">
            <w:pPr>
              <w:spacing w:line="360" w:lineRule="auto"/>
              <w:rPr>
                <w:rFonts w:ascii="仿宋" w:hAnsi="仿宋" w:eastAsia="仿宋" w:cs="仿宋"/>
                <w:szCs w:val="21"/>
              </w:rPr>
            </w:pPr>
            <w:r>
              <w:rPr>
                <w:rFonts w:hint="eastAsia" w:ascii="仿宋" w:hAnsi="仿宋" w:eastAsia="仿宋" w:cs="仿宋"/>
                <w:szCs w:val="21"/>
              </w:rPr>
              <w:t>账    号：</w:t>
            </w:r>
          </w:p>
        </w:tc>
        <w:tc>
          <w:tcPr>
            <w:tcW w:w="1523" w:type="pct"/>
          </w:tcPr>
          <w:p w14:paraId="200FCC0B">
            <w:pPr>
              <w:spacing w:line="360" w:lineRule="auto"/>
              <w:rPr>
                <w:rFonts w:ascii="仿宋" w:hAnsi="仿宋" w:eastAsia="仿宋" w:cs="仿宋"/>
                <w:szCs w:val="21"/>
              </w:rPr>
            </w:pPr>
            <w:r>
              <w:rPr>
                <w:rFonts w:hint="eastAsia" w:ascii="仿宋" w:hAnsi="仿宋" w:eastAsia="仿宋" w:cs="仿宋"/>
                <w:szCs w:val="21"/>
              </w:rPr>
              <w:t>2614 2601 0400 17869</w:t>
            </w:r>
          </w:p>
        </w:tc>
        <w:tc>
          <w:tcPr>
            <w:tcW w:w="783" w:type="pct"/>
          </w:tcPr>
          <w:p w14:paraId="791BF4F7">
            <w:pPr>
              <w:spacing w:line="360" w:lineRule="auto"/>
              <w:rPr>
                <w:rFonts w:ascii="仿宋" w:hAnsi="仿宋" w:eastAsia="仿宋" w:cs="仿宋"/>
                <w:szCs w:val="21"/>
              </w:rPr>
            </w:pPr>
            <w:r>
              <w:rPr>
                <w:rFonts w:hint="eastAsia" w:ascii="仿宋" w:hAnsi="仿宋" w:eastAsia="仿宋" w:cs="仿宋"/>
                <w:szCs w:val="21"/>
              </w:rPr>
              <w:t>账    号：</w:t>
            </w:r>
          </w:p>
        </w:tc>
        <w:tc>
          <w:tcPr>
            <w:tcW w:w="1923" w:type="pct"/>
          </w:tcPr>
          <w:p w14:paraId="2002E4C9">
            <w:pPr>
              <w:spacing w:line="360" w:lineRule="auto"/>
              <w:rPr>
                <w:rFonts w:ascii="仿宋" w:hAnsi="仿宋" w:eastAsia="仿宋" w:cs="仿宋"/>
                <w:szCs w:val="21"/>
              </w:rPr>
            </w:pPr>
          </w:p>
        </w:tc>
      </w:tr>
      <w:tr w14:paraId="03C1C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70" w:type="pct"/>
          </w:tcPr>
          <w:p w14:paraId="39BA4FA2">
            <w:pPr>
              <w:spacing w:line="360" w:lineRule="auto"/>
              <w:rPr>
                <w:rFonts w:ascii="仿宋" w:hAnsi="仿宋" w:eastAsia="仿宋" w:cs="仿宋"/>
                <w:szCs w:val="21"/>
              </w:rPr>
            </w:pPr>
            <w:r>
              <w:rPr>
                <w:rFonts w:hint="eastAsia" w:ascii="仿宋" w:hAnsi="仿宋" w:eastAsia="仿宋" w:cs="仿宋"/>
                <w:szCs w:val="21"/>
              </w:rPr>
              <w:t>法定代表人或委托代理人：</w:t>
            </w:r>
          </w:p>
        </w:tc>
        <w:tc>
          <w:tcPr>
            <w:tcW w:w="1523" w:type="pct"/>
          </w:tcPr>
          <w:p w14:paraId="6B635088">
            <w:pPr>
              <w:spacing w:line="360" w:lineRule="auto"/>
              <w:rPr>
                <w:rFonts w:ascii="仿宋" w:hAnsi="仿宋" w:eastAsia="仿宋" w:cs="仿宋"/>
                <w:szCs w:val="21"/>
              </w:rPr>
            </w:pPr>
          </w:p>
        </w:tc>
        <w:tc>
          <w:tcPr>
            <w:tcW w:w="783" w:type="pct"/>
          </w:tcPr>
          <w:p w14:paraId="7CE94014">
            <w:pPr>
              <w:spacing w:line="360" w:lineRule="auto"/>
              <w:rPr>
                <w:rFonts w:ascii="仿宋" w:hAnsi="仿宋" w:eastAsia="仿宋" w:cs="仿宋"/>
                <w:szCs w:val="21"/>
              </w:rPr>
            </w:pPr>
            <w:r>
              <w:rPr>
                <w:rFonts w:hint="eastAsia" w:ascii="仿宋" w:hAnsi="仿宋" w:eastAsia="仿宋" w:cs="仿宋"/>
                <w:szCs w:val="21"/>
              </w:rPr>
              <w:t>法定代表人或委托代理人：</w:t>
            </w:r>
          </w:p>
        </w:tc>
        <w:tc>
          <w:tcPr>
            <w:tcW w:w="1923" w:type="pct"/>
          </w:tcPr>
          <w:p w14:paraId="68E4D884">
            <w:pPr>
              <w:spacing w:line="360" w:lineRule="auto"/>
              <w:rPr>
                <w:rFonts w:ascii="仿宋" w:hAnsi="仿宋" w:eastAsia="仿宋" w:cs="仿宋"/>
                <w:szCs w:val="21"/>
              </w:rPr>
            </w:pPr>
          </w:p>
        </w:tc>
      </w:tr>
      <w:tr w14:paraId="6BAC1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70" w:type="pct"/>
          </w:tcPr>
          <w:p w14:paraId="208B2D7E">
            <w:pPr>
              <w:spacing w:line="360" w:lineRule="auto"/>
              <w:rPr>
                <w:rFonts w:ascii="仿宋" w:hAnsi="仿宋" w:eastAsia="仿宋" w:cs="仿宋"/>
                <w:szCs w:val="21"/>
              </w:rPr>
            </w:pPr>
            <w:r>
              <w:rPr>
                <w:rFonts w:hint="eastAsia" w:ascii="仿宋" w:hAnsi="仿宋" w:eastAsia="仿宋" w:cs="仿宋"/>
                <w:szCs w:val="21"/>
              </w:rPr>
              <w:t>签订日期：</w:t>
            </w:r>
          </w:p>
        </w:tc>
        <w:tc>
          <w:tcPr>
            <w:tcW w:w="1523" w:type="pct"/>
          </w:tcPr>
          <w:p w14:paraId="54A8E162">
            <w:pPr>
              <w:spacing w:line="360" w:lineRule="auto"/>
              <w:ind w:firstLine="420" w:firstLineChars="200"/>
              <w:rPr>
                <w:rFonts w:ascii="仿宋" w:hAnsi="仿宋" w:eastAsia="仿宋" w:cs="仿宋"/>
                <w:szCs w:val="21"/>
              </w:rPr>
            </w:pPr>
            <w:r>
              <w:rPr>
                <w:rFonts w:hint="eastAsia" w:ascii="仿宋" w:hAnsi="仿宋" w:eastAsia="仿宋" w:cs="仿宋"/>
                <w:szCs w:val="21"/>
              </w:rPr>
              <w:t>年  月  日</w:t>
            </w:r>
          </w:p>
        </w:tc>
        <w:tc>
          <w:tcPr>
            <w:tcW w:w="783" w:type="pct"/>
          </w:tcPr>
          <w:p w14:paraId="56C15251">
            <w:pPr>
              <w:spacing w:line="360" w:lineRule="auto"/>
              <w:rPr>
                <w:rFonts w:ascii="仿宋" w:hAnsi="仿宋" w:eastAsia="仿宋" w:cs="仿宋"/>
                <w:szCs w:val="21"/>
              </w:rPr>
            </w:pPr>
            <w:r>
              <w:rPr>
                <w:rFonts w:hint="eastAsia" w:ascii="仿宋" w:hAnsi="仿宋" w:eastAsia="仿宋" w:cs="仿宋"/>
                <w:szCs w:val="21"/>
              </w:rPr>
              <w:t>签订日期：</w:t>
            </w:r>
          </w:p>
        </w:tc>
        <w:tc>
          <w:tcPr>
            <w:tcW w:w="1923" w:type="pct"/>
          </w:tcPr>
          <w:p w14:paraId="43BBCBF8">
            <w:pPr>
              <w:spacing w:line="360" w:lineRule="auto"/>
              <w:rPr>
                <w:rFonts w:ascii="仿宋" w:hAnsi="仿宋" w:eastAsia="仿宋" w:cs="仿宋"/>
                <w:szCs w:val="21"/>
              </w:rPr>
            </w:pPr>
            <w:r>
              <w:rPr>
                <w:rFonts w:hint="eastAsia" w:ascii="仿宋" w:hAnsi="仿宋" w:eastAsia="仿宋" w:cs="仿宋"/>
                <w:szCs w:val="21"/>
              </w:rPr>
              <w:t xml:space="preserve">      年  月  日</w:t>
            </w:r>
          </w:p>
        </w:tc>
      </w:tr>
    </w:tbl>
    <w:p w14:paraId="5C3F24CD">
      <w:pPr>
        <w:pStyle w:val="2"/>
        <w:rPr>
          <w:sz w:val="21"/>
          <w:szCs w:val="21"/>
        </w:rPr>
      </w:pPr>
      <w:r>
        <w:rPr>
          <w:sz w:val="21"/>
          <w:szCs w:val="21"/>
        </w:rPr>
        <w:br w:type="page"/>
      </w:r>
    </w:p>
    <w:p w14:paraId="7EAF0992">
      <w:pPr>
        <w:pStyle w:val="2"/>
        <w:rPr>
          <w:sz w:val="21"/>
          <w:szCs w:val="21"/>
        </w:rPr>
      </w:pPr>
    </w:p>
    <w:p w14:paraId="03380EC3">
      <w:pPr>
        <w:pStyle w:val="2"/>
        <w:rPr>
          <w:b/>
          <w:kern w:val="0"/>
          <w:sz w:val="21"/>
          <w:szCs w:val="21"/>
          <w:lang w:eastAsia="zh-CN" w:bidi="ar"/>
        </w:rPr>
      </w:pPr>
      <w:r>
        <w:rPr>
          <w:rFonts w:hint="eastAsia"/>
          <w:b/>
          <w:kern w:val="0"/>
          <w:sz w:val="21"/>
          <w:szCs w:val="21"/>
          <w:lang w:eastAsia="zh-CN" w:bidi="ar"/>
        </w:rPr>
        <w:t>附件1：中联医院信息系统维护范围清单：</w:t>
      </w:r>
    </w:p>
    <w:tbl>
      <w:tblPr>
        <w:tblStyle w:val="1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3"/>
        <w:gridCol w:w="7609"/>
      </w:tblGrid>
      <w:tr w14:paraId="2EC9D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Align w:val="center"/>
          </w:tcPr>
          <w:p w14:paraId="147C5862">
            <w:pPr>
              <w:snapToGrid w:val="0"/>
              <w:spacing w:line="360" w:lineRule="auto"/>
              <w:jc w:val="center"/>
              <w:rPr>
                <w:rFonts w:ascii="仿宋" w:hAnsi="仿宋" w:eastAsia="仿宋" w:cs="仿宋"/>
                <w:b/>
                <w:color w:val="000000"/>
                <w:kern w:val="0"/>
                <w:sz w:val="20"/>
                <w:szCs w:val="20"/>
              </w:rPr>
            </w:pPr>
            <w:r>
              <w:rPr>
                <w:rFonts w:hint="eastAsia" w:ascii="仿宋" w:hAnsi="仿宋" w:eastAsia="仿宋" w:cs="仿宋"/>
                <w:b/>
                <w:bCs/>
                <w:kern w:val="0"/>
                <w:sz w:val="20"/>
                <w:szCs w:val="20"/>
              </w:rPr>
              <w:t>系统名称</w:t>
            </w:r>
          </w:p>
        </w:tc>
        <w:tc>
          <w:tcPr>
            <w:tcW w:w="3861" w:type="pct"/>
            <w:vAlign w:val="center"/>
          </w:tcPr>
          <w:p w14:paraId="2017FF30">
            <w:pPr>
              <w:snapToGrid w:val="0"/>
              <w:spacing w:line="360" w:lineRule="auto"/>
              <w:jc w:val="center"/>
              <w:rPr>
                <w:rFonts w:ascii="仿宋" w:hAnsi="仿宋" w:eastAsia="仿宋" w:cs="仿宋"/>
                <w:b/>
                <w:color w:val="000000"/>
                <w:kern w:val="0"/>
                <w:sz w:val="20"/>
                <w:szCs w:val="20"/>
              </w:rPr>
            </w:pPr>
            <w:r>
              <w:rPr>
                <w:rFonts w:hint="eastAsia" w:ascii="仿宋" w:hAnsi="仿宋" w:eastAsia="仿宋" w:cs="仿宋"/>
                <w:b/>
                <w:bCs/>
                <w:kern w:val="0"/>
                <w:sz w:val="20"/>
                <w:szCs w:val="20"/>
              </w:rPr>
              <w:t>子系统 / 模块</w:t>
            </w:r>
          </w:p>
        </w:tc>
      </w:tr>
      <w:tr w14:paraId="57192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restart"/>
            <w:vAlign w:val="center"/>
          </w:tcPr>
          <w:p w14:paraId="37D44BF6">
            <w:pPr>
              <w:snapToGrid w:val="0"/>
              <w:spacing w:line="360" w:lineRule="auto"/>
              <w:jc w:val="center"/>
              <w:rPr>
                <w:rFonts w:ascii="仿宋" w:hAnsi="仿宋" w:eastAsia="仿宋" w:cs="仿宋"/>
                <w:color w:val="000000"/>
                <w:kern w:val="0"/>
                <w:sz w:val="20"/>
                <w:szCs w:val="20"/>
              </w:rPr>
            </w:pPr>
            <w:r>
              <w:rPr>
                <w:rFonts w:hint="eastAsia" w:ascii="仿宋" w:hAnsi="仿宋" w:eastAsia="仿宋" w:cs="仿宋"/>
                <w:color w:val="000000"/>
                <w:kern w:val="0"/>
                <w:sz w:val="20"/>
                <w:szCs w:val="20"/>
              </w:rPr>
              <w:t>医院基础信息系统</w:t>
            </w:r>
          </w:p>
          <w:p w14:paraId="3918C7E6">
            <w:pPr>
              <w:snapToGrid w:val="0"/>
              <w:spacing w:line="360" w:lineRule="auto"/>
              <w:jc w:val="center"/>
              <w:rPr>
                <w:rFonts w:ascii="仿宋" w:hAnsi="仿宋" w:eastAsia="仿宋" w:cs="仿宋"/>
                <w:sz w:val="20"/>
                <w:szCs w:val="20"/>
              </w:rPr>
            </w:pPr>
            <w:r>
              <w:rPr>
                <w:rFonts w:hint="eastAsia" w:ascii="仿宋" w:hAnsi="仿宋" w:eastAsia="仿宋" w:cs="仿宋"/>
                <w:color w:val="000000"/>
                <w:kern w:val="0"/>
                <w:sz w:val="20"/>
                <w:szCs w:val="20"/>
              </w:rPr>
              <w:t>（HIS）</w:t>
            </w:r>
          </w:p>
        </w:tc>
        <w:tc>
          <w:tcPr>
            <w:tcW w:w="3861" w:type="pct"/>
            <w:vAlign w:val="center"/>
          </w:tcPr>
          <w:p w14:paraId="1452C891">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门急诊挂号系统</w:t>
            </w:r>
          </w:p>
        </w:tc>
      </w:tr>
      <w:tr w14:paraId="4AEDB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32A944D2">
            <w:pPr>
              <w:snapToGrid w:val="0"/>
              <w:spacing w:line="360" w:lineRule="auto"/>
              <w:jc w:val="center"/>
              <w:rPr>
                <w:rFonts w:ascii="仿宋" w:hAnsi="仿宋" w:eastAsia="仿宋" w:cs="仿宋"/>
                <w:color w:val="000000"/>
                <w:kern w:val="0"/>
                <w:sz w:val="20"/>
                <w:szCs w:val="20"/>
              </w:rPr>
            </w:pPr>
          </w:p>
        </w:tc>
        <w:tc>
          <w:tcPr>
            <w:tcW w:w="3861" w:type="pct"/>
            <w:vAlign w:val="center"/>
          </w:tcPr>
          <w:p w14:paraId="2F39ADB9">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门急诊收费系统</w:t>
            </w:r>
          </w:p>
        </w:tc>
      </w:tr>
      <w:tr w14:paraId="78DA8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3E8C5A15">
            <w:pPr>
              <w:snapToGrid w:val="0"/>
              <w:spacing w:line="360" w:lineRule="auto"/>
              <w:jc w:val="center"/>
              <w:rPr>
                <w:rFonts w:ascii="仿宋" w:hAnsi="仿宋" w:eastAsia="仿宋" w:cs="仿宋"/>
                <w:color w:val="000000"/>
                <w:kern w:val="0"/>
                <w:sz w:val="20"/>
                <w:szCs w:val="20"/>
              </w:rPr>
            </w:pPr>
          </w:p>
        </w:tc>
        <w:tc>
          <w:tcPr>
            <w:tcW w:w="3861" w:type="pct"/>
            <w:vAlign w:val="center"/>
          </w:tcPr>
          <w:p w14:paraId="459B64FC">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住院费用管理系统</w:t>
            </w:r>
          </w:p>
        </w:tc>
      </w:tr>
      <w:tr w14:paraId="61764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6EF969C4">
            <w:pPr>
              <w:snapToGrid w:val="0"/>
              <w:spacing w:line="360" w:lineRule="auto"/>
              <w:jc w:val="center"/>
              <w:rPr>
                <w:rFonts w:ascii="仿宋" w:hAnsi="仿宋" w:eastAsia="仿宋" w:cs="仿宋"/>
                <w:color w:val="000000"/>
                <w:kern w:val="0"/>
                <w:sz w:val="20"/>
                <w:szCs w:val="20"/>
              </w:rPr>
            </w:pPr>
          </w:p>
        </w:tc>
        <w:tc>
          <w:tcPr>
            <w:tcW w:w="3861" w:type="pct"/>
            <w:vAlign w:val="center"/>
          </w:tcPr>
          <w:p w14:paraId="5D1BAB0F">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门诊中西医药房管理系统</w:t>
            </w:r>
          </w:p>
        </w:tc>
      </w:tr>
      <w:tr w14:paraId="24FCF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51B15BCA">
            <w:pPr>
              <w:snapToGrid w:val="0"/>
              <w:spacing w:line="360" w:lineRule="auto"/>
              <w:jc w:val="center"/>
              <w:rPr>
                <w:rFonts w:ascii="仿宋" w:hAnsi="仿宋" w:eastAsia="仿宋" w:cs="仿宋"/>
                <w:color w:val="000000"/>
                <w:kern w:val="0"/>
                <w:sz w:val="20"/>
                <w:szCs w:val="20"/>
              </w:rPr>
            </w:pPr>
          </w:p>
        </w:tc>
        <w:tc>
          <w:tcPr>
            <w:tcW w:w="3861" w:type="pct"/>
            <w:vAlign w:val="center"/>
          </w:tcPr>
          <w:p w14:paraId="2743DDF5">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住院药房管理系统</w:t>
            </w:r>
          </w:p>
        </w:tc>
      </w:tr>
      <w:tr w14:paraId="34CB5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5BD2DE6A">
            <w:pPr>
              <w:snapToGrid w:val="0"/>
              <w:spacing w:line="360" w:lineRule="auto"/>
              <w:jc w:val="center"/>
              <w:rPr>
                <w:rFonts w:ascii="仿宋" w:hAnsi="仿宋" w:eastAsia="仿宋" w:cs="仿宋"/>
                <w:color w:val="000000"/>
                <w:kern w:val="0"/>
                <w:sz w:val="20"/>
                <w:szCs w:val="20"/>
              </w:rPr>
            </w:pPr>
          </w:p>
        </w:tc>
        <w:tc>
          <w:tcPr>
            <w:tcW w:w="3861" w:type="pct"/>
            <w:vAlign w:val="center"/>
          </w:tcPr>
          <w:p w14:paraId="13953763">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住院病人入出转管理系统</w:t>
            </w:r>
          </w:p>
        </w:tc>
      </w:tr>
      <w:tr w14:paraId="227B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restart"/>
            <w:vAlign w:val="center"/>
          </w:tcPr>
          <w:p w14:paraId="4DD77B61">
            <w:pPr>
              <w:snapToGrid w:val="0"/>
              <w:spacing w:line="360" w:lineRule="auto"/>
              <w:jc w:val="center"/>
              <w:rPr>
                <w:rFonts w:ascii="仿宋" w:hAnsi="仿宋" w:eastAsia="仿宋" w:cs="仿宋"/>
                <w:color w:val="000000"/>
                <w:kern w:val="0"/>
                <w:sz w:val="20"/>
                <w:szCs w:val="20"/>
              </w:rPr>
            </w:pPr>
            <w:r>
              <w:rPr>
                <w:rFonts w:hint="eastAsia" w:ascii="仿宋" w:hAnsi="仿宋" w:eastAsia="仿宋" w:cs="仿宋"/>
                <w:color w:val="000000"/>
                <w:kern w:val="0"/>
                <w:sz w:val="20"/>
                <w:szCs w:val="20"/>
              </w:rPr>
              <w:t>临床信息系统</w:t>
            </w:r>
            <w:r>
              <w:rPr>
                <w:rFonts w:hint="eastAsia" w:ascii="仿宋" w:hAnsi="仿宋" w:eastAsia="仿宋" w:cs="仿宋"/>
                <w:color w:val="000000"/>
                <w:kern w:val="0"/>
                <w:sz w:val="20"/>
                <w:szCs w:val="20"/>
              </w:rPr>
              <w:br w:type="textWrapping"/>
            </w:r>
            <w:r>
              <w:rPr>
                <w:rFonts w:hint="eastAsia" w:ascii="仿宋" w:hAnsi="仿宋" w:eastAsia="仿宋" w:cs="仿宋"/>
                <w:color w:val="000000"/>
                <w:kern w:val="0"/>
                <w:sz w:val="20"/>
                <w:szCs w:val="20"/>
              </w:rPr>
              <w:t>（CIS）</w:t>
            </w:r>
          </w:p>
        </w:tc>
        <w:tc>
          <w:tcPr>
            <w:tcW w:w="3861" w:type="pct"/>
            <w:vAlign w:val="center"/>
          </w:tcPr>
          <w:p w14:paraId="1DB2981B">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门急诊医生工作站</w:t>
            </w:r>
          </w:p>
        </w:tc>
      </w:tr>
      <w:tr w14:paraId="6B486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0853CABC">
            <w:pPr>
              <w:snapToGrid w:val="0"/>
              <w:spacing w:line="360" w:lineRule="auto"/>
              <w:jc w:val="center"/>
              <w:rPr>
                <w:rFonts w:ascii="仿宋" w:hAnsi="仿宋" w:eastAsia="仿宋" w:cs="仿宋"/>
                <w:color w:val="000000"/>
                <w:kern w:val="0"/>
                <w:sz w:val="20"/>
                <w:szCs w:val="20"/>
              </w:rPr>
            </w:pPr>
          </w:p>
        </w:tc>
        <w:tc>
          <w:tcPr>
            <w:tcW w:w="3861" w:type="pct"/>
            <w:vAlign w:val="center"/>
          </w:tcPr>
          <w:p w14:paraId="398375E8">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住院医生工作站</w:t>
            </w:r>
          </w:p>
        </w:tc>
      </w:tr>
      <w:tr w14:paraId="1C5FE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71331CE4">
            <w:pPr>
              <w:snapToGrid w:val="0"/>
              <w:spacing w:line="360" w:lineRule="auto"/>
              <w:jc w:val="center"/>
              <w:rPr>
                <w:rFonts w:ascii="仿宋" w:hAnsi="仿宋" w:eastAsia="仿宋" w:cs="仿宋"/>
                <w:color w:val="000000"/>
                <w:kern w:val="0"/>
                <w:sz w:val="20"/>
                <w:szCs w:val="20"/>
              </w:rPr>
            </w:pPr>
          </w:p>
        </w:tc>
        <w:tc>
          <w:tcPr>
            <w:tcW w:w="3861" w:type="pct"/>
            <w:vAlign w:val="center"/>
          </w:tcPr>
          <w:p w14:paraId="5056DFAC">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病区护士工作站</w:t>
            </w:r>
          </w:p>
        </w:tc>
      </w:tr>
      <w:tr w14:paraId="3B78F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restart"/>
            <w:vAlign w:val="center"/>
          </w:tcPr>
          <w:p w14:paraId="5615C26D">
            <w:pPr>
              <w:snapToGrid w:val="0"/>
              <w:spacing w:line="360" w:lineRule="auto"/>
              <w:jc w:val="center"/>
              <w:rPr>
                <w:rFonts w:ascii="仿宋" w:hAnsi="仿宋" w:eastAsia="仿宋" w:cs="仿宋"/>
                <w:color w:val="000000"/>
                <w:kern w:val="0"/>
                <w:sz w:val="20"/>
                <w:szCs w:val="20"/>
              </w:rPr>
            </w:pPr>
            <w:r>
              <w:rPr>
                <w:rFonts w:hint="eastAsia" w:ascii="仿宋" w:hAnsi="仿宋" w:eastAsia="仿宋" w:cs="仿宋"/>
                <w:color w:val="000000"/>
                <w:kern w:val="0"/>
                <w:sz w:val="20"/>
                <w:szCs w:val="20"/>
              </w:rPr>
              <w:t>新版电子病历系统</w:t>
            </w:r>
            <w:r>
              <w:rPr>
                <w:rFonts w:hint="eastAsia" w:ascii="仿宋" w:hAnsi="仿宋" w:eastAsia="仿宋" w:cs="仿宋"/>
                <w:color w:val="000000"/>
                <w:kern w:val="0"/>
                <w:sz w:val="20"/>
                <w:szCs w:val="20"/>
              </w:rPr>
              <w:br w:type="textWrapping"/>
            </w:r>
            <w:r>
              <w:rPr>
                <w:rFonts w:hint="eastAsia" w:ascii="仿宋" w:hAnsi="仿宋" w:eastAsia="仿宋" w:cs="仿宋"/>
                <w:color w:val="000000"/>
                <w:kern w:val="0"/>
                <w:sz w:val="20"/>
                <w:szCs w:val="20"/>
              </w:rPr>
              <w:t>（EMR）</w:t>
            </w:r>
          </w:p>
        </w:tc>
        <w:tc>
          <w:tcPr>
            <w:tcW w:w="3861" w:type="pct"/>
            <w:vAlign w:val="center"/>
          </w:tcPr>
          <w:p w14:paraId="2B22A785">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一体化门急诊电子病历系统</w:t>
            </w:r>
          </w:p>
        </w:tc>
      </w:tr>
      <w:tr w14:paraId="604BC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06EDE793">
            <w:pPr>
              <w:snapToGrid w:val="0"/>
              <w:spacing w:line="360" w:lineRule="auto"/>
              <w:jc w:val="center"/>
              <w:rPr>
                <w:rFonts w:ascii="仿宋" w:hAnsi="仿宋" w:eastAsia="仿宋" w:cs="仿宋"/>
                <w:color w:val="000000"/>
                <w:kern w:val="0"/>
                <w:sz w:val="20"/>
                <w:szCs w:val="20"/>
              </w:rPr>
            </w:pPr>
          </w:p>
        </w:tc>
        <w:tc>
          <w:tcPr>
            <w:tcW w:w="3861" w:type="pct"/>
            <w:vAlign w:val="center"/>
          </w:tcPr>
          <w:p w14:paraId="38EA38CD">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一体化住院电子病历系统</w:t>
            </w:r>
          </w:p>
        </w:tc>
      </w:tr>
      <w:tr w14:paraId="12898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200E4A02">
            <w:pPr>
              <w:snapToGrid w:val="0"/>
              <w:spacing w:line="360" w:lineRule="auto"/>
              <w:jc w:val="center"/>
              <w:rPr>
                <w:rFonts w:ascii="仿宋" w:hAnsi="仿宋" w:eastAsia="仿宋" w:cs="仿宋"/>
                <w:color w:val="000000"/>
                <w:kern w:val="0"/>
                <w:sz w:val="20"/>
                <w:szCs w:val="20"/>
              </w:rPr>
            </w:pPr>
          </w:p>
        </w:tc>
        <w:tc>
          <w:tcPr>
            <w:tcW w:w="3861" w:type="pct"/>
            <w:vAlign w:val="center"/>
          </w:tcPr>
          <w:p w14:paraId="26FDC6B4">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一体化电子病历质控系统</w:t>
            </w:r>
          </w:p>
        </w:tc>
      </w:tr>
      <w:tr w14:paraId="22E78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138" w:type="pct"/>
            <w:vMerge w:val="restart"/>
            <w:vAlign w:val="center"/>
          </w:tcPr>
          <w:p w14:paraId="20FEADB2">
            <w:pPr>
              <w:snapToGrid w:val="0"/>
              <w:spacing w:line="360" w:lineRule="auto"/>
              <w:jc w:val="center"/>
              <w:rPr>
                <w:rFonts w:ascii="仿宋" w:hAnsi="仿宋" w:eastAsia="仿宋" w:cs="仿宋"/>
                <w:color w:val="000000"/>
                <w:kern w:val="0"/>
                <w:sz w:val="20"/>
                <w:szCs w:val="20"/>
              </w:rPr>
            </w:pPr>
            <w:r>
              <w:rPr>
                <w:rFonts w:hint="eastAsia" w:ascii="仿宋" w:hAnsi="仿宋" w:eastAsia="仿宋" w:cs="仿宋"/>
                <w:color w:val="000000"/>
                <w:kern w:val="0"/>
                <w:sz w:val="20"/>
                <w:szCs w:val="20"/>
              </w:rPr>
              <w:t>检验信息系统</w:t>
            </w:r>
            <w:r>
              <w:rPr>
                <w:rFonts w:hint="eastAsia" w:ascii="仿宋" w:hAnsi="仿宋" w:eastAsia="仿宋" w:cs="仿宋"/>
                <w:color w:val="000000"/>
                <w:kern w:val="0"/>
                <w:sz w:val="20"/>
                <w:szCs w:val="20"/>
              </w:rPr>
              <w:br w:type="textWrapping"/>
            </w:r>
            <w:r>
              <w:rPr>
                <w:rFonts w:hint="eastAsia" w:ascii="仿宋" w:hAnsi="仿宋" w:eastAsia="仿宋" w:cs="仿宋"/>
                <w:color w:val="000000"/>
                <w:kern w:val="0"/>
                <w:sz w:val="20"/>
                <w:szCs w:val="20"/>
              </w:rPr>
              <w:t>（LIS）</w:t>
            </w:r>
          </w:p>
        </w:tc>
        <w:tc>
          <w:tcPr>
            <w:tcW w:w="3861" w:type="pct"/>
            <w:vAlign w:val="center"/>
          </w:tcPr>
          <w:p w14:paraId="0B804DA8">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新检验信息系统</w:t>
            </w:r>
          </w:p>
        </w:tc>
      </w:tr>
      <w:tr w14:paraId="3CF28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138" w:type="pct"/>
            <w:vMerge w:val="continue"/>
            <w:vAlign w:val="center"/>
          </w:tcPr>
          <w:p w14:paraId="2352B752">
            <w:pPr>
              <w:snapToGrid w:val="0"/>
              <w:spacing w:line="360" w:lineRule="auto"/>
              <w:jc w:val="center"/>
              <w:rPr>
                <w:rFonts w:ascii="仿宋" w:hAnsi="仿宋" w:eastAsia="仿宋" w:cs="仿宋"/>
                <w:color w:val="000000"/>
                <w:kern w:val="0"/>
                <w:sz w:val="20"/>
                <w:szCs w:val="20"/>
              </w:rPr>
            </w:pPr>
          </w:p>
        </w:tc>
        <w:tc>
          <w:tcPr>
            <w:tcW w:w="3861" w:type="pct"/>
            <w:vAlign w:val="center"/>
          </w:tcPr>
          <w:p w14:paraId="76F26D78">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检查设备接口系统</w:t>
            </w:r>
          </w:p>
        </w:tc>
      </w:tr>
      <w:tr w14:paraId="50702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restart"/>
            <w:vAlign w:val="center"/>
          </w:tcPr>
          <w:p w14:paraId="1BE750E6">
            <w:pPr>
              <w:snapToGrid w:val="0"/>
              <w:spacing w:line="360" w:lineRule="auto"/>
              <w:jc w:val="center"/>
              <w:rPr>
                <w:rFonts w:ascii="仿宋" w:hAnsi="仿宋" w:eastAsia="仿宋" w:cs="仿宋"/>
                <w:color w:val="000000"/>
                <w:kern w:val="0"/>
                <w:sz w:val="20"/>
                <w:szCs w:val="20"/>
              </w:rPr>
            </w:pPr>
            <w:r>
              <w:rPr>
                <w:rFonts w:hint="eastAsia" w:ascii="仿宋" w:hAnsi="仿宋" w:eastAsia="仿宋" w:cs="仿宋"/>
                <w:color w:val="000000"/>
                <w:kern w:val="0"/>
                <w:sz w:val="20"/>
                <w:szCs w:val="20"/>
              </w:rPr>
              <w:t>医学影像系统</w:t>
            </w:r>
          </w:p>
          <w:p w14:paraId="09A79D08">
            <w:pPr>
              <w:snapToGrid w:val="0"/>
              <w:spacing w:line="360" w:lineRule="auto"/>
              <w:jc w:val="center"/>
              <w:rPr>
                <w:rFonts w:ascii="仿宋" w:hAnsi="仿宋" w:eastAsia="仿宋" w:cs="仿宋"/>
                <w:sz w:val="20"/>
                <w:szCs w:val="20"/>
              </w:rPr>
            </w:pPr>
            <w:r>
              <w:rPr>
                <w:rFonts w:hint="eastAsia" w:ascii="仿宋" w:hAnsi="仿宋" w:eastAsia="仿宋" w:cs="仿宋"/>
                <w:color w:val="000000"/>
                <w:kern w:val="0"/>
                <w:sz w:val="20"/>
                <w:szCs w:val="20"/>
              </w:rPr>
              <w:t>（PACS）</w:t>
            </w:r>
          </w:p>
        </w:tc>
        <w:tc>
          <w:tcPr>
            <w:tcW w:w="3861" w:type="pct"/>
            <w:vAlign w:val="center"/>
          </w:tcPr>
          <w:p w14:paraId="7186795C">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医技观片工作站</w:t>
            </w:r>
          </w:p>
        </w:tc>
      </w:tr>
      <w:tr w14:paraId="04CC8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3AB88D3D">
            <w:pPr>
              <w:snapToGrid w:val="0"/>
              <w:spacing w:line="360" w:lineRule="auto"/>
              <w:jc w:val="center"/>
              <w:rPr>
                <w:rFonts w:ascii="仿宋" w:hAnsi="仿宋" w:eastAsia="仿宋" w:cs="仿宋"/>
                <w:color w:val="000000"/>
                <w:kern w:val="0"/>
                <w:sz w:val="20"/>
                <w:szCs w:val="20"/>
              </w:rPr>
            </w:pPr>
          </w:p>
        </w:tc>
        <w:tc>
          <w:tcPr>
            <w:tcW w:w="3861" w:type="pct"/>
            <w:vAlign w:val="center"/>
          </w:tcPr>
          <w:p w14:paraId="18C4D1CB">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临床影像浏览标准版</w:t>
            </w:r>
          </w:p>
        </w:tc>
      </w:tr>
      <w:tr w14:paraId="75214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389C991D">
            <w:pPr>
              <w:snapToGrid w:val="0"/>
              <w:spacing w:line="360" w:lineRule="auto"/>
              <w:jc w:val="center"/>
              <w:rPr>
                <w:rFonts w:ascii="仿宋" w:hAnsi="仿宋" w:eastAsia="仿宋" w:cs="仿宋"/>
                <w:color w:val="000000"/>
                <w:kern w:val="0"/>
                <w:sz w:val="20"/>
                <w:szCs w:val="20"/>
              </w:rPr>
            </w:pPr>
          </w:p>
        </w:tc>
        <w:tc>
          <w:tcPr>
            <w:tcW w:w="3861" w:type="pct"/>
            <w:vAlign w:val="center"/>
          </w:tcPr>
          <w:p w14:paraId="72E0FA3D">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放射信息系统标准版</w:t>
            </w:r>
          </w:p>
        </w:tc>
      </w:tr>
      <w:tr w14:paraId="6EC64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103C9DC5">
            <w:pPr>
              <w:snapToGrid w:val="0"/>
              <w:spacing w:line="360" w:lineRule="auto"/>
              <w:jc w:val="center"/>
              <w:rPr>
                <w:rFonts w:ascii="仿宋" w:hAnsi="仿宋" w:eastAsia="仿宋" w:cs="仿宋"/>
                <w:color w:val="000000"/>
                <w:kern w:val="0"/>
                <w:sz w:val="20"/>
                <w:szCs w:val="20"/>
              </w:rPr>
            </w:pPr>
          </w:p>
        </w:tc>
        <w:tc>
          <w:tcPr>
            <w:tcW w:w="3861" w:type="pct"/>
            <w:vAlign w:val="center"/>
          </w:tcPr>
          <w:p w14:paraId="042981E0">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超声信息系统标准版</w:t>
            </w:r>
          </w:p>
        </w:tc>
      </w:tr>
      <w:tr w14:paraId="088EF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restart"/>
            <w:vAlign w:val="center"/>
          </w:tcPr>
          <w:p w14:paraId="2EBC7562">
            <w:pPr>
              <w:snapToGrid w:val="0"/>
              <w:spacing w:line="360" w:lineRule="auto"/>
              <w:jc w:val="center"/>
              <w:rPr>
                <w:rFonts w:ascii="仿宋" w:hAnsi="仿宋" w:eastAsia="仿宋" w:cs="仿宋"/>
                <w:color w:val="000000"/>
                <w:kern w:val="0"/>
                <w:sz w:val="20"/>
                <w:szCs w:val="20"/>
              </w:rPr>
            </w:pPr>
            <w:r>
              <w:rPr>
                <w:rFonts w:hint="eastAsia" w:ascii="仿宋" w:hAnsi="仿宋" w:eastAsia="仿宋" w:cs="仿宋"/>
                <w:color w:val="000000"/>
                <w:kern w:val="0"/>
                <w:sz w:val="20"/>
                <w:szCs w:val="20"/>
              </w:rPr>
              <w:t>临床路径管理系统</w:t>
            </w:r>
          </w:p>
        </w:tc>
        <w:tc>
          <w:tcPr>
            <w:tcW w:w="3861" w:type="pct"/>
            <w:vAlign w:val="center"/>
          </w:tcPr>
          <w:p w14:paraId="2706B654">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路径设计</w:t>
            </w:r>
          </w:p>
        </w:tc>
      </w:tr>
      <w:tr w14:paraId="16482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4FC123BB">
            <w:pPr>
              <w:snapToGrid w:val="0"/>
              <w:spacing w:line="360" w:lineRule="auto"/>
              <w:jc w:val="center"/>
              <w:rPr>
                <w:rFonts w:ascii="仿宋" w:hAnsi="仿宋" w:eastAsia="仿宋" w:cs="仿宋"/>
                <w:color w:val="000000"/>
                <w:kern w:val="0"/>
                <w:sz w:val="20"/>
                <w:szCs w:val="20"/>
              </w:rPr>
            </w:pPr>
          </w:p>
        </w:tc>
        <w:tc>
          <w:tcPr>
            <w:tcW w:w="3861" w:type="pct"/>
            <w:vAlign w:val="center"/>
          </w:tcPr>
          <w:p w14:paraId="7731E92B">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病种管理</w:t>
            </w:r>
          </w:p>
        </w:tc>
      </w:tr>
      <w:tr w14:paraId="16095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4E81DFF0">
            <w:pPr>
              <w:snapToGrid w:val="0"/>
              <w:spacing w:line="360" w:lineRule="auto"/>
              <w:jc w:val="center"/>
              <w:rPr>
                <w:rFonts w:ascii="仿宋" w:hAnsi="仿宋" w:eastAsia="仿宋" w:cs="仿宋"/>
                <w:color w:val="000000"/>
                <w:kern w:val="0"/>
                <w:sz w:val="20"/>
                <w:szCs w:val="20"/>
              </w:rPr>
            </w:pPr>
          </w:p>
        </w:tc>
        <w:tc>
          <w:tcPr>
            <w:tcW w:w="3861" w:type="pct"/>
            <w:vAlign w:val="center"/>
          </w:tcPr>
          <w:p w14:paraId="43E609BB">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路径表单审核管理</w:t>
            </w:r>
          </w:p>
        </w:tc>
      </w:tr>
      <w:tr w14:paraId="711C5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restart"/>
            <w:vAlign w:val="center"/>
          </w:tcPr>
          <w:p w14:paraId="3EEBF2D2">
            <w:pPr>
              <w:snapToGrid w:val="0"/>
              <w:spacing w:line="360" w:lineRule="auto"/>
              <w:jc w:val="center"/>
              <w:rPr>
                <w:rFonts w:ascii="仿宋" w:hAnsi="仿宋" w:eastAsia="仿宋" w:cs="仿宋"/>
                <w:color w:val="000000"/>
                <w:kern w:val="0"/>
                <w:sz w:val="20"/>
                <w:szCs w:val="20"/>
              </w:rPr>
            </w:pPr>
            <w:r>
              <w:rPr>
                <w:rFonts w:hint="eastAsia" w:ascii="仿宋" w:hAnsi="仿宋" w:eastAsia="仿宋" w:cs="仿宋"/>
                <w:color w:val="000000"/>
                <w:kern w:val="0"/>
                <w:sz w:val="20"/>
                <w:szCs w:val="20"/>
              </w:rPr>
              <w:t>医技管理系统</w:t>
            </w:r>
          </w:p>
        </w:tc>
        <w:tc>
          <w:tcPr>
            <w:tcW w:w="3861" w:type="pct"/>
            <w:vAlign w:val="center"/>
          </w:tcPr>
          <w:p w14:paraId="557773E8">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医技执行管理系统</w:t>
            </w:r>
          </w:p>
        </w:tc>
      </w:tr>
      <w:tr w14:paraId="09C0E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52184A82">
            <w:pPr>
              <w:snapToGrid w:val="0"/>
              <w:spacing w:line="360" w:lineRule="auto"/>
              <w:jc w:val="center"/>
              <w:rPr>
                <w:rFonts w:ascii="仿宋" w:hAnsi="仿宋" w:eastAsia="仿宋" w:cs="仿宋"/>
                <w:color w:val="000000"/>
                <w:kern w:val="0"/>
                <w:sz w:val="20"/>
                <w:szCs w:val="20"/>
              </w:rPr>
            </w:pPr>
          </w:p>
        </w:tc>
        <w:tc>
          <w:tcPr>
            <w:tcW w:w="3861" w:type="pct"/>
            <w:vAlign w:val="center"/>
          </w:tcPr>
          <w:p w14:paraId="05F78BB7">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手术安排与费用管理系统</w:t>
            </w:r>
          </w:p>
        </w:tc>
      </w:tr>
      <w:tr w14:paraId="1CE0F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056F9492">
            <w:pPr>
              <w:snapToGrid w:val="0"/>
              <w:spacing w:line="360" w:lineRule="auto"/>
              <w:jc w:val="center"/>
              <w:rPr>
                <w:rFonts w:ascii="仿宋" w:hAnsi="仿宋" w:eastAsia="仿宋" w:cs="仿宋"/>
                <w:color w:val="000000"/>
                <w:kern w:val="0"/>
                <w:sz w:val="20"/>
                <w:szCs w:val="20"/>
              </w:rPr>
            </w:pPr>
          </w:p>
        </w:tc>
        <w:tc>
          <w:tcPr>
            <w:tcW w:w="3861" w:type="pct"/>
            <w:vAlign w:val="center"/>
          </w:tcPr>
          <w:p w14:paraId="2A8198C6">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血库管理系统</w:t>
            </w:r>
          </w:p>
        </w:tc>
      </w:tr>
      <w:tr w14:paraId="7DF04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515D60EE">
            <w:pPr>
              <w:snapToGrid w:val="0"/>
              <w:spacing w:line="360" w:lineRule="auto"/>
              <w:jc w:val="center"/>
              <w:rPr>
                <w:rFonts w:ascii="仿宋" w:hAnsi="仿宋" w:eastAsia="仿宋" w:cs="仿宋"/>
                <w:color w:val="000000"/>
                <w:kern w:val="0"/>
                <w:sz w:val="20"/>
                <w:szCs w:val="20"/>
              </w:rPr>
            </w:pPr>
          </w:p>
        </w:tc>
        <w:tc>
          <w:tcPr>
            <w:tcW w:w="3861" w:type="pct"/>
            <w:vAlign w:val="center"/>
          </w:tcPr>
          <w:p w14:paraId="2A4A8C57">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病理管理系统</w:t>
            </w:r>
          </w:p>
        </w:tc>
      </w:tr>
      <w:tr w14:paraId="4D856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restart"/>
            <w:vAlign w:val="center"/>
          </w:tcPr>
          <w:p w14:paraId="636A9BD6">
            <w:pPr>
              <w:snapToGrid w:val="0"/>
              <w:spacing w:line="360" w:lineRule="auto"/>
              <w:jc w:val="center"/>
              <w:rPr>
                <w:rFonts w:ascii="仿宋" w:hAnsi="仿宋" w:eastAsia="仿宋" w:cs="仿宋"/>
                <w:color w:val="000000"/>
                <w:kern w:val="0"/>
                <w:sz w:val="20"/>
                <w:szCs w:val="20"/>
              </w:rPr>
            </w:pPr>
            <w:r>
              <w:rPr>
                <w:rFonts w:hint="eastAsia" w:ascii="仿宋" w:hAnsi="仿宋" w:eastAsia="仿宋" w:cs="仿宋"/>
                <w:color w:val="000000"/>
                <w:kern w:val="0"/>
                <w:sz w:val="20"/>
                <w:szCs w:val="20"/>
              </w:rPr>
              <w:t>运营管理系统</w:t>
            </w:r>
          </w:p>
        </w:tc>
        <w:tc>
          <w:tcPr>
            <w:tcW w:w="3861" w:type="pct"/>
            <w:vAlign w:val="center"/>
          </w:tcPr>
          <w:p w14:paraId="35DE79DD">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药库管理与药品会计系统</w:t>
            </w:r>
          </w:p>
        </w:tc>
      </w:tr>
      <w:tr w14:paraId="7EFFFB90">
        <w:tblPrEx>
          <w:tblCellMar>
            <w:top w:w="0" w:type="dxa"/>
            <w:left w:w="108" w:type="dxa"/>
            <w:bottom w:w="0" w:type="dxa"/>
            <w:right w:w="108" w:type="dxa"/>
          </w:tblCellMar>
        </w:tblPrEx>
        <w:trPr>
          <w:trHeight w:val="375" w:hRule="atLeast"/>
        </w:trPr>
        <w:tc>
          <w:tcPr>
            <w:tcW w:w="1138" w:type="pct"/>
            <w:vMerge w:val="continue"/>
            <w:vAlign w:val="center"/>
          </w:tcPr>
          <w:p w14:paraId="5BD4F024">
            <w:pPr>
              <w:snapToGrid w:val="0"/>
              <w:spacing w:line="360" w:lineRule="auto"/>
              <w:jc w:val="center"/>
              <w:rPr>
                <w:rFonts w:ascii="仿宋" w:hAnsi="仿宋" w:eastAsia="仿宋" w:cs="仿宋"/>
                <w:color w:val="000000"/>
                <w:kern w:val="0"/>
                <w:sz w:val="20"/>
                <w:szCs w:val="20"/>
              </w:rPr>
            </w:pPr>
          </w:p>
        </w:tc>
        <w:tc>
          <w:tcPr>
            <w:tcW w:w="3861" w:type="pct"/>
            <w:vAlign w:val="center"/>
          </w:tcPr>
          <w:p w14:paraId="38174F20">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财务票据管理系统</w:t>
            </w:r>
          </w:p>
        </w:tc>
      </w:tr>
      <w:tr w14:paraId="6AE66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0DD6BDFC">
            <w:pPr>
              <w:snapToGrid w:val="0"/>
              <w:spacing w:line="360" w:lineRule="auto"/>
              <w:jc w:val="center"/>
              <w:rPr>
                <w:rFonts w:ascii="仿宋" w:hAnsi="仿宋" w:eastAsia="仿宋" w:cs="仿宋"/>
                <w:color w:val="000000"/>
                <w:kern w:val="0"/>
                <w:sz w:val="20"/>
                <w:szCs w:val="20"/>
              </w:rPr>
            </w:pPr>
          </w:p>
        </w:tc>
        <w:tc>
          <w:tcPr>
            <w:tcW w:w="3861" w:type="pct"/>
            <w:vAlign w:val="center"/>
          </w:tcPr>
          <w:p w14:paraId="44D339F0">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财务监控系统</w:t>
            </w:r>
          </w:p>
        </w:tc>
      </w:tr>
      <w:tr w14:paraId="2EB30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445B391A">
            <w:pPr>
              <w:snapToGrid w:val="0"/>
              <w:spacing w:line="360" w:lineRule="auto"/>
              <w:jc w:val="center"/>
              <w:rPr>
                <w:rFonts w:ascii="仿宋" w:hAnsi="仿宋" w:eastAsia="仿宋" w:cs="仿宋"/>
                <w:color w:val="000000"/>
                <w:kern w:val="0"/>
                <w:sz w:val="20"/>
                <w:szCs w:val="20"/>
              </w:rPr>
            </w:pPr>
          </w:p>
        </w:tc>
        <w:tc>
          <w:tcPr>
            <w:tcW w:w="3861" w:type="pct"/>
            <w:vAlign w:val="center"/>
          </w:tcPr>
          <w:p w14:paraId="658EF46F">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设备管理系统</w:t>
            </w:r>
          </w:p>
        </w:tc>
      </w:tr>
      <w:tr w14:paraId="7A1AD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492E06C4">
            <w:pPr>
              <w:snapToGrid w:val="0"/>
              <w:spacing w:line="360" w:lineRule="auto"/>
              <w:jc w:val="center"/>
              <w:rPr>
                <w:rFonts w:ascii="仿宋" w:hAnsi="仿宋" w:eastAsia="仿宋" w:cs="仿宋"/>
                <w:color w:val="000000"/>
                <w:kern w:val="0"/>
                <w:sz w:val="20"/>
                <w:szCs w:val="20"/>
              </w:rPr>
            </w:pPr>
          </w:p>
        </w:tc>
        <w:tc>
          <w:tcPr>
            <w:tcW w:w="3861" w:type="pct"/>
            <w:vAlign w:val="center"/>
          </w:tcPr>
          <w:p w14:paraId="4261C95B">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后勤物资管理系统</w:t>
            </w:r>
          </w:p>
        </w:tc>
      </w:tr>
      <w:tr w14:paraId="22E0F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7B8D2A5F">
            <w:pPr>
              <w:snapToGrid w:val="0"/>
              <w:spacing w:line="360" w:lineRule="auto"/>
              <w:jc w:val="center"/>
              <w:rPr>
                <w:rFonts w:ascii="仿宋" w:hAnsi="仿宋" w:eastAsia="仿宋" w:cs="仿宋"/>
                <w:color w:val="000000"/>
                <w:kern w:val="0"/>
                <w:sz w:val="20"/>
                <w:szCs w:val="20"/>
              </w:rPr>
            </w:pPr>
          </w:p>
        </w:tc>
        <w:tc>
          <w:tcPr>
            <w:tcW w:w="3861" w:type="pct"/>
            <w:vAlign w:val="center"/>
          </w:tcPr>
          <w:p w14:paraId="54EF7F30">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卫生材料管理系统</w:t>
            </w:r>
          </w:p>
        </w:tc>
      </w:tr>
      <w:tr w14:paraId="1684F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17FFC1E5">
            <w:pPr>
              <w:snapToGrid w:val="0"/>
              <w:spacing w:line="360" w:lineRule="auto"/>
              <w:jc w:val="center"/>
              <w:rPr>
                <w:rFonts w:ascii="仿宋" w:hAnsi="仿宋" w:eastAsia="仿宋" w:cs="仿宋"/>
                <w:color w:val="000000"/>
                <w:kern w:val="0"/>
                <w:sz w:val="20"/>
                <w:szCs w:val="20"/>
              </w:rPr>
            </w:pPr>
          </w:p>
        </w:tc>
        <w:tc>
          <w:tcPr>
            <w:tcW w:w="3861" w:type="pct"/>
            <w:vAlign w:val="center"/>
          </w:tcPr>
          <w:p w14:paraId="6398DFA2">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供应室管理系统</w:t>
            </w:r>
          </w:p>
        </w:tc>
      </w:tr>
      <w:tr w14:paraId="6B0BB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514672B2">
            <w:pPr>
              <w:snapToGrid w:val="0"/>
              <w:spacing w:line="360" w:lineRule="auto"/>
              <w:jc w:val="center"/>
              <w:rPr>
                <w:rFonts w:ascii="仿宋" w:hAnsi="仿宋" w:eastAsia="仿宋" w:cs="仿宋"/>
                <w:color w:val="000000"/>
                <w:kern w:val="0"/>
                <w:sz w:val="20"/>
                <w:szCs w:val="20"/>
              </w:rPr>
            </w:pPr>
          </w:p>
        </w:tc>
        <w:tc>
          <w:tcPr>
            <w:tcW w:w="3861" w:type="pct"/>
            <w:vAlign w:val="center"/>
          </w:tcPr>
          <w:p w14:paraId="1C2EBF79">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医生开立权管理系统</w:t>
            </w:r>
          </w:p>
        </w:tc>
      </w:tr>
      <w:tr w14:paraId="1C543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66C73DE6">
            <w:pPr>
              <w:snapToGrid w:val="0"/>
              <w:spacing w:line="360" w:lineRule="auto"/>
              <w:jc w:val="center"/>
              <w:rPr>
                <w:rFonts w:ascii="仿宋" w:hAnsi="仿宋" w:eastAsia="仿宋" w:cs="仿宋"/>
                <w:color w:val="000000"/>
                <w:kern w:val="0"/>
                <w:sz w:val="20"/>
                <w:szCs w:val="20"/>
              </w:rPr>
            </w:pPr>
          </w:p>
        </w:tc>
        <w:tc>
          <w:tcPr>
            <w:tcW w:w="3861" w:type="pct"/>
            <w:vAlign w:val="center"/>
          </w:tcPr>
          <w:p w14:paraId="2CC533F2">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综合查询与统计报表</w:t>
            </w:r>
          </w:p>
        </w:tc>
      </w:tr>
      <w:tr w14:paraId="6DD80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restart"/>
            <w:vAlign w:val="center"/>
          </w:tcPr>
          <w:p w14:paraId="382B7F38">
            <w:pPr>
              <w:snapToGrid w:val="0"/>
              <w:spacing w:line="360" w:lineRule="auto"/>
              <w:jc w:val="center"/>
              <w:rPr>
                <w:rFonts w:ascii="仿宋" w:hAnsi="仿宋" w:eastAsia="仿宋" w:cs="仿宋"/>
                <w:color w:val="000000"/>
                <w:kern w:val="0"/>
                <w:sz w:val="20"/>
                <w:szCs w:val="20"/>
              </w:rPr>
            </w:pPr>
            <w:r>
              <w:rPr>
                <w:rFonts w:hint="eastAsia" w:ascii="仿宋" w:hAnsi="仿宋" w:eastAsia="仿宋" w:cs="仿宋"/>
                <w:color w:val="000000"/>
                <w:kern w:val="0"/>
                <w:sz w:val="20"/>
                <w:szCs w:val="20"/>
              </w:rPr>
              <w:t>疾病监测上报系统</w:t>
            </w:r>
          </w:p>
        </w:tc>
        <w:tc>
          <w:tcPr>
            <w:tcW w:w="3861" w:type="pct"/>
            <w:vAlign w:val="center"/>
          </w:tcPr>
          <w:p w14:paraId="5876E389">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食源性疾病监测系统</w:t>
            </w:r>
          </w:p>
        </w:tc>
      </w:tr>
      <w:tr w14:paraId="1F5FA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7369ABC5">
            <w:pPr>
              <w:snapToGrid w:val="0"/>
              <w:spacing w:line="360" w:lineRule="auto"/>
              <w:jc w:val="center"/>
              <w:rPr>
                <w:rFonts w:ascii="仿宋" w:hAnsi="仿宋" w:eastAsia="仿宋" w:cs="仿宋"/>
                <w:color w:val="000000"/>
                <w:kern w:val="0"/>
                <w:sz w:val="20"/>
                <w:szCs w:val="20"/>
              </w:rPr>
            </w:pPr>
          </w:p>
        </w:tc>
        <w:tc>
          <w:tcPr>
            <w:tcW w:w="3861" w:type="pct"/>
            <w:vAlign w:val="center"/>
          </w:tcPr>
          <w:p w14:paraId="33B0DC16">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传染性疾病监测系统</w:t>
            </w:r>
          </w:p>
        </w:tc>
      </w:tr>
      <w:tr w14:paraId="5CE0A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6851BBE0">
            <w:pPr>
              <w:snapToGrid w:val="0"/>
              <w:spacing w:line="360" w:lineRule="auto"/>
              <w:jc w:val="center"/>
              <w:rPr>
                <w:rFonts w:ascii="仿宋" w:hAnsi="仿宋" w:eastAsia="仿宋" w:cs="仿宋"/>
                <w:color w:val="000000"/>
                <w:kern w:val="0"/>
                <w:sz w:val="20"/>
                <w:szCs w:val="20"/>
              </w:rPr>
            </w:pPr>
          </w:p>
        </w:tc>
        <w:tc>
          <w:tcPr>
            <w:tcW w:w="3861" w:type="pct"/>
            <w:vAlign w:val="center"/>
          </w:tcPr>
          <w:p w14:paraId="5F868383">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慢性病监测系统</w:t>
            </w:r>
          </w:p>
        </w:tc>
      </w:tr>
      <w:tr w14:paraId="05FBC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57883D0B">
            <w:pPr>
              <w:snapToGrid w:val="0"/>
              <w:spacing w:line="360" w:lineRule="auto"/>
              <w:jc w:val="center"/>
              <w:rPr>
                <w:rFonts w:ascii="仿宋" w:hAnsi="仿宋" w:eastAsia="仿宋" w:cs="仿宋"/>
                <w:color w:val="000000"/>
                <w:kern w:val="0"/>
                <w:sz w:val="20"/>
                <w:szCs w:val="20"/>
              </w:rPr>
            </w:pPr>
          </w:p>
        </w:tc>
        <w:tc>
          <w:tcPr>
            <w:tcW w:w="3861" w:type="pct"/>
            <w:vAlign w:val="center"/>
          </w:tcPr>
          <w:p w14:paraId="1D025186">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死亡病例监测系统</w:t>
            </w:r>
          </w:p>
        </w:tc>
      </w:tr>
      <w:tr w14:paraId="23178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restart"/>
            <w:vAlign w:val="center"/>
          </w:tcPr>
          <w:p w14:paraId="53E48DD0">
            <w:pPr>
              <w:snapToGrid w:val="0"/>
              <w:spacing w:line="360" w:lineRule="auto"/>
              <w:jc w:val="center"/>
              <w:rPr>
                <w:rFonts w:ascii="仿宋" w:hAnsi="仿宋" w:eastAsia="仿宋" w:cs="仿宋"/>
                <w:color w:val="000000"/>
                <w:kern w:val="0"/>
                <w:sz w:val="20"/>
                <w:szCs w:val="20"/>
              </w:rPr>
            </w:pPr>
            <w:r>
              <w:rPr>
                <w:rFonts w:hint="eastAsia" w:ascii="仿宋" w:hAnsi="仿宋" w:eastAsia="仿宋" w:cs="仿宋"/>
                <w:color w:val="000000"/>
                <w:kern w:val="0"/>
                <w:sz w:val="20"/>
                <w:szCs w:val="20"/>
              </w:rPr>
              <w:t>医疗辅助系统</w:t>
            </w:r>
          </w:p>
        </w:tc>
        <w:tc>
          <w:tcPr>
            <w:tcW w:w="3861" w:type="pct"/>
            <w:vAlign w:val="center"/>
          </w:tcPr>
          <w:p w14:paraId="51D4DAC6">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治疗系统</w:t>
            </w:r>
          </w:p>
        </w:tc>
      </w:tr>
      <w:tr w14:paraId="3666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60892D02">
            <w:pPr>
              <w:snapToGrid w:val="0"/>
              <w:spacing w:line="360" w:lineRule="auto"/>
              <w:jc w:val="center"/>
              <w:rPr>
                <w:rFonts w:ascii="仿宋" w:hAnsi="仿宋" w:eastAsia="仿宋" w:cs="仿宋"/>
                <w:color w:val="000000"/>
                <w:kern w:val="0"/>
                <w:sz w:val="20"/>
                <w:szCs w:val="20"/>
              </w:rPr>
            </w:pPr>
          </w:p>
        </w:tc>
        <w:tc>
          <w:tcPr>
            <w:tcW w:w="3861" w:type="pct"/>
            <w:vAlign w:val="center"/>
          </w:tcPr>
          <w:p w14:paraId="39B79AA6">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检查系统</w:t>
            </w:r>
          </w:p>
        </w:tc>
      </w:tr>
      <w:tr w14:paraId="54BA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restart"/>
            <w:vAlign w:val="center"/>
          </w:tcPr>
          <w:p w14:paraId="01D6E4E4">
            <w:pPr>
              <w:snapToGrid w:val="0"/>
              <w:spacing w:line="360" w:lineRule="auto"/>
              <w:jc w:val="center"/>
              <w:rPr>
                <w:rFonts w:ascii="仿宋" w:hAnsi="仿宋" w:eastAsia="仿宋" w:cs="仿宋"/>
                <w:color w:val="000000"/>
                <w:kern w:val="0"/>
                <w:sz w:val="20"/>
                <w:szCs w:val="20"/>
              </w:rPr>
            </w:pPr>
            <w:r>
              <w:rPr>
                <w:rFonts w:hint="eastAsia" w:ascii="仿宋" w:hAnsi="仿宋" w:eastAsia="仿宋" w:cs="仿宋"/>
                <w:color w:val="000000"/>
                <w:kern w:val="0"/>
                <w:sz w:val="20"/>
                <w:szCs w:val="20"/>
              </w:rPr>
              <w:t>医疗管理系统</w:t>
            </w:r>
          </w:p>
        </w:tc>
        <w:tc>
          <w:tcPr>
            <w:tcW w:w="3861" w:type="pct"/>
            <w:vAlign w:val="center"/>
          </w:tcPr>
          <w:p w14:paraId="5E868211">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病案管理系统</w:t>
            </w:r>
          </w:p>
        </w:tc>
      </w:tr>
      <w:tr w14:paraId="33104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6217B3BA">
            <w:pPr>
              <w:snapToGrid w:val="0"/>
              <w:spacing w:line="360" w:lineRule="auto"/>
              <w:jc w:val="center"/>
              <w:rPr>
                <w:rFonts w:ascii="仿宋" w:hAnsi="仿宋" w:eastAsia="仿宋" w:cs="仿宋"/>
                <w:color w:val="000000"/>
                <w:kern w:val="0"/>
                <w:sz w:val="20"/>
                <w:szCs w:val="20"/>
              </w:rPr>
            </w:pPr>
          </w:p>
        </w:tc>
        <w:tc>
          <w:tcPr>
            <w:tcW w:w="3861" w:type="pct"/>
            <w:vAlign w:val="center"/>
          </w:tcPr>
          <w:p w14:paraId="3E829995">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电子病历质控系统</w:t>
            </w:r>
          </w:p>
        </w:tc>
      </w:tr>
      <w:tr w14:paraId="02D7D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restart"/>
            <w:vAlign w:val="center"/>
          </w:tcPr>
          <w:p w14:paraId="2C24CCA3">
            <w:pPr>
              <w:snapToGrid w:val="0"/>
              <w:spacing w:line="360" w:lineRule="auto"/>
              <w:jc w:val="center"/>
              <w:rPr>
                <w:rFonts w:ascii="仿宋" w:hAnsi="仿宋" w:eastAsia="仿宋" w:cs="仿宋"/>
                <w:color w:val="000000"/>
                <w:kern w:val="0"/>
                <w:sz w:val="20"/>
                <w:szCs w:val="20"/>
              </w:rPr>
            </w:pPr>
            <w:r>
              <w:rPr>
                <w:rFonts w:hint="eastAsia" w:ascii="仿宋" w:hAnsi="仿宋" w:eastAsia="仿宋" w:cs="仿宋"/>
                <w:color w:val="000000"/>
                <w:kern w:val="0"/>
                <w:sz w:val="20"/>
                <w:szCs w:val="20"/>
              </w:rPr>
              <w:t>患者服务系统</w:t>
            </w:r>
          </w:p>
        </w:tc>
        <w:tc>
          <w:tcPr>
            <w:tcW w:w="3861" w:type="pct"/>
            <w:vAlign w:val="center"/>
          </w:tcPr>
          <w:p w14:paraId="5821BC27">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一卡通管理系统</w:t>
            </w:r>
          </w:p>
        </w:tc>
      </w:tr>
      <w:tr w14:paraId="36E43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260EC4E5">
            <w:pPr>
              <w:snapToGrid w:val="0"/>
              <w:spacing w:line="360" w:lineRule="auto"/>
              <w:jc w:val="center"/>
              <w:rPr>
                <w:rFonts w:ascii="仿宋" w:hAnsi="仿宋" w:eastAsia="仿宋" w:cs="仿宋"/>
                <w:color w:val="000000"/>
                <w:kern w:val="0"/>
                <w:sz w:val="20"/>
                <w:szCs w:val="20"/>
              </w:rPr>
            </w:pPr>
          </w:p>
        </w:tc>
        <w:tc>
          <w:tcPr>
            <w:tcW w:w="3861" w:type="pct"/>
            <w:vAlign w:val="center"/>
          </w:tcPr>
          <w:p w14:paraId="689D5E5D">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移动医保结算系统</w:t>
            </w:r>
          </w:p>
        </w:tc>
      </w:tr>
      <w:tr w14:paraId="386FA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6B64F73C">
            <w:pPr>
              <w:snapToGrid w:val="0"/>
              <w:spacing w:line="360" w:lineRule="auto"/>
              <w:jc w:val="center"/>
              <w:rPr>
                <w:rFonts w:ascii="仿宋" w:hAnsi="仿宋" w:eastAsia="仿宋" w:cs="仿宋"/>
                <w:color w:val="000000"/>
                <w:kern w:val="0"/>
                <w:sz w:val="20"/>
                <w:szCs w:val="20"/>
              </w:rPr>
            </w:pPr>
          </w:p>
        </w:tc>
        <w:tc>
          <w:tcPr>
            <w:tcW w:w="3861" w:type="pct"/>
            <w:vAlign w:val="center"/>
          </w:tcPr>
          <w:p w14:paraId="23D9F0F6">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线上患者服务平台</w:t>
            </w:r>
          </w:p>
        </w:tc>
      </w:tr>
      <w:tr w14:paraId="1DADE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4F697FBA">
            <w:pPr>
              <w:snapToGrid w:val="0"/>
              <w:spacing w:line="360" w:lineRule="auto"/>
              <w:jc w:val="center"/>
              <w:rPr>
                <w:rFonts w:ascii="仿宋" w:hAnsi="仿宋" w:eastAsia="仿宋" w:cs="仿宋"/>
                <w:color w:val="000000"/>
                <w:kern w:val="0"/>
                <w:sz w:val="20"/>
                <w:szCs w:val="20"/>
              </w:rPr>
            </w:pPr>
          </w:p>
        </w:tc>
        <w:tc>
          <w:tcPr>
            <w:tcW w:w="3861" w:type="pct"/>
            <w:vAlign w:val="center"/>
          </w:tcPr>
          <w:p w14:paraId="481F3DB2">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病人自助服务系统</w:t>
            </w:r>
          </w:p>
        </w:tc>
      </w:tr>
      <w:tr w14:paraId="7036C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05174DC4">
            <w:pPr>
              <w:snapToGrid w:val="0"/>
              <w:spacing w:line="360" w:lineRule="auto"/>
              <w:jc w:val="center"/>
              <w:rPr>
                <w:rFonts w:ascii="仿宋" w:hAnsi="仿宋" w:eastAsia="仿宋" w:cs="仿宋"/>
                <w:color w:val="000000"/>
                <w:kern w:val="0"/>
                <w:sz w:val="20"/>
                <w:szCs w:val="20"/>
              </w:rPr>
            </w:pPr>
          </w:p>
        </w:tc>
        <w:tc>
          <w:tcPr>
            <w:tcW w:w="3861" w:type="pct"/>
            <w:vAlign w:val="center"/>
          </w:tcPr>
          <w:p w14:paraId="76239EFC">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自助挂号系统</w:t>
            </w:r>
          </w:p>
        </w:tc>
      </w:tr>
      <w:tr w14:paraId="76264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6341C17F">
            <w:pPr>
              <w:snapToGrid w:val="0"/>
              <w:spacing w:line="360" w:lineRule="auto"/>
              <w:jc w:val="center"/>
              <w:rPr>
                <w:rFonts w:ascii="仿宋" w:hAnsi="仿宋" w:eastAsia="仿宋" w:cs="仿宋"/>
                <w:color w:val="000000"/>
                <w:kern w:val="0"/>
                <w:sz w:val="20"/>
                <w:szCs w:val="20"/>
              </w:rPr>
            </w:pPr>
          </w:p>
        </w:tc>
        <w:tc>
          <w:tcPr>
            <w:tcW w:w="3861" w:type="pct"/>
            <w:vAlign w:val="center"/>
          </w:tcPr>
          <w:p w14:paraId="31698040">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自助报告打印系统</w:t>
            </w:r>
          </w:p>
        </w:tc>
      </w:tr>
      <w:tr w14:paraId="6554F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restart"/>
            <w:vAlign w:val="center"/>
          </w:tcPr>
          <w:p w14:paraId="2634707B">
            <w:pPr>
              <w:snapToGrid w:val="0"/>
              <w:spacing w:line="360" w:lineRule="auto"/>
              <w:jc w:val="center"/>
              <w:rPr>
                <w:rFonts w:ascii="仿宋" w:hAnsi="仿宋" w:eastAsia="仿宋" w:cs="仿宋"/>
                <w:color w:val="000000"/>
                <w:kern w:val="0"/>
                <w:sz w:val="20"/>
                <w:szCs w:val="20"/>
              </w:rPr>
            </w:pPr>
            <w:r>
              <w:rPr>
                <w:rFonts w:hint="eastAsia" w:ascii="仿宋" w:hAnsi="仿宋" w:eastAsia="仿宋" w:cs="仿宋"/>
                <w:color w:val="000000"/>
                <w:kern w:val="0"/>
                <w:sz w:val="20"/>
                <w:szCs w:val="20"/>
              </w:rPr>
              <w:t>外部接口系统</w:t>
            </w:r>
          </w:p>
        </w:tc>
        <w:tc>
          <w:tcPr>
            <w:tcW w:w="3861" w:type="pct"/>
            <w:vAlign w:val="center"/>
          </w:tcPr>
          <w:p w14:paraId="4D80EB32">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医保结算与数据上传接口</w:t>
            </w:r>
          </w:p>
        </w:tc>
      </w:tr>
      <w:tr w14:paraId="139BA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52BED2E9">
            <w:pPr>
              <w:snapToGrid w:val="0"/>
              <w:spacing w:line="360" w:lineRule="auto"/>
              <w:jc w:val="center"/>
              <w:rPr>
                <w:rFonts w:ascii="仿宋" w:hAnsi="仿宋" w:eastAsia="仿宋" w:cs="仿宋"/>
                <w:color w:val="000000"/>
                <w:kern w:val="0"/>
                <w:sz w:val="20"/>
                <w:szCs w:val="20"/>
              </w:rPr>
            </w:pPr>
          </w:p>
        </w:tc>
        <w:tc>
          <w:tcPr>
            <w:tcW w:w="3861" w:type="pct"/>
            <w:vAlign w:val="center"/>
          </w:tcPr>
          <w:p w14:paraId="2EFE0765">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临床药学管理系统接口</w:t>
            </w:r>
          </w:p>
        </w:tc>
      </w:tr>
      <w:tr w14:paraId="1DFA4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7B35A946">
            <w:pPr>
              <w:snapToGrid w:val="0"/>
              <w:spacing w:line="360" w:lineRule="auto"/>
              <w:jc w:val="center"/>
              <w:rPr>
                <w:rFonts w:ascii="仿宋" w:hAnsi="仿宋" w:eastAsia="仿宋" w:cs="仿宋"/>
                <w:color w:val="000000"/>
                <w:kern w:val="0"/>
                <w:sz w:val="20"/>
                <w:szCs w:val="20"/>
              </w:rPr>
            </w:pPr>
          </w:p>
        </w:tc>
        <w:tc>
          <w:tcPr>
            <w:tcW w:w="3861" w:type="pct"/>
            <w:vAlign w:val="center"/>
          </w:tcPr>
          <w:p w14:paraId="15868514">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第三方PACS/RIS系统接口</w:t>
            </w:r>
          </w:p>
        </w:tc>
      </w:tr>
      <w:tr w14:paraId="7C200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290D7B46">
            <w:pPr>
              <w:snapToGrid w:val="0"/>
              <w:spacing w:line="360" w:lineRule="auto"/>
              <w:jc w:val="center"/>
              <w:rPr>
                <w:rFonts w:ascii="仿宋" w:hAnsi="仿宋" w:eastAsia="仿宋" w:cs="仿宋"/>
                <w:color w:val="000000"/>
                <w:kern w:val="0"/>
                <w:sz w:val="20"/>
                <w:szCs w:val="20"/>
              </w:rPr>
            </w:pPr>
          </w:p>
        </w:tc>
        <w:tc>
          <w:tcPr>
            <w:tcW w:w="3861" w:type="pct"/>
            <w:vAlign w:val="center"/>
          </w:tcPr>
          <w:p w14:paraId="327E57F6">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健康体检系统接口</w:t>
            </w:r>
          </w:p>
        </w:tc>
      </w:tr>
      <w:tr w14:paraId="64EEB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552F7F36">
            <w:pPr>
              <w:snapToGrid w:val="0"/>
              <w:spacing w:line="360" w:lineRule="auto"/>
              <w:jc w:val="center"/>
              <w:rPr>
                <w:rFonts w:ascii="仿宋" w:hAnsi="仿宋" w:eastAsia="仿宋" w:cs="仿宋"/>
                <w:color w:val="000000"/>
                <w:kern w:val="0"/>
                <w:sz w:val="20"/>
                <w:szCs w:val="20"/>
              </w:rPr>
            </w:pPr>
          </w:p>
        </w:tc>
        <w:tc>
          <w:tcPr>
            <w:tcW w:w="3861" w:type="pct"/>
            <w:vAlign w:val="center"/>
          </w:tcPr>
          <w:p w14:paraId="7B0A72AC">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手术麻醉系统接口</w:t>
            </w:r>
          </w:p>
        </w:tc>
      </w:tr>
      <w:tr w14:paraId="5466F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0D8DD0E9">
            <w:pPr>
              <w:snapToGrid w:val="0"/>
              <w:spacing w:line="360" w:lineRule="auto"/>
              <w:jc w:val="center"/>
              <w:rPr>
                <w:rFonts w:ascii="仿宋" w:hAnsi="仿宋" w:eastAsia="仿宋" w:cs="仿宋"/>
                <w:color w:val="000000"/>
                <w:kern w:val="0"/>
                <w:sz w:val="20"/>
                <w:szCs w:val="20"/>
              </w:rPr>
            </w:pPr>
          </w:p>
        </w:tc>
        <w:tc>
          <w:tcPr>
            <w:tcW w:w="3861" w:type="pct"/>
            <w:vAlign w:val="center"/>
          </w:tcPr>
          <w:p w14:paraId="10146924">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电生理系统接口</w:t>
            </w:r>
          </w:p>
        </w:tc>
      </w:tr>
      <w:tr w14:paraId="6FD6C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64F42E43">
            <w:pPr>
              <w:snapToGrid w:val="0"/>
              <w:spacing w:line="360" w:lineRule="auto"/>
              <w:jc w:val="center"/>
              <w:rPr>
                <w:rFonts w:ascii="仿宋" w:hAnsi="仿宋" w:eastAsia="仿宋" w:cs="仿宋"/>
                <w:color w:val="000000"/>
                <w:kern w:val="0"/>
                <w:sz w:val="20"/>
                <w:szCs w:val="20"/>
              </w:rPr>
            </w:pPr>
          </w:p>
        </w:tc>
        <w:tc>
          <w:tcPr>
            <w:tcW w:w="3861" w:type="pct"/>
            <w:vAlign w:val="center"/>
          </w:tcPr>
          <w:p w14:paraId="0D647E41">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单病种管理系统接口</w:t>
            </w:r>
          </w:p>
        </w:tc>
      </w:tr>
      <w:tr w14:paraId="7851F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104FA435">
            <w:pPr>
              <w:snapToGrid w:val="0"/>
              <w:spacing w:line="360" w:lineRule="auto"/>
              <w:jc w:val="center"/>
              <w:rPr>
                <w:rFonts w:ascii="仿宋" w:hAnsi="仿宋" w:eastAsia="仿宋" w:cs="仿宋"/>
                <w:color w:val="000000"/>
                <w:kern w:val="0"/>
                <w:sz w:val="20"/>
                <w:szCs w:val="20"/>
              </w:rPr>
            </w:pPr>
          </w:p>
        </w:tc>
        <w:tc>
          <w:tcPr>
            <w:tcW w:w="3861" w:type="pct"/>
            <w:vAlign w:val="center"/>
          </w:tcPr>
          <w:p w14:paraId="5CB50279">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财务管理系统接口</w:t>
            </w:r>
          </w:p>
        </w:tc>
      </w:tr>
      <w:tr w14:paraId="52E1B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2657B589">
            <w:pPr>
              <w:snapToGrid w:val="0"/>
              <w:spacing w:line="360" w:lineRule="auto"/>
              <w:jc w:val="center"/>
              <w:rPr>
                <w:rFonts w:ascii="仿宋" w:hAnsi="仿宋" w:eastAsia="仿宋" w:cs="仿宋"/>
                <w:color w:val="000000"/>
                <w:kern w:val="0"/>
                <w:sz w:val="20"/>
                <w:szCs w:val="20"/>
              </w:rPr>
            </w:pPr>
          </w:p>
        </w:tc>
        <w:tc>
          <w:tcPr>
            <w:tcW w:w="3861" w:type="pct"/>
            <w:vAlign w:val="center"/>
          </w:tcPr>
          <w:p w14:paraId="332D004B">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院感管理系统接口</w:t>
            </w:r>
          </w:p>
        </w:tc>
      </w:tr>
      <w:tr w14:paraId="2971B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7F6B560E">
            <w:pPr>
              <w:snapToGrid w:val="0"/>
              <w:spacing w:line="360" w:lineRule="auto"/>
              <w:jc w:val="center"/>
              <w:rPr>
                <w:rFonts w:ascii="仿宋" w:hAnsi="仿宋" w:eastAsia="仿宋" w:cs="仿宋"/>
                <w:color w:val="000000"/>
                <w:kern w:val="0"/>
                <w:sz w:val="20"/>
                <w:szCs w:val="20"/>
              </w:rPr>
            </w:pPr>
          </w:p>
        </w:tc>
        <w:tc>
          <w:tcPr>
            <w:tcW w:w="3861" w:type="pct"/>
            <w:vAlign w:val="center"/>
          </w:tcPr>
          <w:p w14:paraId="0569D7AA">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排队叫号系统接口</w:t>
            </w:r>
          </w:p>
        </w:tc>
      </w:tr>
      <w:tr w14:paraId="50D8C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1CBA5560">
            <w:pPr>
              <w:snapToGrid w:val="0"/>
              <w:spacing w:line="360" w:lineRule="auto"/>
              <w:jc w:val="center"/>
              <w:rPr>
                <w:rFonts w:ascii="仿宋" w:hAnsi="仿宋" w:eastAsia="仿宋" w:cs="仿宋"/>
                <w:color w:val="000000"/>
                <w:kern w:val="0"/>
                <w:sz w:val="20"/>
                <w:szCs w:val="20"/>
              </w:rPr>
            </w:pPr>
          </w:p>
        </w:tc>
        <w:tc>
          <w:tcPr>
            <w:tcW w:w="3861" w:type="pct"/>
            <w:vAlign w:val="center"/>
          </w:tcPr>
          <w:p w14:paraId="5AEA16D6">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院外检验信息平台接口</w:t>
            </w:r>
          </w:p>
        </w:tc>
      </w:tr>
      <w:tr w14:paraId="2FAE2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52E08B43">
            <w:pPr>
              <w:snapToGrid w:val="0"/>
              <w:spacing w:line="360" w:lineRule="auto"/>
              <w:jc w:val="center"/>
              <w:rPr>
                <w:rFonts w:ascii="仿宋" w:hAnsi="仿宋" w:eastAsia="仿宋" w:cs="仿宋"/>
                <w:color w:val="000000"/>
                <w:kern w:val="0"/>
                <w:sz w:val="20"/>
                <w:szCs w:val="20"/>
              </w:rPr>
            </w:pPr>
          </w:p>
        </w:tc>
        <w:tc>
          <w:tcPr>
            <w:tcW w:w="3861" w:type="pct"/>
            <w:vAlign w:val="center"/>
          </w:tcPr>
          <w:p w14:paraId="6280B255">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医保药品追溯系统接口</w:t>
            </w:r>
          </w:p>
        </w:tc>
      </w:tr>
      <w:tr w14:paraId="76E69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5470A03D">
            <w:pPr>
              <w:snapToGrid w:val="0"/>
              <w:spacing w:line="360" w:lineRule="auto"/>
              <w:jc w:val="center"/>
              <w:rPr>
                <w:rFonts w:ascii="仿宋" w:hAnsi="仿宋" w:eastAsia="仿宋" w:cs="仿宋"/>
                <w:color w:val="000000"/>
                <w:kern w:val="0"/>
                <w:sz w:val="20"/>
                <w:szCs w:val="20"/>
              </w:rPr>
            </w:pPr>
          </w:p>
        </w:tc>
        <w:tc>
          <w:tcPr>
            <w:tcW w:w="3861" w:type="pct"/>
            <w:vAlign w:val="center"/>
          </w:tcPr>
          <w:p w14:paraId="529BE4A8">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传染病监测预警系统接口</w:t>
            </w:r>
          </w:p>
        </w:tc>
      </w:tr>
      <w:tr w14:paraId="36BC2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4EC25FD8">
            <w:pPr>
              <w:snapToGrid w:val="0"/>
              <w:spacing w:line="360" w:lineRule="auto"/>
              <w:jc w:val="center"/>
              <w:rPr>
                <w:rFonts w:ascii="仿宋" w:hAnsi="仿宋" w:eastAsia="仿宋" w:cs="仿宋"/>
                <w:color w:val="000000"/>
                <w:kern w:val="0"/>
                <w:sz w:val="20"/>
                <w:szCs w:val="20"/>
              </w:rPr>
            </w:pPr>
          </w:p>
        </w:tc>
        <w:tc>
          <w:tcPr>
            <w:tcW w:w="3861" w:type="pct"/>
            <w:vAlign w:val="center"/>
          </w:tcPr>
          <w:p w14:paraId="097409E0">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食源性疾病监测系统接口</w:t>
            </w:r>
          </w:p>
        </w:tc>
      </w:tr>
      <w:tr w14:paraId="51304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44216428">
            <w:pPr>
              <w:snapToGrid w:val="0"/>
              <w:spacing w:line="360" w:lineRule="auto"/>
              <w:jc w:val="center"/>
              <w:rPr>
                <w:rFonts w:ascii="仿宋" w:hAnsi="仿宋" w:eastAsia="仿宋" w:cs="仿宋"/>
                <w:color w:val="000000"/>
                <w:kern w:val="0"/>
                <w:sz w:val="20"/>
                <w:szCs w:val="20"/>
              </w:rPr>
            </w:pPr>
          </w:p>
        </w:tc>
        <w:tc>
          <w:tcPr>
            <w:tcW w:w="3861" w:type="pct"/>
            <w:vAlign w:val="center"/>
          </w:tcPr>
          <w:p w14:paraId="3A893280">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检验互认平台接口</w:t>
            </w:r>
          </w:p>
        </w:tc>
      </w:tr>
      <w:tr w14:paraId="3CB7D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21982294">
            <w:pPr>
              <w:snapToGrid w:val="0"/>
              <w:spacing w:line="360" w:lineRule="auto"/>
              <w:jc w:val="center"/>
              <w:rPr>
                <w:rFonts w:ascii="仿宋" w:hAnsi="仿宋" w:eastAsia="仿宋" w:cs="仿宋"/>
                <w:color w:val="000000"/>
                <w:kern w:val="0"/>
                <w:sz w:val="20"/>
                <w:szCs w:val="20"/>
              </w:rPr>
            </w:pPr>
          </w:p>
        </w:tc>
        <w:tc>
          <w:tcPr>
            <w:tcW w:w="3861" w:type="pct"/>
            <w:vAlign w:val="center"/>
          </w:tcPr>
          <w:p w14:paraId="3FA23575">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国家“码上放心”管理平台接口</w:t>
            </w:r>
          </w:p>
        </w:tc>
      </w:tr>
      <w:tr w14:paraId="7B241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1A9AF7DF">
            <w:pPr>
              <w:snapToGrid w:val="0"/>
              <w:spacing w:line="360" w:lineRule="auto"/>
              <w:jc w:val="center"/>
              <w:rPr>
                <w:rFonts w:ascii="仿宋" w:hAnsi="仿宋" w:eastAsia="仿宋" w:cs="仿宋"/>
                <w:color w:val="000000"/>
                <w:kern w:val="0"/>
                <w:sz w:val="20"/>
                <w:szCs w:val="20"/>
              </w:rPr>
            </w:pPr>
          </w:p>
        </w:tc>
        <w:tc>
          <w:tcPr>
            <w:tcW w:w="3861" w:type="pct"/>
            <w:vAlign w:val="center"/>
          </w:tcPr>
          <w:p w14:paraId="69591F2B">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DRG管理平台接口</w:t>
            </w:r>
          </w:p>
        </w:tc>
      </w:tr>
      <w:tr w14:paraId="3F91B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44B24A9B">
            <w:pPr>
              <w:snapToGrid w:val="0"/>
              <w:spacing w:line="360" w:lineRule="auto"/>
              <w:jc w:val="center"/>
              <w:rPr>
                <w:rFonts w:ascii="仿宋" w:hAnsi="仿宋" w:eastAsia="仿宋" w:cs="仿宋"/>
                <w:color w:val="000000"/>
                <w:kern w:val="0"/>
                <w:sz w:val="20"/>
                <w:szCs w:val="20"/>
              </w:rPr>
            </w:pPr>
          </w:p>
        </w:tc>
        <w:tc>
          <w:tcPr>
            <w:tcW w:w="3861" w:type="pct"/>
            <w:vAlign w:val="center"/>
          </w:tcPr>
          <w:p w14:paraId="15B75FB4">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门（急）诊诊疗信息页上报接口</w:t>
            </w:r>
          </w:p>
        </w:tc>
      </w:tr>
      <w:tr w14:paraId="0726E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1AD25C43">
            <w:pPr>
              <w:snapToGrid w:val="0"/>
              <w:spacing w:line="360" w:lineRule="auto"/>
              <w:jc w:val="center"/>
              <w:rPr>
                <w:rFonts w:ascii="仿宋" w:hAnsi="仿宋" w:eastAsia="仿宋" w:cs="仿宋"/>
                <w:color w:val="000000"/>
                <w:kern w:val="0"/>
                <w:sz w:val="20"/>
                <w:szCs w:val="20"/>
              </w:rPr>
            </w:pPr>
          </w:p>
        </w:tc>
        <w:tc>
          <w:tcPr>
            <w:tcW w:w="3861" w:type="pct"/>
            <w:vAlign w:val="center"/>
          </w:tcPr>
          <w:p w14:paraId="39A5E1A8">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国家卫生统计网络直报接口</w:t>
            </w:r>
          </w:p>
        </w:tc>
      </w:tr>
      <w:tr w14:paraId="4EEEB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1186F645">
            <w:pPr>
              <w:snapToGrid w:val="0"/>
              <w:spacing w:line="360" w:lineRule="auto"/>
              <w:jc w:val="center"/>
              <w:rPr>
                <w:rFonts w:ascii="仿宋" w:hAnsi="仿宋" w:eastAsia="仿宋" w:cs="仿宋"/>
                <w:color w:val="000000"/>
                <w:kern w:val="0"/>
                <w:sz w:val="20"/>
                <w:szCs w:val="20"/>
              </w:rPr>
            </w:pPr>
          </w:p>
        </w:tc>
        <w:tc>
          <w:tcPr>
            <w:tcW w:w="3861" w:type="pct"/>
            <w:vAlign w:val="center"/>
          </w:tcPr>
          <w:p w14:paraId="469BF5AA">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国家抗菌药物临床应用监测上报系统接口</w:t>
            </w:r>
          </w:p>
        </w:tc>
      </w:tr>
      <w:tr w14:paraId="2A57A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63D7347E">
            <w:pPr>
              <w:snapToGrid w:val="0"/>
              <w:spacing w:line="360" w:lineRule="auto"/>
              <w:jc w:val="center"/>
              <w:rPr>
                <w:rFonts w:ascii="仿宋" w:hAnsi="仿宋" w:eastAsia="仿宋" w:cs="仿宋"/>
                <w:color w:val="000000"/>
                <w:kern w:val="0"/>
                <w:sz w:val="20"/>
                <w:szCs w:val="20"/>
              </w:rPr>
            </w:pPr>
          </w:p>
        </w:tc>
        <w:tc>
          <w:tcPr>
            <w:tcW w:w="3861" w:type="pct"/>
            <w:vAlign w:val="center"/>
          </w:tcPr>
          <w:p w14:paraId="3EDC2A1D">
            <w:pPr>
              <w:snapToGrid w:val="0"/>
              <w:spacing w:line="360" w:lineRule="auto"/>
              <w:rPr>
                <w:rFonts w:ascii="仿宋" w:hAnsi="仿宋" w:eastAsia="仿宋" w:cs="仿宋"/>
                <w:color w:val="000000"/>
                <w:kern w:val="0"/>
                <w:sz w:val="20"/>
                <w:szCs w:val="20"/>
              </w:rPr>
            </w:pPr>
          </w:p>
        </w:tc>
      </w:tr>
      <w:tr w14:paraId="45645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restart"/>
            <w:vAlign w:val="center"/>
          </w:tcPr>
          <w:p w14:paraId="4FB12A5C">
            <w:pPr>
              <w:snapToGrid w:val="0"/>
              <w:spacing w:line="360" w:lineRule="auto"/>
              <w:jc w:val="center"/>
              <w:rPr>
                <w:rFonts w:ascii="仿宋" w:hAnsi="仿宋" w:eastAsia="仿宋" w:cs="仿宋"/>
                <w:color w:val="000000"/>
                <w:kern w:val="0"/>
                <w:sz w:val="20"/>
                <w:szCs w:val="20"/>
              </w:rPr>
            </w:pPr>
            <w:r>
              <w:rPr>
                <w:rFonts w:hint="eastAsia" w:ascii="仿宋" w:hAnsi="仿宋" w:eastAsia="仿宋" w:cs="仿宋"/>
                <w:color w:val="000000"/>
                <w:kern w:val="0"/>
                <w:sz w:val="20"/>
                <w:szCs w:val="20"/>
              </w:rPr>
              <w:t>其他</w:t>
            </w:r>
          </w:p>
        </w:tc>
        <w:tc>
          <w:tcPr>
            <w:tcW w:w="3861" w:type="pct"/>
            <w:vAlign w:val="center"/>
          </w:tcPr>
          <w:p w14:paraId="18A62A79">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系统管理工具</w:t>
            </w:r>
          </w:p>
        </w:tc>
      </w:tr>
      <w:tr w14:paraId="21B81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2C7EB542">
            <w:pPr>
              <w:snapToGrid w:val="0"/>
              <w:spacing w:line="360" w:lineRule="auto"/>
              <w:rPr>
                <w:rFonts w:ascii="仿宋" w:hAnsi="仿宋" w:eastAsia="仿宋" w:cs="仿宋"/>
                <w:color w:val="000000"/>
                <w:kern w:val="0"/>
                <w:sz w:val="20"/>
                <w:szCs w:val="20"/>
              </w:rPr>
            </w:pPr>
          </w:p>
        </w:tc>
        <w:tc>
          <w:tcPr>
            <w:tcW w:w="3861" w:type="pct"/>
            <w:vAlign w:val="center"/>
          </w:tcPr>
          <w:p w14:paraId="19B83D6E">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数据处理平台</w:t>
            </w:r>
          </w:p>
        </w:tc>
      </w:tr>
      <w:tr w14:paraId="413DE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38" w:type="pct"/>
            <w:vMerge w:val="continue"/>
            <w:vAlign w:val="center"/>
          </w:tcPr>
          <w:p w14:paraId="52D79D47">
            <w:pPr>
              <w:snapToGrid w:val="0"/>
              <w:spacing w:line="360" w:lineRule="auto"/>
              <w:rPr>
                <w:rFonts w:ascii="仿宋" w:hAnsi="仿宋" w:eastAsia="仿宋" w:cs="仿宋"/>
                <w:color w:val="000000"/>
                <w:kern w:val="0"/>
                <w:sz w:val="20"/>
                <w:szCs w:val="20"/>
              </w:rPr>
            </w:pPr>
          </w:p>
        </w:tc>
        <w:tc>
          <w:tcPr>
            <w:tcW w:w="3861" w:type="pct"/>
            <w:vAlign w:val="center"/>
          </w:tcPr>
          <w:p w14:paraId="439F75FE">
            <w:pPr>
              <w:snapToGrid w:val="0"/>
              <w:spacing w:line="360" w:lineRule="auto"/>
              <w:rPr>
                <w:rFonts w:ascii="仿宋" w:hAnsi="仿宋" w:eastAsia="仿宋" w:cs="仿宋"/>
                <w:color w:val="000000"/>
                <w:kern w:val="0"/>
                <w:sz w:val="20"/>
                <w:szCs w:val="20"/>
              </w:rPr>
            </w:pPr>
            <w:r>
              <w:rPr>
                <w:rFonts w:hint="eastAsia" w:ascii="仿宋" w:hAnsi="仿宋" w:eastAsia="仿宋" w:cs="仿宋"/>
                <w:color w:val="000000"/>
                <w:kern w:val="0"/>
                <w:sz w:val="20"/>
                <w:szCs w:val="20"/>
              </w:rPr>
              <w:t>自定义报表系统</w:t>
            </w:r>
          </w:p>
        </w:tc>
      </w:tr>
    </w:tbl>
    <w:p w14:paraId="0A26DEAA">
      <w:pPr>
        <w:rPr>
          <w:rFonts w:ascii="仿宋" w:hAnsi="仿宋" w:eastAsia="仿宋" w:cs="仿宋"/>
          <w:szCs w:val="21"/>
          <w:lang w:bidi="ar"/>
        </w:rPr>
      </w:pPr>
    </w:p>
    <w:p w14:paraId="3415FC1C">
      <w:pPr>
        <w:pStyle w:val="2"/>
        <w:rPr>
          <w:sz w:val="21"/>
          <w:szCs w:val="21"/>
        </w:rPr>
        <w:sectPr>
          <w:footerReference r:id="rId3" w:type="default"/>
          <w:pgSz w:w="11906" w:h="16838"/>
          <w:pgMar w:top="1134" w:right="1134" w:bottom="935" w:left="1134" w:header="851" w:footer="992" w:gutter="0"/>
          <w:cols w:space="0" w:num="1"/>
          <w:docGrid w:type="lines" w:linePitch="321" w:charSpace="0"/>
        </w:sectPr>
      </w:pPr>
    </w:p>
    <w:p w14:paraId="047E3250">
      <w:pPr>
        <w:pStyle w:val="2"/>
        <w:rPr>
          <w:b/>
          <w:sz w:val="21"/>
          <w:szCs w:val="21"/>
          <w:lang w:eastAsia="zh-CN"/>
        </w:rPr>
      </w:pPr>
      <w:r>
        <w:rPr>
          <w:rFonts w:hint="eastAsia"/>
          <w:b/>
          <w:sz w:val="21"/>
          <w:szCs w:val="21"/>
          <w:lang w:eastAsia="zh-CN"/>
        </w:rPr>
        <w:t>附件2：医院信息系统故障分级标准及响应时间明细表</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69"/>
        <w:gridCol w:w="1328"/>
        <w:gridCol w:w="3506"/>
        <w:gridCol w:w="2940"/>
      </w:tblGrid>
      <w:tr w14:paraId="044C5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50" w:type="pct"/>
            <w:tcMar>
              <w:top w:w="60" w:type="dxa"/>
              <w:left w:w="120" w:type="dxa"/>
              <w:bottom w:w="30" w:type="dxa"/>
              <w:right w:w="120" w:type="dxa"/>
            </w:tcMar>
            <w:vAlign w:val="center"/>
          </w:tcPr>
          <w:p w14:paraId="2A01A3CA">
            <w:pPr>
              <w:snapToGrid w:val="0"/>
              <w:spacing w:line="360" w:lineRule="auto"/>
              <w:jc w:val="center"/>
              <w:rPr>
                <w:rFonts w:ascii="仿宋" w:hAnsi="仿宋" w:eastAsia="仿宋" w:cs="仿宋"/>
                <w:b/>
                <w:sz w:val="20"/>
                <w:szCs w:val="20"/>
              </w:rPr>
            </w:pPr>
            <w:r>
              <w:rPr>
                <w:rFonts w:hint="eastAsia" w:ascii="仿宋" w:hAnsi="仿宋" w:eastAsia="仿宋" w:cs="仿宋"/>
                <w:b/>
                <w:sz w:val="20"/>
                <w:szCs w:val="20"/>
              </w:rPr>
              <w:t>序号</w:t>
            </w:r>
          </w:p>
        </w:tc>
        <w:tc>
          <w:tcPr>
            <w:tcW w:w="777" w:type="pct"/>
            <w:tcMar>
              <w:top w:w="60" w:type="dxa"/>
              <w:left w:w="120" w:type="dxa"/>
              <w:bottom w:w="30" w:type="dxa"/>
              <w:right w:w="120" w:type="dxa"/>
            </w:tcMar>
            <w:vAlign w:val="center"/>
          </w:tcPr>
          <w:p w14:paraId="270F6AD3">
            <w:pPr>
              <w:snapToGrid w:val="0"/>
              <w:spacing w:line="360" w:lineRule="auto"/>
              <w:jc w:val="center"/>
              <w:rPr>
                <w:rFonts w:ascii="仿宋" w:hAnsi="仿宋" w:eastAsia="仿宋" w:cs="仿宋"/>
                <w:b/>
                <w:sz w:val="20"/>
                <w:szCs w:val="20"/>
              </w:rPr>
            </w:pPr>
            <w:r>
              <w:rPr>
                <w:rFonts w:hint="eastAsia" w:ascii="仿宋" w:hAnsi="仿宋" w:eastAsia="仿宋" w:cs="仿宋"/>
                <w:b/>
                <w:sz w:val="20"/>
                <w:szCs w:val="20"/>
              </w:rPr>
              <w:t>故障等级</w:t>
            </w:r>
          </w:p>
        </w:tc>
        <w:tc>
          <w:tcPr>
            <w:tcW w:w="2051" w:type="pct"/>
            <w:tcMar>
              <w:top w:w="60" w:type="dxa"/>
              <w:left w:w="120" w:type="dxa"/>
              <w:bottom w:w="30" w:type="dxa"/>
              <w:right w:w="120" w:type="dxa"/>
            </w:tcMar>
            <w:vAlign w:val="center"/>
          </w:tcPr>
          <w:p w14:paraId="2BBEDD1C">
            <w:pPr>
              <w:snapToGrid w:val="0"/>
              <w:spacing w:line="360" w:lineRule="auto"/>
              <w:jc w:val="center"/>
              <w:rPr>
                <w:rFonts w:ascii="仿宋" w:hAnsi="仿宋" w:eastAsia="仿宋" w:cs="仿宋"/>
                <w:b/>
                <w:sz w:val="20"/>
                <w:szCs w:val="20"/>
              </w:rPr>
            </w:pPr>
            <w:r>
              <w:rPr>
                <w:rFonts w:hint="eastAsia" w:ascii="仿宋" w:hAnsi="仿宋" w:eastAsia="仿宋" w:cs="仿宋"/>
                <w:b/>
                <w:sz w:val="20"/>
                <w:szCs w:val="20"/>
              </w:rPr>
              <w:t>故障情况描述</w:t>
            </w:r>
          </w:p>
        </w:tc>
        <w:tc>
          <w:tcPr>
            <w:tcW w:w="1720" w:type="pct"/>
            <w:tcMar>
              <w:top w:w="60" w:type="dxa"/>
              <w:left w:w="120" w:type="dxa"/>
              <w:bottom w:w="30" w:type="dxa"/>
              <w:right w:w="120" w:type="dxa"/>
            </w:tcMar>
            <w:vAlign w:val="center"/>
          </w:tcPr>
          <w:p w14:paraId="415F4F70">
            <w:pPr>
              <w:snapToGrid w:val="0"/>
              <w:spacing w:line="360" w:lineRule="auto"/>
              <w:jc w:val="center"/>
              <w:rPr>
                <w:rFonts w:ascii="仿宋" w:hAnsi="仿宋" w:eastAsia="仿宋" w:cs="仿宋"/>
                <w:b/>
                <w:sz w:val="20"/>
                <w:szCs w:val="20"/>
              </w:rPr>
            </w:pPr>
            <w:r>
              <w:rPr>
                <w:rFonts w:hint="eastAsia" w:ascii="仿宋" w:hAnsi="仿宋" w:eastAsia="仿宋" w:cs="仿宋"/>
                <w:b/>
                <w:sz w:val="20"/>
                <w:szCs w:val="20"/>
              </w:rPr>
              <w:t>刚性SLA要求</w:t>
            </w:r>
          </w:p>
        </w:tc>
      </w:tr>
      <w:tr w14:paraId="7FBE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50" w:type="pct"/>
            <w:tcMar>
              <w:top w:w="60" w:type="dxa"/>
              <w:left w:w="120" w:type="dxa"/>
              <w:bottom w:w="30" w:type="dxa"/>
              <w:right w:w="120" w:type="dxa"/>
            </w:tcMar>
            <w:vAlign w:val="center"/>
          </w:tcPr>
          <w:p w14:paraId="21B2450A">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1</w:t>
            </w:r>
          </w:p>
        </w:tc>
        <w:tc>
          <w:tcPr>
            <w:tcW w:w="777" w:type="pct"/>
            <w:tcMar>
              <w:top w:w="60" w:type="dxa"/>
              <w:left w:w="120" w:type="dxa"/>
              <w:bottom w:w="30" w:type="dxa"/>
              <w:right w:w="120" w:type="dxa"/>
            </w:tcMar>
            <w:vAlign w:val="center"/>
          </w:tcPr>
          <w:p w14:paraId="4F2F2765">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一级故障（重大）</w:t>
            </w:r>
          </w:p>
        </w:tc>
        <w:tc>
          <w:tcPr>
            <w:tcW w:w="2051" w:type="pct"/>
            <w:tcMar>
              <w:top w:w="60" w:type="dxa"/>
              <w:left w:w="120" w:type="dxa"/>
              <w:bottom w:w="30" w:type="dxa"/>
              <w:right w:w="120" w:type="dxa"/>
            </w:tcMar>
          </w:tcPr>
          <w:p w14:paraId="7F739617">
            <w:pPr>
              <w:snapToGrid w:val="0"/>
              <w:spacing w:line="360" w:lineRule="auto"/>
              <w:rPr>
                <w:rFonts w:ascii="仿宋" w:hAnsi="仿宋" w:eastAsia="仿宋" w:cs="仿宋"/>
                <w:sz w:val="20"/>
                <w:szCs w:val="20"/>
              </w:rPr>
            </w:pPr>
            <w:r>
              <w:rPr>
                <w:rFonts w:hint="eastAsia" w:ascii="仿宋" w:hAnsi="仿宋" w:eastAsia="仿宋" w:cs="仿宋"/>
                <w:sz w:val="20"/>
                <w:szCs w:val="20"/>
              </w:rPr>
              <w:t>1. 系统核心服务瘫痪，导致业务中断，多部门终端无法办理业务，严重影响医院正常医疗秩序；</w:t>
            </w:r>
          </w:p>
          <w:p w14:paraId="223B03D6">
            <w:pPr>
              <w:snapToGrid w:val="0"/>
              <w:spacing w:line="360" w:lineRule="auto"/>
              <w:rPr>
                <w:rFonts w:ascii="仿宋" w:hAnsi="仿宋" w:eastAsia="仿宋" w:cs="仿宋"/>
                <w:sz w:val="20"/>
                <w:szCs w:val="20"/>
              </w:rPr>
            </w:pPr>
            <w:r>
              <w:rPr>
                <w:rFonts w:hint="eastAsia" w:ascii="仿宋" w:hAnsi="仿宋" w:eastAsia="仿宋" w:cs="仿宋"/>
                <w:sz w:val="20"/>
                <w:szCs w:val="20"/>
              </w:rPr>
              <w:t>2. 系统与PACS、心电系统、手麻系统等核心系统接口完全中断，导致业务数据无法传输，严重影响医院正常医疗秩序</w:t>
            </w:r>
          </w:p>
          <w:p w14:paraId="2A31B5C7">
            <w:pPr>
              <w:snapToGrid w:val="0"/>
              <w:spacing w:line="360" w:lineRule="auto"/>
              <w:rPr>
                <w:rFonts w:ascii="仿宋" w:hAnsi="仿宋" w:eastAsia="仿宋" w:cs="仿宋"/>
                <w:sz w:val="20"/>
                <w:szCs w:val="20"/>
              </w:rPr>
            </w:pPr>
            <w:r>
              <w:rPr>
                <w:rFonts w:hint="eastAsia" w:ascii="仿宋" w:hAnsi="仿宋" w:eastAsia="仿宋" w:cs="仿宋"/>
                <w:sz w:val="20"/>
                <w:szCs w:val="20"/>
              </w:rPr>
              <w:t>3.  发生患者个人信息批量泄露、医疗数据被篡改/丢失等重大数据安全事件；</w:t>
            </w:r>
          </w:p>
          <w:p w14:paraId="04B9C871">
            <w:pPr>
              <w:snapToGrid w:val="0"/>
              <w:spacing w:line="360" w:lineRule="auto"/>
              <w:rPr>
                <w:rFonts w:ascii="仿宋" w:hAnsi="仿宋" w:eastAsia="仿宋" w:cs="仿宋"/>
                <w:sz w:val="20"/>
                <w:szCs w:val="20"/>
              </w:rPr>
            </w:pPr>
            <w:r>
              <w:rPr>
                <w:rFonts w:hint="eastAsia" w:ascii="仿宋" w:hAnsi="仿宋" w:eastAsia="仿宋" w:cs="仿宋"/>
                <w:sz w:val="20"/>
                <w:szCs w:val="20"/>
              </w:rPr>
              <w:t>4. 系统被非法入侵、攻击，出现高危安全漏洞，威胁医院整体网络安全。</w:t>
            </w:r>
          </w:p>
        </w:tc>
        <w:tc>
          <w:tcPr>
            <w:tcW w:w="1720" w:type="pct"/>
            <w:tcMar>
              <w:top w:w="60" w:type="dxa"/>
              <w:left w:w="120" w:type="dxa"/>
              <w:bottom w:w="30" w:type="dxa"/>
              <w:right w:w="120" w:type="dxa"/>
            </w:tcMar>
          </w:tcPr>
          <w:p w14:paraId="16C32041">
            <w:pPr>
              <w:snapToGrid w:val="0"/>
              <w:spacing w:line="360" w:lineRule="auto"/>
              <w:rPr>
                <w:rFonts w:ascii="仿宋" w:hAnsi="仿宋" w:eastAsia="仿宋" w:cs="仿宋"/>
                <w:sz w:val="20"/>
                <w:szCs w:val="20"/>
              </w:rPr>
            </w:pPr>
            <w:r>
              <w:rPr>
                <w:rFonts w:hint="eastAsia" w:ascii="仿宋" w:hAnsi="仿宋" w:eastAsia="仿宋" w:cs="仿宋"/>
                <w:sz w:val="20"/>
                <w:szCs w:val="20"/>
              </w:rPr>
              <w:t>1. 10分钟内必须响应，与采购人明确故障情况，出具应急处置方案；</w:t>
            </w:r>
          </w:p>
          <w:p w14:paraId="7F64887A">
            <w:pPr>
              <w:snapToGrid w:val="0"/>
              <w:spacing w:line="360" w:lineRule="auto"/>
              <w:rPr>
                <w:rFonts w:ascii="仿宋" w:hAnsi="仿宋" w:eastAsia="仿宋" w:cs="仿宋"/>
                <w:sz w:val="20"/>
                <w:szCs w:val="20"/>
              </w:rPr>
            </w:pPr>
            <w:r>
              <w:rPr>
                <w:rFonts w:hint="eastAsia" w:ascii="仿宋" w:hAnsi="仿宋" w:eastAsia="仿宋" w:cs="仿宋"/>
                <w:sz w:val="20"/>
                <w:szCs w:val="20"/>
              </w:rPr>
              <w:t>2. 4小时内派驻具备资质的技术人员到达现场；</w:t>
            </w:r>
          </w:p>
          <w:p w14:paraId="723665A7">
            <w:pPr>
              <w:snapToGrid w:val="0"/>
              <w:spacing w:line="360" w:lineRule="auto"/>
              <w:rPr>
                <w:rFonts w:ascii="仿宋" w:hAnsi="仿宋" w:eastAsia="仿宋" w:cs="仿宋"/>
                <w:sz w:val="20"/>
                <w:szCs w:val="20"/>
              </w:rPr>
            </w:pPr>
            <w:r>
              <w:rPr>
                <w:rFonts w:hint="eastAsia" w:ascii="仿宋" w:hAnsi="仿宋" w:eastAsia="仿宋" w:cs="仿宋"/>
                <w:sz w:val="20"/>
                <w:szCs w:val="20"/>
              </w:rPr>
              <w:t>3. 6小时内完成故障修复，恢复系统核心业务正常运行；</w:t>
            </w:r>
          </w:p>
          <w:p w14:paraId="2AA264B2">
            <w:pPr>
              <w:snapToGrid w:val="0"/>
              <w:spacing w:line="360" w:lineRule="auto"/>
              <w:rPr>
                <w:rFonts w:ascii="仿宋" w:hAnsi="仿宋" w:eastAsia="仿宋" w:cs="仿宋"/>
                <w:sz w:val="20"/>
                <w:szCs w:val="20"/>
              </w:rPr>
            </w:pPr>
            <w:r>
              <w:rPr>
                <w:rFonts w:hint="eastAsia" w:ascii="仿宋" w:hAnsi="仿宋" w:eastAsia="仿宋" w:cs="仿宋"/>
                <w:sz w:val="20"/>
                <w:szCs w:val="20"/>
              </w:rPr>
              <w:t>4. 无法在时限内完全修复的，须提供临时应急方案保障业务连续性，直至系统完全恢复；</w:t>
            </w:r>
          </w:p>
          <w:p w14:paraId="4B491C12">
            <w:pPr>
              <w:snapToGrid w:val="0"/>
              <w:spacing w:line="360" w:lineRule="auto"/>
              <w:rPr>
                <w:rFonts w:ascii="仿宋" w:hAnsi="仿宋" w:eastAsia="仿宋" w:cs="仿宋"/>
                <w:sz w:val="20"/>
                <w:szCs w:val="20"/>
              </w:rPr>
            </w:pPr>
            <w:r>
              <w:rPr>
                <w:rFonts w:hint="eastAsia" w:ascii="仿宋" w:hAnsi="仿宋" w:eastAsia="仿宋" w:cs="仿宋"/>
                <w:sz w:val="20"/>
                <w:szCs w:val="20"/>
              </w:rPr>
              <w:t>5. 故障处置完成后24小时内提交正式故障分析与复盘报告。</w:t>
            </w:r>
          </w:p>
        </w:tc>
      </w:tr>
      <w:tr w14:paraId="698EC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50" w:type="pct"/>
            <w:tcMar>
              <w:top w:w="60" w:type="dxa"/>
              <w:left w:w="120" w:type="dxa"/>
              <w:bottom w:w="30" w:type="dxa"/>
              <w:right w:w="120" w:type="dxa"/>
            </w:tcMar>
            <w:vAlign w:val="center"/>
          </w:tcPr>
          <w:p w14:paraId="4F75607F">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2</w:t>
            </w:r>
          </w:p>
        </w:tc>
        <w:tc>
          <w:tcPr>
            <w:tcW w:w="777" w:type="pct"/>
            <w:tcMar>
              <w:top w:w="60" w:type="dxa"/>
              <w:left w:w="120" w:type="dxa"/>
              <w:bottom w:w="30" w:type="dxa"/>
              <w:right w:w="120" w:type="dxa"/>
            </w:tcMar>
            <w:vAlign w:val="center"/>
          </w:tcPr>
          <w:p w14:paraId="70ABDBC0">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二级故障（严重）</w:t>
            </w:r>
          </w:p>
        </w:tc>
        <w:tc>
          <w:tcPr>
            <w:tcW w:w="2051" w:type="pct"/>
            <w:tcMar>
              <w:top w:w="60" w:type="dxa"/>
              <w:left w:w="120" w:type="dxa"/>
              <w:bottom w:w="30" w:type="dxa"/>
              <w:right w:w="120" w:type="dxa"/>
            </w:tcMar>
          </w:tcPr>
          <w:p w14:paraId="2447E951">
            <w:pPr>
              <w:snapToGrid w:val="0"/>
              <w:spacing w:line="360" w:lineRule="auto"/>
              <w:rPr>
                <w:rFonts w:ascii="仿宋" w:hAnsi="仿宋" w:eastAsia="仿宋" w:cs="仿宋"/>
                <w:sz w:val="20"/>
                <w:szCs w:val="20"/>
              </w:rPr>
            </w:pPr>
            <w:r>
              <w:rPr>
                <w:rFonts w:hint="eastAsia" w:ascii="仿宋" w:hAnsi="仿宋" w:eastAsia="仿宋" w:cs="仿宋"/>
                <w:sz w:val="20"/>
                <w:szCs w:val="20"/>
              </w:rPr>
              <w:t>1. 系统操作性能严重降级，核心功能响应延迟超500%，严重影响医生操作与患者业务办理；</w:t>
            </w:r>
          </w:p>
          <w:p w14:paraId="5521AC25">
            <w:pPr>
              <w:snapToGrid w:val="0"/>
              <w:spacing w:line="360" w:lineRule="auto"/>
              <w:rPr>
                <w:rFonts w:ascii="仿宋" w:hAnsi="仿宋" w:eastAsia="仿宋" w:cs="仿宋"/>
                <w:sz w:val="20"/>
                <w:szCs w:val="20"/>
              </w:rPr>
            </w:pPr>
            <w:r>
              <w:rPr>
                <w:rFonts w:hint="eastAsia" w:ascii="仿宋" w:hAnsi="仿宋" w:eastAsia="仿宋" w:cs="仿宋"/>
                <w:sz w:val="20"/>
                <w:szCs w:val="20"/>
              </w:rPr>
              <w:t>2. 核心科室、门诊3个及以上科室系统无法正常使用，影响大面积患者就医；</w:t>
            </w:r>
          </w:p>
          <w:p w14:paraId="00A796E6">
            <w:pPr>
              <w:snapToGrid w:val="0"/>
              <w:spacing w:line="360" w:lineRule="auto"/>
              <w:rPr>
                <w:rFonts w:ascii="仿宋" w:hAnsi="仿宋" w:eastAsia="仿宋" w:cs="仿宋"/>
                <w:sz w:val="20"/>
                <w:szCs w:val="20"/>
              </w:rPr>
            </w:pPr>
            <w:r>
              <w:rPr>
                <w:rFonts w:hint="eastAsia" w:ascii="仿宋" w:hAnsi="仿宋" w:eastAsia="仿宋" w:cs="仿宋"/>
                <w:sz w:val="20"/>
                <w:szCs w:val="20"/>
              </w:rPr>
              <w:t>3. 系统出现数据异常、统计错误，影响医疗业务正常开展，存在数据安全隐患。</w:t>
            </w:r>
          </w:p>
        </w:tc>
        <w:tc>
          <w:tcPr>
            <w:tcW w:w="1720" w:type="pct"/>
            <w:tcMar>
              <w:top w:w="60" w:type="dxa"/>
              <w:left w:w="120" w:type="dxa"/>
              <w:bottom w:w="30" w:type="dxa"/>
              <w:right w:w="120" w:type="dxa"/>
            </w:tcMar>
          </w:tcPr>
          <w:p w14:paraId="143B1A15">
            <w:pPr>
              <w:snapToGrid w:val="0"/>
              <w:spacing w:line="360" w:lineRule="auto"/>
              <w:rPr>
                <w:rFonts w:ascii="仿宋" w:hAnsi="仿宋" w:eastAsia="仿宋" w:cs="仿宋"/>
                <w:sz w:val="20"/>
                <w:szCs w:val="20"/>
              </w:rPr>
            </w:pPr>
            <w:r>
              <w:rPr>
                <w:rFonts w:hint="eastAsia" w:ascii="仿宋" w:hAnsi="仿宋" w:eastAsia="仿宋" w:cs="仿宋"/>
                <w:sz w:val="20"/>
                <w:szCs w:val="20"/>
              </w:rPr>
              <w:t>1. 30分钟内必须响应，出具初步处置方案；</w:t>
            </w:r>
          </w:p>
          <w:p w14:paraId="2EE8C50E">
            <w:pPr>
              <w:snapToGrid w:val="0"/>
              <w:spacing w:line="360" w:lineRule="auto"/>
              <w:rPr>
                <w:rFonts w:ascii="仿宋" w:hAnsi="仿宋" w:eastAsia="仿宋" w:cs="仿宋"/>
                <w:sz w:val="20"/>
                <w:szCs w:val="20"/>
              </w:rPr>
            </w:pPr>
            <w:r>
              <w:rPr>
                <w:rFonts w:hint="eastAsia" w:ascii="仿宋" w:hAnsi="仿宋" w:eastAsia="仿宋" w:cs="仿宋"/>
                <w:sz w:val="20"/>
                <w:szCs w:val="20"/>
              </w:rPr>
              <w:t>2. 6小时内到达现场或通过安全远程方式完成故障处置；</w:t>
            </w:r>
          </w:p>
          <w:p w14:paraId="3BC6BF4F">
            <w:pPr>
              <w:snapToGrid w:val="0"/>
              <w:spacing w:line="360" w:lineRule="auto"/>
              <w:rPr>
                <w:rFonts w:ascii="仿宋" w:hAnsi="仿宋" w:eastAsia="仿宋" w:cs="仿宋"/>
                <w:sz w:val="20"/>
                <w:szCs w:val="20"/>
              </w:rPr>
            </w:pPr>
            <w:r>
              <w:rPr>
                <w:rFonts w:hint="eastAsia" w:ascii="仿宋" w:hAnsi="仿宋" w:eastAsia="仿宋" w:cs="仿宋"/>
                <w:sz w:val="20"/>
                <w:szCs w:val="20"/>
              </w:rPr>
              <w:t>3. 12小时内完成故障修复，系统恢复正常运行；</w:t>
            </w:r>
          </w:p>
          <w:p w14:paraId="7A9C31A5">
            <w:pPr>
              <w:snapToGrid w:val="0"/>
              <w:spacing w:line="360" w:lineRule="auto"/>
              <w:rPr>
                <w:rFonts w:ascii="仿宋" w:hAnsi="仿宋" w:eastAsia="仿宋" w:cs="仿宋"/>
                <w:sz w:val="20"/>
                <w:szCs w:val="20"/>
              </w:rPr>
            </w:pPr>
            <w:r>
              <w:rPr>
                <w:rFonts w:hint="eastAsia" w:ascii="仿宋" w:hAnsi="仿宋" w:eastAsia="仿宋" w:cs="仿宋"/>
                <w:sz w:val="20"/>
                <w:szCs w:val="20"/>
              </w:rPr>
              <w:t>4. 故障处置完成后3个工作日内提交故障分析报告。</w:t>
            </w:r>
          </w:p>
        </w:tc>
      </w:tr>
      <w:tr w14:paraId="31F62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212" w:hRule="atLeast"/>
        </w:trPr>
        <w:tc>
          <w:tcPr>
            <w:tcW w:w="450" w:type="pct"/>
            <w:tcMar>
              <w:top w:w="60" w:type="dxa"/>
              <w:left w:w="120" w:type="dxa"/>
              <w:bottom w:w="30" w:type="dxa"/>
              <w:right w:w="120" w:type="dxa"/>
            </w:tcMar>
            <w:vAlign w:val="center"/>
          </w:tcPr>
          <w:p w14:paraId="28FAC0EA">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3</w:t>
            </w:r>
          </w:p>
        </w:tc>
        <w:tc>
          <w:tcPr>
            <w:tcW w:w="777" w:type="pct"/>
            <w:tcMar>
              <w:top w:w="60" w:type="dxa"/>
              <w:left w:w="120" w:type="dxa"/>
              <w:bottom w:w="30" w:type="dxa"/>
              <w:right w:w="120" w:type="dxa"/>
            </w:tcMar>
            <w:vAlign w:val="center"/>
          </w:tcPr>
          <w:p w14:paraId="3A94CFBF">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三级故障（一般）</w:t>
            </w:r>
          </w:p>
        </w:tc>
        <w:tc>
          <w:tcPr>
            <w:tcW w:w="2051" w:type="pct"/>
            <w:tcMar>
              <w:top w:w="60" w:type="dxa"/>
              <w:left w:w="120" w:type="dxa"/>
              <w:bottom w:w="30" w:type="dxa"/>
              <w:right w:w="120" w:type="dxa"/>
            </w:tcMar>
          </w:tcPr>
          <w:p w14:paraId="2701E1A9">
            <w:pPr>
              <w:snapToGrid w:val="0"/>
              <w:spacing w:line="360" w:lineRule="auto"/>
              <w:rPr>
                <w:rFonts w:ascii="仿宋" w:hAnsi="仿宋" w:eastAsia="仿宋" w:cs="仿宋"/>
                <w:sz w:val="20"/>
                <w:szCs w:val="20"/>
              </w:rPr>
            </w:pPr>
            <w:r>
              <w:rPr>
                <w:rFonts w:hint="eastAsia" w:ascii="仿宋" w:hAnsi="仿宋" w:eastAsia="仿宋" w:cs="仿宋"/>
                <w:sz w:val="20"/>
                <w:szCs w:val="20"/>
              </w:rPr>
              <w:t>1. 系统非核心功能受损，仅影响单个科室/少量终端使用，医院核心业务可正常开展；</w:t>
            </w:r>
          </w:p>
          <w:p w14:paraId="35A77B51">
            <w:pPr>
              <w:snapToGrid w:val="0"/>
              <w:spacing w:line="360" w:lineRule="auto"/>
              <w:rPr>
                <w:rFonts w:ascii="仿宋" w:hAnsi="仿宋" w:eastAsia="仿宋" w:cs="仿宋"/>
                <w:sz w:val="20"/>
                <w:szCs w:val="20"/>
              </w:rPr>
            </w:pPr>
            <w:r>
              <w:rPr>
                <w:rFonts w:hint="eastAsia" w:ascii="仿宋" w:hAnsi="仿宋" w:eastAsia="仿宋" w:cs="仿宋"/>
                <w:sz w:val="20"/>
                <w:szCs w:val="20"/>
              </w:rPr>
              <w:t>2. 系统出现局部数据异常、报表统计偏差，不影响核心业务办理；</w:t>
            </w:r>
          </w:p>
          <w:p w14:paraId="2971A56B">
            <w:pPr>
              <w:snapToGrid w:val="0"/>
              <w:spacing w:line="360" w:lineRule="auto"/>
              <w:rPr>
                <w:rFonts w:ascii="仿宋" w:hAnsi="仿宋" w:eastAsia="仿宋" w:cs="仿宋"/>
                <w:sz w:val="20"/>
                <w:szCs w:val="20"/>
              </w:rPr>
            </w:pPr>
            <w:r>
              <w:rPr>
                <w:rFonts w:hint="eastAsia" w:ascii="仿宋" w:hAnsi="仿宋" w:eastAsia="仿宋" w:cs="仿宋"/>
                <w:sz w:val="20"/>
                <w:szCs w:val="20"/>
              </w:rPr>
              <w:t>3.配套设备故障，不影响整体业务流程。</w:t>
            </w:r>
          </w:p>
        </w:tc>
        <w:tc>
          <w:tcPr>
            <w:tcW w:w="1720" w:type="pct"/>
            <w:tcMar>
              <w:top w:w="60" w:type="dxa"/>
              <w:left w:w="120" w:type="dxa"/>
              <w:bottom w:w="30" w:type="dxa"/>
              <w:right w:w="120" w:type="dxa"/>
            </w:tcMar>
          </w:tcPr>
          <w:p w14:paraId="6A2B13AB">
            <w:pPr>
              <w:snapToGrid w:val="0"/>
              <w:spacing w:line="360" w:lineRule="auto"/>
              <w:rPr>
                <w:rFonts w:ascii="仿宋" w:hAnsi="仿宋" w:eastAsia="仿宋" w:cs="仿宋"/>
                <w:sz w:val="20"/>
                <w:szCs w:val="20"/>
              </w:rPr>
            </w:pPr>
            <w:r>
              <w:rPr>
                <w:rFonts w:hint="eastAsia" w:ascii="仿宋" w:hAnsi="仿宋" w:eastAsia="仿宋" w:cs="仿宋"/>
                <w:sz w:val="20"/>
                <w:szCs w:val="20"/>
              </w:rPr>
              <w:t>1. 30分钟内必须响应，出具处置方案；</w:t>
            </w:r>
          </w:p>
          <w:p w14:paraId="1AF07F0F">
            <w:pPr>
              <w:snapToGrid w:val="0"/>
              <w:spacing w:line="360" w:lineRule="auto"/>
              <w:rPr>
                <w:rFonts w:ascii="仿宋" w:hAnsi="仿宋" w:eastAsia="仿宋" w:cs="仿宋"/>
                <w:sz w:val="20"/>
                <w:szCs w:val="20"/>
              </w:rPr>
            </w:pPr>
            <w:r>
              <w:rPr>
                <w:rFonts w:hint="eastAsia" w:ascii="仿宋" w:hAnsi="仿宋" w:eastAsia="仿宋" w:cs="仿宋"/>
                <w:sz w:val="20"/>
                <w:szCs w:val="20"/>
              </w:rPr>
              <w:t>2. 12小时内到达现场或通过远程方式完成故障处置；</w:t>
            </w:r>
          </w:p>
          <w:p w14:paraId="0113E6D2">
            <w:pPr>
              <w:snapToGrid w:val="0"/>
              <w:spacing w:line="360" w:lineRule="auto"/>
              <w:rPr>
                <w:rFonts w:ascii="仿宋" w:hAnsi="仿宋" w:eastAsia="仿宋" w:cs="仿宋"/>
                <w:sz w:val="20"/>
                <w:szCs w:val="20"/>
              </w:rPr>
            </w:pPr>
            <w:r>
              <w:rPr>
                <w:rFonts w:hint="eastAsia" w:ascii="仿宋" w:hAnsi="仿宋" w:eastAsia="仿宋" w:cs="仿宋"/>
                <w:sz w:val="20"/>
                <w:szCs w:val="20"/>
              </w:rPr>
              <w:t>3. 24小时内完成故障修复，闭环处置问题。</w:t>
            </w:r>
          </w:p>
        </w:tc>
      </w:tr>
      <w:tr w14:paraId="3461F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50" w:type="pct"/>
            <w:tcMar>
              <w:top w:w="60" w:type="dxa"/>
              <w:left w:w="120" w:type="dxa"/>
              <w:bottom w:w="30" w:type="dxa"/>
              <w:right w:w="120" w:type="dxa"/>
            </w:tcMar>
            <w:vAlign w:val="center"/>
          </w:tcPr>
          <w:p w14:paraId="0D0A6D8B">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4</w:t>
            </w:r>
          </w:p>
        </w:tc>
        <w:tc>
          <w:tcPr>
            <w:tcW w:w="777" w:type="pct"/>
            <w:tcMar>
              <w:top w:w="60" w:type="dxa"/>
              <w:left w:w="120" w:type="dxa"/>
              <w:bottom w:w="30" w:type="dxa"/>
              <w:right w:w="120" w:type="dxa"/>
            </w:tcMar>
            <w:vAlign w:val="center"/>
          </w:tcPr>
          <w:p w14:paraId="11090902">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四级故障（轻微）</w:t>
            </w:r>
          </w:p>
        </w:tc>
        <w:tc>
          <w:tcPr>
            <w:tcW w:w="2051" w:type="pct"/>
            <w:tcMar>
              <w:top w:w="60" w:type="dxa"/>
              <w:left w:w="120" w:type="dxa"/>
              <w:bottom w:w="30" w:type="dxa"/>
              <w:right w:w="120" w:type="dxa"/>
            </w:tcMar>
          </w:tcPr>
          <w:p w14:paraId="574DCBDD">
            <w:pPr>
              <w:snapToGrid w:val="0"/>
              <w:spacing w:line="360" w:lineRule="auto"/>
              <w:rPr>
                <w:rFonts w:ascii="仿宋" w:hAnsi="仿宋" w:eastAsia="仿宋" w:cs="仿宋"/>
                <w:sz w:val="20"/>
                <w:szCs w:val="20"/>
              </w:rPr>
            </w:pPr>
            <w:r>
              <w:rPr>
                <w:rFonts w:hint="eastAsia" w:ascii="仿宋" w:hAnsi="仿宋" w:eastAsia="仿宋" w:cs="仿宋"/>
                <w:sz w:val="20"/>
                <w:szCs w:val="20"/>
              </w:rPr>
              <w:t>1. 系统出现一般性操作问题、界面显示异常，对患者就医、系统运行几乎无影响；</w:t>
            </w:r>
          </w:p>
          <w:p w14:paraId="1D0B22C1">
            <w:pPr>
              <w:snapToGrid w:val="0"/>
              <w:spacing w:line="360" w:lineRule="auto"/>
              <w:rPr>
                <w:rFonts w:ascii="仿宋" w:hAnsi="仿宋" w:eastAsia="仿宋" w:cs="仿宋"/>
                <w:sz w:val="20"/>
                <w:szCs w:val="20"/>
              </w:rPr>
            </w:pPr>
            <w:r>
              <w:rPr>
                <w:rFonts w:hint="eastAsia" w:ascii="仿宋" w:hAnsi="仿宋" w:eastAsia="仿宋" w:cs="仿宋"/>
                <w:sz w:val="20"/>
                <w:szCs w:val="20"/>
              </w:rPr>
              <w:t>2. 医护人员提出的系统操作咨询、功能配置调整等非故障类服务请求。</w:t>
            </w:r>
          </w:p>
        </w:tc>
        <w:tc>
          <w:tcPr>
            <w:tcW w:w="1720" w:type="pct"/>
            <w:tcMar>
              <w:top w:w="60" w:type="dxa"/>
              <w:left w:w="120" w:type="dxa"/>
              <w:bottom w:w="30" w:type="dxa"/>
              <w:right w:w="120" w:type="dxa"/>
            </w:tcMar>
          </w:tcPr>
          <w:p w14:paraId="1EC29FE8">
            <w:pPr>
              <w:snapToGrid w:val="0"/>
              <w:spacing w:line="360" w:lineRule="auto"/>
              <w:rPr>
                <w:rFonts w:ascii="仿宋" w:hAnsi="仿宋" w:eastAsia="仿宋" w:cs="仿宋"/>
                <w:sz w:val="20"/>
                <w:szCs w:val="20"/>
              </w:rPr>
            </w:pPr>
            <w:r>
              <w:rPr>
                <w:rFonts w:hint="eastAsia" w:ascii="仿宋" w:hAnsi="仿宋" w:eastAsia="仿宋" w:cs="仿宋"/>
                <w:sz w:val="20"/>
                <w:szCs w:val="20"/>
              </w:rPr>
              <w:t>1. 30分钟内必须响应，提供技术指导与解决方案；</w:t>
            </w:r>
          </w:p>
          <w:p w14:paraId="64899A24">
            <w:pPr>
              <w:snapToGrid w:val="0"/>
              <w:spacing w:line="360" w:lineRule="auto"/>
              <w:rPr>
                <w:rFonts w:ascii="仿宋" w:hAnsi="仿宋" w:eastAsia="仿宋" w:cs="仿宋"/>
                <w:sz w:val="20"/>
                <w:szCs w:val="20"/>
              </w:rPr>
            </w:pPr>
            <w:r>
              <w:rPr>
                <w:rFonts w:hint="eastAsia" w:ascii="仿宋" w:hAnsi="仿宋" w:eastAsia="仿宋" w:cs="仿宋"/>
                <w:sz w:val="20"/>
                <w:szCs w:val="20"/>
              </w:rPr>
              <w:t>2. 24小时内通过远程或现场方式完成处置；</w:t>
            </w:r>
          </w:p>
          <w:p w14:paraId="2974280F">
            <w:pPr>
              <w:snapToGrid w:val="0"/>
              <w:spacing w:line="360" w:lineRule="auto"/>
              <w:rPr>
                <w:rFonts w:ascii="仿宋" w:hAnsi="仿宋" w:eastAsia="仿宋" w:cs="仿宋"/>
                <w:sz w:val="20"/>
                <w:szCs w:val="20"/>
              </w:rPr>
            </w:pPr>
            <w:r>
              <w:rPr>
                <w:rFonts w:hint="eastAsia" w:ascii="仿宋" w:hAnsi="仿宋" w:eastAsia="仿宋" w:cs="仿宋"/>
                <w:sz w:val="20"/>
                <w:szCs w:val="20"/>
              </w:rPr>
              <w:t>3. 48小时内完成问题闭环。</w:t>
            </w:r>
          </w:p>
        </w:tc>
      </w:tr>
    </w:tbl>
    <w:p w14:paraId="038419FF">
      <w:pPr>
        <w:tabs>
          <w:tab w:val="left" w:pos="2970"/>
        </w:tabs>
        <w:rPr>
          <w:rFonts w:ascii="仿宋" w:hAnsi="仿宋" w:eastAsia="仿宋" w:cs="仿宋"/>
          <w:szCs w:val="21"/>
        </w:rPr>
      </w:pPr>
    </w:p>
    <w:p w14:paraId="66CF68C8">
      <w:pPr>
        <w:wordWrap w:val="0"/>
        <w:topLinePunct/>
        <w:spacing w:line="360" w:lineRule="auto"/>
        <w:ind w:firstLine="422" w:firstLineChars="200"/>
        <w:rPr>
          <w:rFonts w:ascii="仿宋" w:hAnsi="仿宋" w:eastAsia="仿宋" w:cs="仿宋"/>
          <w:b/>
          <w:bCs/>
          <w:szCs w:val="21"/>
        </w:rPr>
        <w:sectPr>
          <w:pgSz w:w="11906" w:h="16838"/>
          <w:pgMar w:top="1440" w:right="1800" w:bottom="1440" w:left="1800" w:header="851" w:footer="992" w:gutter="0"/>
          <w:cols w:space="425" w:num="1"/>
          <w:docGrid w:type="lines" w:linePitch="312" w:charSpace="0"/>
        </w:sectPr>
      </w:pPr>
    </w:p>
    <w:p w14:paraId="1C8DF627">
      <w:pPr>
        <w:wordWrap w:val="0"/>
        <w:topLinePunct/>
        <w:spacing w:line="360" w:lineRule="auto"/>
        <w:rPr>
          <w:rFonts w:ascii="仿宋" w:hAnsi="仿宋" w:eastAsia="仿宋" w:cs="仿宋"/>
          <w:b/>
          <w:bCs/>
          <w:szCs w:val="21"/>
        </w:rPr>
      </w:pPr>
      <w:r>
        <w:rPr>
          <w:rFonts w:hint="eastAsia" w:ascii="仿宋" w:hAnsi="仿宋" w:eastAsia="仿宋" w:cs="仿宋"/>
          <w:b/>
          <w:bCs/>
          <w:szCs w:val="21"/>
        </w:rPr>
        <w:t>附件3：信息系统售后运维服务质量评价标准</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509"/>
        <w:gridCol w:w="1147"/>
        <w:gridCol w:w="1019"/>
        <w:gridCol w:w="638"/>
        <w:gridCol w:w="764"/>
        <w:gridCol w:w="4466"/>
      </w:tblGrid>
      <w:tr w14:paraId="4DABE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tcMar>
              <w:top w:w="60" w:type="dxa"/>
              <w:left w:w="120" w:type="dxa"/>
              <w:bottom w:w="30" w:type="dxa"/>
              <w:right w:w="120" w:type="dxa"/>
            </w:tcMar>
            <w:vAlign w:val="center"/>
          </w:tcPr>
          <w:p w14:paraId="231DAC6D">
            <w:pPr>
              <w:jc w:val="center"/>
              <w:rPr>
                <w:rFonts w:ascii="仿宋" w:hAnsi="仿宋" w:eastAsia="仿宋" w:cs="仿宋"/>
                <w:b/>
                <w:sz w:val="20"/>
                <w:szCs w:val="20"/>
              </w:rPr>
            </w:pPr>
            <w:r>
              <w:rPr>
                <w:rFonts w:hint="eastAsia" w:ascii="仿宋" w:hAnsi="仿宋" w:eastAsia="仿宋" w:cs="仿宋"/>
                <w:b/>
                <w:sz w:val="20"/>
                <w:szCs w:val="20"/>
              </w:rPr>
              <w:t>序号</w:t>
            </w:r>
          </w:p>
        </w:tc>
        <w:tc>
          <w:tcPr>
            <w:tcW w:w="671" w:type="pct"/>
            <w:tcMar>
              <w:top w:w="60" w:type="dxa"/>
              <w:left w:w="120" w:type="dxa"/>
              <w:bottom w:w="30" w:type="dxa"/>
              <w:right w:w="120" w:type="dxa"/>
            </w:tcMar>
            <w:vAlign w:val="center"/>
          </w:tcPr>
          <w:p w14:paraId="7CF0FFAE">
            <w:pPr>
              <w:jc w:val="center"/>
              <w:rPr>
                <w:rFonts w:ascii="仿宋" w:hAnsi="仿宋" w:eastAsia="仿宋" w:cs="仿宋"/>
                <w:b/>
                <w:sz w:val="20"/>
                <w:szCs w:val="20"/>
              </w:rPr>
            </w:pPr>
            <w:r>
              <w:rPr>
                <w:rFonts w:hint="eastAsia" w:ascii="仿宋" w:hAnsi="仿宋" w:eastAsia="仿宋" w:cs="仿宋"/>
                <w:b/>
                <w:sz w:val="20"/>
                <w:szCs w:val="20"/>
              </w:rPr>
              <w:t>一级评价项目</w:t>
            </w:r>
          </w:p>
        </w:tc>
        <w:tc>
          <w:tcPr>
            <w:tcW w:w="596" w:type="pct"/>
            <w:tcMar>
              <w:top w:w="60" w:type="dxa"/>
              <w:left w:w="120" w:type="dxa"/>
              <w:bottom w:w="30" w:type="dxa"/>
              <w:right w:w="120" w:type="dxa"/>
            </w:tcMar>
            <w:vAlign w:val="center"/>
          </w:tcPr>
          <w:p w14:paraId="78889B3B">
            <w:pPr>
              <w:jc w:val="center"/>
              <w:rPr>
                <w:rFonts w:ascii="仿宋" w:hAnsi="仿宋" w:eastAsia="仿宋" w:cs="仿宋"/>
                <w:b/>
                <w:sz w:val="20"/>
                <w:szCs w:val="20"/>
              </w:rPr>
            </w:pPr>
            <w:r>
              <w:rPr>
                <w:rFonts w:hint="eastAsia" w:ascii="仿宋" w:hAnsi="仿宋" w:eastAsia="仿宋" w:cs="仿宋"/>
                <w:b/>
                <w:sz w:val="20"/>
                <w:szCs w:val="20"/>
              </w:rPr>
              <w:t>二级评价项目</w:t>
            </w:r>
          </w:p>
        </w:tc>
        <w:tc>
          <w:tcPr>
            <w:tcW w:w="373" w:type="pct"/>
            <w:tcMar>
              <w:top w:w="60" w:type="dxa"/>
              <w:left w:w="120" w:type="dxa"/>
              <w:bottom w:w="30" w:type="dxa"/>
              <w:right w:w="120" w:type="dxa"/>
            </w:tcMar>
            <w:vAlign w:val="center"/>
          </w:tcPr>
          <w:p w14:paraId="600D0686">
            <w:pPr>
              <w:jc w:val="center"/>
              <w:rPr>
                <w:rFonts w:ascii="仿宋" w:hAnsi="仿宋" w:eastAsia="仿宋" w:cs="仿宋"/>
                <w:b/>
                <w:sz w:val="20"/>
                <w:szCs w:val="20"/>
              </w:rPr>
            </w:pPr>
            <w:r>
              <w:rPr>
                <w:rFonts w:hint="eastAsia" w:ascii="仿宋" w:hAnsi="仿宋" w:eastAsia="仿宋" w:cs="仿宋"/>
                <w:b/>
                <w:sz w:val="20"/>
                <w:szCs w:val="20"/>
              </w:rPr>
              <w:t>分项分值</w:t>
            </w:r>
          </w:p>
        </w:tc>
        <w:tc>
          <w:tcPr>
            <w:tcW w:w="447" w:type="pct"/>
            <w:tcMar>
              <w:top w:w="60" w:type="dxa"/>
              <w:left w:w="120" w:type="dxa"/>
              <w:bottom w:w="30" w:type="dxa"/>
              <w:right w:w="120" w:type="dxa"/>
            </w:tcMar>
            <w:vAlign w:val="center"/>
          </w:tcPr>
          <w:p w14:paraId="40A991FF">
            <w:pPr>
              <w:jc w:val="center"/>
              <w:rPr>
                <w:rFonts w:ascii="仿宋" w:hAnsi="仿宋" w:eastAsia="仿宋" w:cs="仿宋"/>
                <w:b/>
                <w:sz w:val="20"/>
                <w:szCs w:val="20"/>
              </w:rPr>
            </w:pPr>
            <w:r>
              <w:rPr>
                <w:rFonts w:hint="eastAsia" w:ascii="仿宋" w:hAnsi="仿宋" w:eastAsia="仿宋" w:cs="仿宋"/>
                <w:b/>
                <w:sz w:val="20"/>
                <w:szCs w:val="20"/>
              </w:rPr>
              <w:t>明细分值</w:t>
            </w:r>
          </w:p>
        </w:tc>
        <w:tc>
          <w:tcPr>
            <w:tcW w:w="2612" w:type="pct"/>
            <w:tcMar>
              <w:top w:w="60" w:type="dxa"/>
              <w:left w:w="120" w:type="dxa"/>
              <w:bottom w:w="30" w:type="dxa"/>
              <w:right w:w="120" w:type="dxa"/>
            </w:tcMar>
            <w:vAlign w:val="center"/>
          </w:tcPr>
          <w:p w14:paraId="3BD19E28">
            <w:pPr>
              <w:jc w:val="center"/>
              <w:rPr>
                <w:rFonts w:ascii="仿宋" w:hAnsi="仿宋" w:eastAsia="仿宋" w:cs="仿宋"/>
                <w:b/>
                <w:sz w:val="20"/>
                <w:szCs w:val="20"/>
              </w:rPr>
            </w:pPr>
            <w:r>
              <w:rPr>
                <w:rFonts w:hint="eastAsia" w:ascii="仿宋" w:hAnsi="仿宋" w:eastAsia="仿宋" w:cs="仿宋"/>
                <w:b/>
                <w:sz w:val="20"/>
                <w:szCs w:val="20"/>
              </w:rPr>
              <w:t>评分标准</w:t>
            </w:r>
          </w:p>
        </w:tc>
      </w:tr>
      <w:tr w14:paraId="5FA92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restart"/>
            <w:tcMar>
              <w:top w:w="60" w:type="dxa"/>
              <w:left w:w="120" w:type="dxa"/>
              <w:bottom w:w="30" w:type="dxa"/>
              <w:right w:w="120" w:type="dxa"/>
            </w:tcMar>
            <w:vAlign w:val="center"/>
          </w:tcPr>
          <w:p w14:paraId="76306BFE">
            <w:pPr>
              <w:jc w:val="center"/>
              <w:rPr>
                <w:rFonts w:ascii="仿宋" w:hAnsi="仿宋" w:eastAsia="仿宋" w:cs="仿宋"/>
                <w:sz w:val="20"/>
                <w:szCs w:val="20"/>
              </w:rPr>
            </w:pPr>
            <w:r>
              <w:rPr>
                <w:rFonts w:hint="eastAsia" w:ascii="仿宋" w:hAnsi="仿宋" w:eastAsia="仿宋" w:cs="仿宋"/>
                <w:sz w:val="20"/>
                <w:szCs w:val="20"/>
              </w:rPr>
              <w:t>1</w:t>
            </w:r>
          </w:p>
        </w:tc>
        <w:tc>
          <w:tcPr>
            <w:tcW w:w="671" w:type="pct"/>
            <w:vMerge w:val="restart"/>
            <w:tcMar>
              <w:top w:w="60" w:type="dxa"/>
              <w:left w:w="120" w:type="dxa"/>
              <w:bottom w:w="30" w:type="dxa"/>
              <w:right w:w="120" w:type="dxa"/>
            </w:tcMar>
            <w:vAlign w:val="center"/>
          </w:tcPr>
          <w:p w14:paraId="5D85A603">
            <w:pPr>
              <w:jc w:val="center"/>
              <w:rPr>
                <w:rFonts w:ascii="仿宋" w:hAnsi="仿宋" w:eastAsia="仿宋" w:cs="仿宋"/>
                <w:sz w:val="20"/>
                <w:szCs w:val="20"/>
              </w:rPr>
            </w:pPr>
            <w:r>
              <w:rPr>
                <w:rFonts w:hint="eastAsia" w:ascii="仿宋" w:hAnsi="仿宋" w:eastAsia="仿宋" w:cs="仿宋"/>
                <w:sz w:val="20"/>
                <w:szCs w:val="20"/>
              </w:rPr>
              <w:t>日常售后运维服务</w:t>
            </w:r>
          </w:p>
          <w:p w14:paraId="23DC9138">
            <w:pPr>
              <w:jc w:val="center"/>
              <w:rPr>
                <w:rFonts w:ascii="仿宋" w:hAnsi="仿宋" w:eastAsia="仿宋" w:cs="仿宋"/>
                <w:sz w:val="20"/>
                <w:szCs w:val="20"/>
              </w:rPr>
            </w:pPr>
            <w:r>
              <w:rPr>
                <w:rFonts w:hint="eastAsia" w:ascii="仿宋" w:hAnsi="仿宋" w:eastAsia="仿宋" w:cs="仿宋"/>
                <w:sz w:val="20"/>
                <w:szCs w:val="20"/>
              </w:rPr>
              <w:t>（25 分）</w:t>
            </w:r>
          </w:p>
        </w:tc>
        <w:tc>
          <w:tcPr>
            <w:tcW w:w="596" w:type="pct"/>
            <w:vMerge w:val="restart"/>
            <w:tcMar>
              <w:top w:w="60" w:type="dxa"/>
              <w:left w:w="120" w:type="dxa"/>
              <w:bottom w:w="30" w:type="dxa"/>
              <w:right w:w="120" w:type="dxa"/>
            </w:tcMar>
            <w:vAlign w:val="center"/>
          </w:tcPr>
          <w:p w14:paraId="25B0C734">
            <w:pPr>
              <w:jc w:val="center"/>
              <w:rPr>
                <w:rFonts w:ascii="仿宋" w:hAnsi="仿宋" w:eastAsia="仿宋" w:cs="仿宋"/>
                <w:sz w:val="20"/>
                <w:szCs w:val="20"/>
              </w:rPr>
            </w:pPr>
            <w:r>
              <w:rPr>
                <w:rFonts w:hint="eastAsia" w:ascii="仿宋" w:hAnsi="仿宋" w:eastAsia="仿宋" w:cs="仿宋"/>
                <w:sz w:val="20"/>
                <w:szCs w:val="20"/>
              </w:rPr>
              <w:t>故障响应及时性</w:t>
            </w:r>
          </w:p>
        </w:tc>
        <w:tc>
          <w:tcPr>
            <w:tcW w:w="373" w:type="pct"/>
            <w:vMerge w:val="restart"/>
            <w:tcMar>
              <w:top w:w="60" w:type="dxa"/>
              <w:left w:w="120" w:type="dxa"/>
              <w:bottom w:w="30" w:type="dxa"/>
              <w:right w:w="120" w:type="dxa"/>
            </w:tcMar>
            <w:vAlign w:val="center"/>
          </w:tcPr>
          <w:p w14:paraId="3A9BB2A6">
            <w:pPr>
              <w:jc w:val="center"/>
              <w:rPr>
                <w:rFonts w:ascii="仿宋" w:hAnsi="仿宋" w:eastAsia="仿宋" w:cs="仿宋"/>
                <w:sz w:val="20"/>
                <w:szCs w:val="20"/>
              </w:rPr>
            </w:pPr>
            <w:r>
              <w:rPr>
                <w:rFonts w:hint="eastAsia" w:ascii="仿宋" w:hAnsi="仿宋" w:eastAsia="仿宋" w:cs="仿宋"/>
                <w:sz w:val="20"/>
                <w:szCs w:val="20"/>
              </w:rPr>
              <w:t>10</w:t>
            </w:r>
          </w:p>
        </w:tc>
        <w:tc>
          <w:tcPr>
            <w:tcW w:w="447" w:type="pct"/>
            <w:tcMar>
              <w:top w:w="60" w:type="dxa"/>
              <w:left w:w="120" w:type="dxa"/>
              <w:bottom w:w="30" w:type="dxa"/>
              <w:right w:w="120" w:type="dxa"/>
            </w:tcMar>
            <w:vAlign w:val="center"/>
          </w:tcPr>
          <w:p w14:paraId="4F425005">
            <w:pPr>
              <w:jc w:val="center"/>
              <w:rPr>
                <w:rFonts w:ascii="仿宋" w:hAnsi="仿宋" w:eastAsia="仿宋" w:cs="仿宋"/>
                <w:sz w:val="20"/>
                <w:szCs w:val="20"/>
              </w:rPr>
            </w:pPr>
            <w:r>
              <w:rPr>
                <w:rFonts w:hint="eastAsia" w:ascii="仿宋" w:hAnsi="仿宋" w:eastAsia="仿宋" w:cs="仿宋"/>
                <w:sz w:val="20"/>
                <w:szCs w:val="20"/>
              </w:rPr>
              <w:t>3</w:t>
            </w:r>
          </w:p>
        </w:tc>
        <w:tc>
          <w:tcPr>
            <w:tcW w:w="2612" w:type="pct"/>
            <w:tcMar>
              <w:top w:w="60" w:type="dxa"/>
              <w:left w:w="120" w:type="dxa"/>
              <w:bottom w:w="30" w:type="dxa"/>
              <w:right w:w="120" w:type="dxa"/>
            </w:tcMar>
            <w:vAlign w:val="center"/>
          </w:tcPr>
          <w:p w14:paraId="31A1E157">
            <w:pPr>
              <w:rPr>
                <w:rFonts w:ascii="仿宋" w:hAnsi="仿宋" w:eastAsia="仿宋" w:cs="仿宋"/>
                <w:sz w:val="20"/>
                <w:szCs w:val="20"/>
              </w:rPr>
            </w:pPr>
            <w:r>
              <w:rPr>
                <w:rFonts w:hint="eastAsia" w:ascii="仿宋" w:hAnsi="仿宋" w:eastAsia="仿宋" w:cs="仿宋"/>
                <w:sz w:val="20"/>
                <w:szCs w:val="20"/>
              </w:rPr>
              <w:t>服务期内一级故障响应时间超时（＞10 分钟），扣 3 分 / 次</w:t>
            </w:r>
          </w:p>
        </w:tc>
      </w:tr>
      <w:tr w14:paraId="0E43A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0DFE7544">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1DFC5DD3">
            <w:pPr>
              <w:jc w:val="center"/>
              <w:rPr>
                <w:rFonts w:ascii="仿宋" w:hAnsi="仿宋" w:eastAsia="仿宋" w:cs="仿宋"/>
                <w:sz w:val="20"/>
                <w:szCs w:val="20"/>
              </w:rPr>
            </w:pPr>
          </w:p>
        </w:tc>
        <w:tc>
          <w:tcPr>
            <w:tcW w:w="596" w:type="pct"/>
            <w:vMerge w:val="continue"/>
            <w:tcMar>
              <w:top w:w="60" w:type="dxa"/>
              <w:left w:w="120" w:type="dxa"/>
              <w:bottom w:w="30" w:type="dxa"/>
              <w:right w:w="120" w:type="dxa"/>
            </w:tcMar>
            <w:vAlign w:val="center"/>
          </w:tcPr>
          <w:p w14:paraId="659CF88B">
            <w:pPr>
              <w:jc w:val="center"/>
              <w:rPr>
                <w:rFonts w:ascii="仿宋" w:hAnsi="仿宋" w:eastAsia="仿宋" w:cs="仿宋"/>
                <w:sz w:val="20"/>
                <w:szCs w:val="20"/>
              </w:rPr>
            </w:pPr>
          </w:p>
        </w:tc>
        <w:tc>
          <w:tcPr>
            <w:tcW w:w="373" w:type="pct"/>
            <w:vMerge w:val="continue"/>
            <w:tcMar>
              <w:top w:w="60" w:type="dxa"/>
              <w:left w:w="120" w:type="dxa"/>
              <w:bottom w:w="30" w:type="dxa"/>
              <w:right w:w="120" w:type="dxa"/>
            </w:tcMar>
            <w:vAlign w:val="center"/>
          </w:tcPr>
          <w:p w14:paraId="7EC19796">
            <w:pPr>
              <w:jc w:val="center"/>
              <w:rPr>
                <w:rFonts w:ascii="仿宋" w:hAnsi="仿宋" w:eastAsia="仿宋" w:cs="仿宋"/>
                <w:sz w:val="20"/>
                <w:szCs w:val="20"/>
              </w:rPr>
            </w:pPr>
          </w:p>
        </w:tc>
        <w:tc>
          <w:tcPr>
            <w:tcW w:w="447" w:type="pct"/>
            <w:tcMar>
              <w:top w:w="60" w:type="dxa"/>
              <w:left w:w="120" w:type="dxa"/>
              <w:bottom w:w="30" w:type="dxa"/>
              <w:right w:w="120" w:type="dxa"/>
            </w:tcMar>
            <w:vAlign w:val="center"/>
          </w:tcPr>
          <w:p w14:paraId="2E414A02">
            <w:pPr>
              <w:jc w:val="center"/>
              <w:rPr>
                <w:rFonts w:ascii="仿宋" w:hAnsi="仿宋" w:eastAsia="仿宋" w:cs="仿宋"/>
                <w:sz w:val="20"/>
                <w:szCs w:val="20"/>
              </w:rPr>
            </w:pPr>
            <w:r>
              <w:rPr>
                <w:rFonts w:hint="eastAsia" w:ascii="仿宋" w:hAnsi="仿宋" w:eastAsia="仿宋" w:cs="仿宋"/>
                <w:sz w:val="20"/>
                <w:szCs w:val="20"/>
              </w:rPr>
              <w:t>2</w:t>
            </w:r>
          </w:p>
        </w:tc>
        <w:tc>
          <w:tcPr>
            <w:tcW w:w="2612" w:type="pct"/>
            <w:tcMar>
              <w:top w:w="60" w:type="dxa"/>
              <w:left w:w="120" w:type="dxa"/>
              <w:bottom w:w="30" w:type="dxa"/>
              <w:right w:w="120" w:type="dxa"/>
            </w:tcMar>
            <w:vAlign w:val="center"/>
          </w:tcPr>
          <w:p w14:paraId="10291E95">
            <w:pPr>
              <w:rPr>
                <w:rFonts w:ascii="仿宋" w:hAnsi="仿宋" w:eastAsia="仿宋" w:cs="仿宋"/>
                <w:sz w:val="20"/>
                <w:szCs w:val="20"/>
              </w:rPr>
            </w:pPr>
            <w:r>
              <w:rPr>
                <w:rFonts w:hint="eastAsia" w:ascii="仿宋" w:hAnsi="仿宋" w:eastAsia="仿宋" w:cs="仿宋"/>
                <w:sz w:val="20"/>
                <w:szCs w:val="20"/>
              </w:rPr>
              <w:t>服务期内二级故障响应时间超时（＞30 分钟），扣 1 分 / 次</w:t>
            </w:r>
          </w:p>
        </w:tc>
      </w:tr>
      <w:tr w14:paraId="48BB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451ADDE1">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6D1DBC89">
            <w:pPr>
              <w:jc w:val="center"/>
              <w:rPr>
                <w:rFonts w:ascii="仿宋" w:hAnsi="仿宋" w:eastAsia="仿宋" w:cs="仿宋"/>
                <w:sz w:val="20"/>
                <w:szCs w:val="20"/>
              </w:rPr>
            </w:pPr>
          </w:p>
        </w:tc>
        <w:tc>
          <w:tcPr>
            <w:tcW w:w="596" w:type="pct"/>
            <w:vMerge w:val="continue"/>
            <w:tcMar>
              <w:top w:w="60" w:type="dxa"/>
              <w:left w:w="120" w:type="dxa"/>
              <w:bottom w:w="30" w:type="dxa"/>
              <w:right w:w="120" w:type="dxa"/>
            </w:tcMar>
            <w:vAlign w:val="center"/>
          </w:tcPr>
          <w:p w14:paraId="6B8647F7">
            <w:pPr>
              <w:jc w:val="center"/>
              <w:rPr>
                <w:rFonts w:ascii="仿宋" w:hAnsi="仿宋" w:eastAsia="仿宋" w:cs="仿宋"/>
                <w:sz w:val="20"/>
                <w:szCs w:val="20"/>
              </w:rPr>
            </w:pPr>
          </w:p>
        </w:tc>
        <w:tc>
          <w:tcPr>
            <w:tcW w:w="373" w:type="pct"/>
            <w:vMerge w:val="continue"/>
            <w:tcMar>
              <w:top w:w="60" w:type="dxa"/>
              <w:left w:w="120" w:type="dxa"/>
              <w:bottom w:w="30" w:type="dxa"/>
              <w:right w:w="120" w:type="dxa"/>
            </w:tcMar>
            <w:vAlign w:val="center"/>
          </w:tcPr>
          <w:p w14:paraId="23C0E5F9">
            <w:pPr>
              <w:jc w:val="center"/>
              <w:rPr>
                <w:rFonts w:ascii="仿宋" w:hAnsi="仿宋" w:eastAsia="仿宋" w:cs="仿宋"/>
                <w:sz w:val="20"/>
                <w:szCs w:val="20"/>
              </w:rPr>
            </w:pPr>
          </w:p>
        </w:tc>
        <w:tc>
          <w:tcPr>
            <w:tcW w:w="447" w:type="pct"/>
            <w:tcMar>
              <w:top w:w="60" w:type="dxa"/>
              <w:left w:w="120" w:type="dxa"/>
              <w:bottom w:w="30" w:type="dxa"/>
              <w:right w:w="120" w:type="dxa"/>
            </w:tcMar>
            <w:vAlign w:val="center"/>
          </w:tcPr>
          <w:p w14:paraId="3E537BC3">
            <w:pPr>
              <w:jc w:val="center"/>
              <w:rPr>
                <w:rFonts w:ascii="仿宋" w:hAnsi="仿宋" w:eastAsia="仿宋" w:cs="仿宋"/>
                <w:sz w:val="20"/>
                <w:szCs w:val="20"/>
              </w:rPr>
            </w:pPr>
            <w:r>
              <w:rPr>
                <w:rFonts w:hint="eastAsia" w:ascii="仿宋" w:hAnsi="仿宋" w:eastAsia="仿宋" w:cs="仿宋"/>
                <w:sz w:val="20"/>
                <w:szCs w:val="20"/>
              </w:rPr>
              <w:t>2</w:t>
            </w:r>
          </w:p>
        </w:tc>
        <w:tc>
          <w:tcPr>
            <w:tcW w:w="2612" w:type="pct"/>
            <w:tcMar>
              <w:top w:w="60" w:type="dxa"/>
              <w:left w:w="120" w:type="dxa"/>
              <w:bottom w:w="30" w:type="dxa"/>
              <w:right w:w="120" w:type="dxa"/>
            </w:tcMar>
            <w:vAlign w:val="center"/>
          </w:tcPr>
          <w:p w14:paraId="0457C514">
            <w:pPr>
              <w:rPr>
                <w:rFonts w:ascii="仿宋" w:hAnsi="仿宋" w:eastAsia="仿宋" w:cs="仿宋"/>
                <w:sz w:val="20"/>
                <w:szCs w:val="20"/>
              </w:rPr>
            </w:pPr>
            <w:r>
              <w:rPr>
                <w:rFonts w:hint="eastAsia" w:ascii="仿宋" w:hAnsi="仿宋" w:eastAsia="仿宋" w:cs="仿宋"/>
                <w:sz w:val="20"/>
                <w:szCs w:val="20"/>
              </w:rPr>
              <w:t>服务期内三级故障响应时间超时（＞30 分钟），扣 0.5 分 / 次</w:t>
            </w:r>
          </w:p>
        </w:tc>
      </w:tr>
      <w:tr w14:paraId="73DAE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133DF5AE">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36516B1F">
            <w:pPr>
              <w:jc w:val="center"/>
              <w:rPr>
                <w:rFonts w:ascii="仿宋" w:hAnsi="仿宋" w:eastAsia="仿宋" w:cs="仿宋"/>
                <w:sz w:val="20"/>
                <w:szCs w:val="20"/>
              </w:rPr>
            </w:pPr>
          </w:p>
        </w:tc>
        <w:tc>
          <w:tcPr>
            <w:tcW w:w="596" w:type="pct"/>
            <w:vMerge w:val="continue"/>
            <w:tcMar>
              <w:top w:w="60" w:type="dxa"/>
              <w:left w:w="120" w:type="dxa"/>
              <w:bottom w:w="30" w:type="dxa"/>
              <w:right w:w="120" w:type="dxa"/>
            </w:tcMar>
            <w:vAlign w:val="center"/>
          </w:tcPr>
          <w:p w14:paraId="190ADE19">
            <w:pPr>
              <w:jc w:val="center"/>
              <w:rPr>
                <w:rFonts w:ascii="仿宋" w:hAnsi="仿宋" w:eastAsia="仿宋" w:cs="仿宋"/>
                <w:sz w:val="20"/>
                <w:szCs w:val="20"/>
              </w:rPr>
            </w:pPr>
          </w:p>
        </w:tc>
        <w:tc>
          <w:tcPr>
            <w:tcW w:w="373" w:type="pct"/>
            <w:vMerge w:val="continue"/>
            <w:tcMar>
              <w:top w:w="60" w:type="dxa"/>
              <w:left w:w="120" w:type="dxa"/>
              <w:bottom w:w="30" w:type="dxa"/>
              <w:right w:w="120" w:type="dxa"/>
            </w:tcMar>
            <w:vAlign w:val="center"/>
          </w:tcPr>
          <w:p w14:paraId="7A8DE104">
            <w:pPr>
              <w:jc w:val="center"/>
              <w:rPr>
                <w:rFonts w:ascii="仿宋" w:hAnsi="仿宋" w:eastAsia="仿宋" w:cs="仿宋"/>
                <w:sz w:val="20"/>
                <w:szCs w:val="20"/>
              </w:rPr>
            </w:pPr>
          </w:p>
        </w:tc>
        <w:tc>
          <w:tcPr>
            <w:tcW w:w="447" w:type="pct"/>
            <w:tcMar>
              <w:top w:w="60" w:type="dxa"/>
              <w:left w:w="120" w:type="dxa"/>
              <w:bottom w:w="30" w:type="dxa"/>
              <w:right w:w="120" w:type="dxa"/>
            </w:tcMar>
            <w:vAlign w:val="center"/>
          </w:tcPr>
          <w:p w14:paraId="02E845C2">
            <w:pPr>
              <w:jc w:val="center"/>
              <w:rPr>
                <w:rFonts w:ascii="仿宋" w:hAnsi="仿宋" w:eastAsia="仿宋" w:cs="仿宋"/>
                <w:sz w:val="20"/>
                <w:szCs w:val="20"/>
              </w:rPr>
            </w:pPr>
            <w:r>
              <w:rPr>
                <w:rFonts w:hint="eastAsia" w:ascii="仿宋" w:hAnsi="仿宋" w:eastAsia="仿宋" w:cs="仿宋"/>
                <w:sz w:val="20"/>
                <w:szCs w:val="20"/>
              </w:rPr>
              <w:t>3</w:t>
            </w:r>
          </w:p>
        </w:tc>
        <w:tc>
          <w:tcPr>
            <w:tcW w:w="2612" w:type="pct"/>
            <w:tcMar>
              <w:top w:w="60" w:type="dxa"/>
              <w:left w:w="120" w:type="dxa"/>
              <w:bottom w:w="30" w:type="dxa"/>
              <w:right w:w="120" w:type="dxa"/>
            </w:tcMar>
            <w:vAlign w:val="center"/>
          </w:tcPr>
          <w:p w14:paraId="4BB3F9D4">
            <w:pPr>
              <w:rPr>
                <w:rFonts w:ascii="仿宋" w:hAnsi="仿宋" w:eastAsia="仿宋" w:cs="仿宋"/>
                <w:sz w:val="20"/>
                <w:szCs w:val="20"/>
              </w:rPr>
            </w:pPr>
            <w:r>
              <w:rPr>
                <w:rFonts w:hint="eastAsia" w:ascii="仿宋" w:hAnsi="仿宋" w:eastAsia="仿宋" w:cs="仿宋"/>
                <w:sz w:val="20"/>
                <w:szCs w:val="20"/>
              </w:rPr>
              <w:t>服务期内四级故障响应时间超时（＞30 分钟），扣 0.3 分 / 次</w:t>
            </w:r>
          </w:p>
        </w:tc>
      </w:tr>
      <w:tr w14:paraId="0C70F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1E60902C">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6F93B68B">
            <w:pPr>
              <w:jc w:val="center"/>
              <w:rPr>
                <w:rFonts w:ascii="仿宋" w:hAnsi="仿宋" w:eastAsia="仿宋" w:cs="仿宋"/>
                <w:sz w:val="20"/>
                <w:szCs w:val="20"/>
              </w:rPr>
            </w:pPr>
          </w:p>
        </w:tc>
        <w:tc>
          <w:tcPr>
            <w:tcW w:w="596" w:type="pct"/>
            <w:vMerge w:val="restart"/>
            <w:tcMar>
              <w:top w:w="60" w:type="dxa"/>
              <w:left w:w="120" w:type="dxa"/>
              <w:bottom w:w="30" w:type="dxa"/>
              <w:right w:w="120" w:type="dxa"/>
            </w:tcMar>
            <w:vAlign w:val="center"/>
          </w:tcPr>
          <w:p w14:paraId="5EEC01F9">
            <w:pPr>
              <w:jc w:val="center"/>
              <w:rPr>
                <w:rFonts w:ascii="仿宋" w:hAnsi="仿宋" w:eastAsia="仿宋" w:cs="仿宋"/>
                <w:sz w:val="20"/>
                <w:szCs w:val="20"/>
              </w:rPr>
            </w:pPr>
            <w:r>
              <w:rPr>
                <w:rFonts w:hint="eastAsia" w:ascii="仿宋" w:hAnsi="仿宋" w:eastAsia="仿宋" w:cs="仿宋"/>
                <w:sz w:val="20"/>
                <w:szCs w:val="20"/>
              </w:rPr>
              <w:t>故障处置与解决时效性</w:t>
            </w:r>
          </w:p>
        </w:tc>
        <w:tc>
          <w:tcPr>
            <w:tcW w:w="373" w:type="pct"/>
            <w:vMerge w:val="restart"/>
            <w:tcMar>
              <w:top w:w="60" w:type="dxa"/>
              <w:left w:w="120" w:type="dxa"/>
              <w:bottom w:w="30" w:type="dxa"/>
              <w:right w:w="120" w:type="dxa"/>
            </w:tcMar>
            <w:vAlign w:val="center"/>
          </w:tcPr>
          <w:p w14:paraId="16B75CEE">
            <w:pPr>
              <w:jc w:val="center"/>
              <w:rPr>
                <w:rFonts w:ascii="仿宋" w:hAnsi="仿宋" w:eastAsia="仿宋" w:cs="仿宋"/>
                <w:sz w:val="20"/>
                <w:szCs w:val="20"/>
              </w:rPr>
            </w:pPr>
            <w:r>
              <w:rPr>
                <w:rFonts w:hint="eastAsia" w:ascii="仿宋" w:hAnsi="仿宋" w:eastAsia="仿宋" w:cs="仿宋"/>
                <w:sz w:val="20"/>
                <w:szCs w:val="20"/>
              </w:rPr>
              <w:t>15</w:t>
            </w:r>
          </w:p>
        </w:tc>
        <w:tc>
          <w:tcPr>
            <w:tcW w:w="447" w:type="pct"/>
            <w:tcMar>
              <w:top w:w="60" w:type="dxa"/>
              <w:left w:w="120" w:type="dxa"/>
              <w:bottom w:w="30" w:type="dxa"/>
              <w:right w:w="120" w:type="dxa"/>
            </w:tcMar>
            <w:vAlign w:val="center"/>
          </w:tcPr>
          <w:p w14:paraId="304F718A">
            <w:pPr>
              <w:jc w:val="center"/>
              <w:rPr>
                <w:rFonts w:ascii="仿宋" w:hAnsi="仿宋" w:eastAsia="仿宋" w:cs="仿宋"/>
                <w:sz w:val="20"/>
                <w:szCs w:val="20"/>
              </w:rPr>
            </w:pPr>
            <w:r>
              <w:rPr>
                <w:rFonts w:hint="eastAsia" w:ascii="仿宋" w:hAnsi="仿宋" w:eastAsia="仿宋" w:cs="仿宋"/>
                <w:sz w:val="20"/>
                <w:szCs w:val="20"/>
              </w:rPr>
              <w:t>5</w:t>
            </w:r>
          </w:p>
        </w:tc>
        <w:tc>
          <w:tcPr>
            <w:tcW w:w="2612" w:type="pct"/>
            <w:tcMar>
              <w:top w:w="60" w:type="dxa"/>
              <w:left w:w="120" w:type="dxa"/>
              <w:bottom w:w="30" w:type="dxa"/>
              <w:right w:w="120" w:type="dxa"/>
            </w:tcMar>
            <w:vAlign w:val="center"/>
          </w:tcPr>
          <w:p w14:paraId="3DCF65C6">
            <w:pPr>
              <w:rPr>
                <w:rFonts w:ascii="仿宋" w:hAnsi="仿宋" w:eastAsia="仿宋" w:cs="仿宋"/>
                <w:sz w:val="20"/>
                <w:szCs w:val="20"/>
              </w:rPr>
            </w:pPr>
            <w:r>
              <w:rPr>
                <w:rFonts w:hint="eastAsia" w:ascii="仿宋" w:hAnsi="仿宋" w:eastAsia="仿宋" w:cs="仿宋"/>
                <w:sz w:val="20"/>
                <w:szCs w:val="20"/>
              </w:rPr>
              <w:t>服务期内一级故障解决时间超时（＞6 小时），扣 5 分 / 次</w:t>
            </w:r>
          </w:p>
        </w:tc>
      </w:tr>
      <w:tr w14:paraId="30B77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6B0BD232">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34400AFA">
            <w:pPr>
              <w:jc w:val="center"/>
              <w:rPr>
                <w:rFonts w:ascii="仿宋" w:hAnsi="仿宋" w:eastAsia="仿宋" w:cs="仿宋"/>
                <w:sz w:val="20"/>
                <w:szCs w:val="20"/>
              </w:rPr>
            </w:pPr>
          </w:p>
        </w:tc>
        <w:tc>
          <w:tcPr>
            <w:tcW w:w="596" w:type="pct"/>
            <w:vMerge w:val="continue"/>
            <w:tcMar>
              <w:top w:w="60" w:type="dxa"/>
              <w:left w:w="120" w:type="dxa"/>
              <w:bottom w:w="30" w:type="dxa"/>
              <w:right w:w="120" w:type="dxa"/>
            </w:tcMar>
            <w:vAlign w:val="center"/>
          </w:tcPr>
          <w:p w14:paraId="2DA973D0">
            <w:pPr>
              <w:jc w:val="center"/>
              <w:rPr>
                <w:rFonts w:ascii="仿宋" w:hAnsi="仿宋" w:eastAsia="仿宋" w:cs="仿宋"/>
                <w:sz w:val="20"/>
                <w:szCs w:val="20"/>
              </w:rPr>
            </w:pPr>
          </w:p>
        </w:tc>
        <w:tc>
          <w:tcPr>
            <w:tcW w:w="373" w:type="pct"/>
            <w:vMerge w:val="continue"/>
            <w:tcMar>
              <w:top w:w="60" w:type="dxa"/>
              <w:left w:w="120" w:type="dxa"/>
              <w:bottom w:w="30" w:type="dxa"/>
              <w:right w:w="120" w:type="dxa"/>
            </w:tcMar>
            <w:vAlign w:val="center"/>
          </w:tcPr>
          <w:p w14:paraId="4D8C42E8">
            <w:pPr>
              <w:jc w:val="center"/>
              <w:rPr>
                <w:rFonts w:ascii="仿宋" w:hAnsi="仿宋" w:eastAsia="仿宋" w:cs="仿宋"/>
                <w:sz w:val="20"/>
                <w:szCs w:val="20"/>
              </w:rPr>
            </w:pPr>
          </w:p>
        </w:tc>
        <w:tc>
          <w:tcPr>
            <w:tcW w:w="447" w:type="pct"/>
            <w:tcMar>
              <w:top w:w="60" w:type="dxa"/>
              <w:left w:w="120" w:type="dxa"/>
              <w:bottom w:w="30" w:type="dxa"/>
              <w:right w:w="120" w:type="dxa"/>
            </w:tcMar>
            <w:vAlign w:val="center"/>
          </w:tcPr>
          <w:p w14:paraId="0080DBFD">
            <w:pPr>
              <w:jc w:val="center"/>
              <w:rPr>
                <w:rFonts w:ascii="仿宋" w:hAnsi="仿宋" w:eastAsia="仿宋" w:cs="仿宋"/>
                <w:sz w:val="20"/>
                <w:szCs w:val="20"/>
              </w:rPr>
            </w:pPr>
            <w:r>
              <w:rPr>
                <w:rFonts w:hint="eastAsia" w:ascii="仿宋" w:hAnsi="仿宋" w:eastAsia="仿宋" w:cs="仿宋"/>
                <w:sz w:val="20"/>
                <w:szCs w:val="20"/>
              </w:rPr>
              <w:t>4</w:t>
            </w:r>
          </w:p>
        </w:tc>
        <w:tc>
          <w:tcPr>
            <w:tcW w:w="2612" w:type="pct"/>
            <w:tcMar>
              <w:top w:w="60" w:type="dxa"/>
              <w:left w:w="120" w:type="dxa"/>
              <w:bottom w:w="30" w:type="dxa"/>
              <w:right w:w="120" w:type="dxa"/>
            </w:tcMar>
            <w:vAlign w:val="center"/>
          </w:tcPr>
          <w:p w14:paraId="52B748FF">
            <w:pPr>
              <w:rPr>
                <w:rFonts w:ascii="仿宋" w:hAnsi="仿宋" w:eastAsia="仿宋" w:cs="仿宋"/>
                <w:sz w:val="20"/>
                <w:szCs w:val="20"/>
              </w:rPr>
            </w:pPr>
            <w:r>
              <w:rPr>
                <w:rFonts w:hint="eastAsia" w:ascii="仿宋" w:hAnsi="仿宋" w:eastAsia="仿宋" w:cs="仿宋"/>
                <w:sz w:val="20"/>
                <w:szCs w:val="20"/>
              </w:rPr>
              <w:t>服务期内二级故障解决时间超时（＞12 小时），扣 2 分 / 次</w:t>
            </w:r>
          </w:p>
        </w:tc>
      </w:tr>
      <w:tr w14:paraId="4683D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77D940AE">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1F094F8F">
            <w:pPr>
              <w:jc w:val="center"/>
              <w:rPr>
                <w:rFonts w:ascii="仿宋" w:hAnsi="仿宋" w:eastAsia="仿宋" w:cs="仿宋"/>
                <w:sz w:val="20"/>
                <w:szCs w:val="20"/>
              </w:rPr>
            </w:pPr>
          </w:p>
        </w:tc>
        <w:tc>
          <w:tcPr>
            <w:tcW w:w="596" w:type="pct"/>
            <w:vMerge w:val="continue"/>
            <w:tcMar>
              <w:top w:w="60" w:type="dxa"/>
              <w:left w:w="120" w:type="dxa"/>
              <w:bottom w:w="30" w:type="dxa"/>
              <w:right w:w="120" w:type="dxa"/>
            </w:tcMar>
            <w:vAlign w:val="center"/>
          </w:tcPr>
          <w:p w14:paraId="29851353">
            <w:pPr>
              <w:jc w:val="center"/>
              <w:rPr>
                <w:rFonts w:ascii="仿宋" w:hAnsi="仿宋" w:eastAsia="仿宋" w:cs="仿宋"/>
                <w:sz w:val="20"/>
                <w:szCs w:val="20"/>
              </w:rPr>
            </w:pPr>
          </w:p>
        </w:tc>
        <w:tc>
          <w:tcPr>
            <w:tcW w:w="373" w:type="pct"/>
            <w:vMerge w:val="continue"/>
            <w:tcMar>
              <w:top w:w="60" w:type="dxa"/>
              <w:left w:w="120" w:type="dxa"/>
              <w:bottom w:w="30" w:type="dxa"/>
              <w:right w:w="120" w:type="dxa"/>
            </w:tcMar>
            <w:vAlign w:val="center"/>
          </w:tcPr>
          <w:p w14:paraId="256522CB">
            <w:pPr>
              <w:jc w:val="center"/>
              <w:rPr>
                <w:rFonts w:ascii="仿宋" w:hAnsi="仿宋" w:eastAsia="仿宋" w:cs="仿宋"/>
                <w:sz w:val="20"/>
                <w:szCs w:val="20"/>
              </w:rPr>
            </w:pPr>
          </w:p>
        </w:tc>
        <w:tc>
          <w:tcPr>
            <w:tcW w:w="447" w:type="pct"/>
            <w:tcMar>
              <w:top w:w="60" w:type="dxa"/>
              <w:left w:w="120" w:type="dxa"/>
              <w:bottom w:w="30" w:type="dxa"/>
              <w:right w:w="120" w:type="dxa"/>
            </w:tcMar>
            <w:vAlign w:val="center"/>
          </w:tcPr>
          <w:p w14:paraId="5D5593F5">
            <w:pPr>
              <w:jc w:val="center"/>
              <w:rPr>
                <w:rFonts w:ascii="仿宋" w:hAnsi="仿宋" w:eastAsia="仿宋" w:cs="仿宋"/>
                <w:sz w:val="20"/>
                <w:szCs w:val="20"/>
              </w:rPr>
            </w:pPr>
            <w:r>
              <w:rPr>
                <w:rFonts w:hint="eastAsia" w:ascii="仿宋" w:hAnsi="仿宋" w:eastAsia="仿宋" w:cs="仿宋"/>
                <w:sz w:val="20"/>
                <w:szCs w:val="20"/>
              </w:rPr>
              <w:t>3</w:t>
            </w:r>
          </w:p>
        </w:tc>
        <w:tc>
          <w:tcPr>
            <w:tcW w:w="2612" w:type="pct"/>
            <w:tcMar>
              <w:top w:w="60" w:type="dxa"/>
              <w:left w:w="120" w:type="dxa"/>
              <w:bottom w:w="30" w:type="dxa"/>
              <w:right w:w="120" w:type="dxa"/>
            </w:tcMar>
            <w:vAlign w:val="center"/>
          </w:tcPr>
          <w:p w14:paraId="368D9909">
            <w:pPr>
              <w:rPr>
                <w:rFonts w:ascii="仿宋" w:hAnsi="仿宋" w:eastAsia="仿宋" w:cs="仿宋"/>
                <w:sz w:val="20"/>
                <w:szCs w:val="20"/>
              </w:rPr>
            </w:pPr>
            <w:r>
              <w:rPr>
                <w:rFonts w:hint="eastAsia" w:ascii="仿宋" w:hAnsi="仿宋" w:eastAsia="仿宋" w:cs="仿宋"/>
                <w:sz w:val="20"/>
                <w:szCs w:val="20"/>
              </w:rPr>
              <w:t>服务期内三级故障解决时间超时（＞24 小时），扣 0.5 分 / 次</w:t>
            </w:r>
          </w:p>
        </w:tc>
      </w:tr>
      <w:tr w14:paraId="33561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36737E9A">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1BF03638">
            <w:pPr>
              <w:jc w:val="center"/>
              <w:rPr>
                <w:rFonts w:ascii="仿宋" w:hAnsi="仿宋" w:eastAsia="仿宋" w:cs="仿宋"/>
                <w:sz w:val="20"/>
                <w:szCs w:val="20"/>
              </w:rPr>
            </w:pPr>
          </w:p>
        </w:tc>
        <w:tc>
          <w:tcPr>
            <w:tcW w:w="596" w:type="pct"/>
            <w:vMerge w:val="continue"/>
            <w:tcMar>
              <w:top w:w="60" w:type="dxa"/>
              <w:left w:w="120" w:type="dxa"/>
              <w:bottom w:w="30" w:type="dxa"/>
              <w:right w:w="120" w:type="dxa"/>
            </w:tcMar>
            <w:vAlign w:val="center"/>
          </w:tcPr>
          <w:p w14:paraId="21449416">
            <w:pPr>
              <w:jc w:val="center"/>
              <w:rPr>
                <w:rFonts w:ascii="仿宋" w:hAnsi="仿宋" w:eastAsia="仿宋" w:cs="仿宋"/>
                <w:sz w:val="20"/>
                <w:szCs w:val="20"/>
              </w:rPr>
            </w:pPr>
          </w:p>
        </w:tc>
        <w:tc>
          <w:tcPr>
            <w:tcW w:w="373" w:type="pct"/>
            <w:vMerge w:val="continue"/>
            <w:tcMar>
              <w:top w:w="60" w:type="dxa"/>
              <w:left w:w="120" w:type="dxa"/>
              <w:bottom w:w="30" w:type="dxa"/>
              <w:right w:w="120" w:type="dxa"/>
            </w:tcMar>
            <w:vAlign w:val="center"/>
          </w:tcPr>
          <w:p w14:paraId="2999570B">
            <w:pPr>
              <w:jc w:val="center"/>
              <w:rPr>
                <w:rFonts w:ascii="仿宋" w:hAnsi="仿宋" w:eastAsia="仿宋" w:cs="仿宋"/>
                <w:sz w:val="20"/>
                <w:szCs w:val="20"/>
              </w:rPr>
            </w:pPr>
          </w:p>
        </w:tc>
        <w:tc>
          <w:tcPr>
            <w:tcW w:w="447" w:type="pct"/>
            <w:tcMar>
              <w:top w:w="60" w:type="dxa"/>
              <w:left w:w="120" w:type="dxa"/>
              <w:bottom w:w="30" w:type="dxa"/>
              <w:right w:w="120" w:type="dxa"/>
            </w:tcMar>
            <w:vAlign w:val="center"/>
          </w:tcPr>
          <w:p w14:paraId="2CE1294D">
            <w:pPr>
              <w:jc w:val="center"/>
              <w:rPr>
                <w:rFonts w:ascii="仿宋" w:hAnsi="仿宋" w:eastAsia="仿宋" w:cs="仿宋"/>
                <w:sz w:val="20"/>
                <w:szCs w:val="20"/>
              </w:rPr>
            </w:pPr>
            <w:r>
              <w:rPr>
                <w:rFonts w:hint="eastAsia" w:ascii="仿宋" w:hAnsi="仿宋" w:eastAsia="仿宋" w:cs="仿宋"/>
                <w:sz w:val="20"/>
                <w:szCs w:val="20"/>
              </w:rPr>
              <w:t>3</w:t>
            </w:r>
          </w:p>
        </w:tc>
        <w:tc>
          <w:tcPr>
            <w:tcW w:w="2612" w:type="pct"/>
            <w:tcMar>
              <w:top w:w="60" w:type="dxa"/>
              <w:left w:w="120" w:type="dxa"/>
              <w:bottom w:w="30" w:type="dxa"/>
              <w:right w:w="120" w:type="dxa"/>
            </w:tcMar>
            <w:vAlign w:val="center"/>
          </w:tcPr>
          <w:p w14:paraId="7EF5EA78">
            <w:pPr>
              <w:rPr>
                <w:rFonts w:ascii="仿宋" w:hAnsi="仿宋" w:eastAsia="仿宋" w:cs="仿宋"/>
                <w:sz w:val="20"/>
                <w:szCs w:val="20"/>
              </w:rPr>
            </w:pPr>
            <w:r>
              <w:rPr>
                <w:rFonts w:hint="eastAsia" w:ascii="仿宋" w:hAnsi="仿宋" w:eastAsia="仿宋" w:cs="仿宋"/>
                <w:sz w:val="20"/>
                <w:szCs w:val="20"/>
              </w:rPr>
              <w:t>服务期内四级故障解决时间超时（＞48 小时），扣 0.3 分 / 次</w:t>
            </w:r>
          </w:p>
        </w:tc>
      </w:tr>
      <w:tr w14:paraId="1B354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restart"/>
            <w:tcMar>
              <w:top w:w="60" w:type="dxa"/>
              <w:left w:w="120" w:type="dxa"/>
              <w:bottom w:w="30" w:type="dxa"/>
              <w:right w:w="120" w:type="dxa"/>
            </w:tcMar>
            <w:vAlign w:val="center"/>
          </w:tcPr>
          <w:p w14:paraId="5D791CD2">
            <w:pPr>
              <w:jc w:val="center"/>
              <w:rPr>
                <w:rFonts w:ascii="仿宋" w:hAnsi="仿宋" w:eastAsia="仿宋" w:cs="仿宋"/>
                <w:sz w:val="20"/>
                <w:szCs w:val="20"/>
              </w:rPr>
            </w:pPr>
            <w:r>
              <w:rPr>
                <w:rFonts w:hint="eastAsia" w:ascii="仿宋" w:hAnsi="仿宋" w:eastAsia="仿宋" w:cs="仿宋"/>
                <w:sz w:val="20"/>
                <w:szCs w:val="20"/>
              </w:rPr>
              <w:t>2</w:t>
            </w:r>
          </w:p>
        </w:tc>
        <w:tc>
          <w:tcPr>
            <w:tcW w:w="671" w:type="pct"/>
            <w:vMerge w:val="restart"/>
            <w:tcMar>
              <w:top w:w="60" w:type="dxa"/>
              <w:left w:w="120" w:type="dxa"/>
              <w:bottom w:w="30" w:type="dxa"/>
              <w:right w:w="120" w:type="dxa"/>
            </w:tcMar>
            <w:vAlign w:val="center"/>
          </w:tcPr>
          <w:p w14:paraId="26C7C32A">
            <w:pPr>
              <w:jc w:val="center"/>
              <w:rPr>
                <w:rFonts w:ascii="仿宋" w:hAnsi="仿宋" w:eastAsia="仿宋" w:cs="仿宋"/>
                <w:sz w:val="20"/>
                <w:szCs w:val="20"/>
              </w:rPr>
            </w:pPr>
            <w:r>
              <w:rPr>
                <w:rFonts w:hint="eastAsia" w:ascii="仿宋" w:hAnsi="仿宋" w:eastAsia="仿宋" w:cs="仿宋"/>
                <w:sz w:val="20"/>
                <w:szCs w:val="20"/>
              </w:rPr>
              <w:t>运维服务质量与履约情况</w:t>
            </w:r>
          </w:p>
          <w:p w14:paraId="1E6205E8">
            <w:pPr>
              <w:jc w:val="center"/>
              <w:rPr>
                <w:rFonts w:ascii="仿宋" w:hAnsi="仿宋" w:eastAsia="仿宋" w:cs="仿宋"/>
                <w:sz w:val="20"/>
                <w:szCs w:val="20"/>
              </w:rPr>
            </w:pPr>
            <w:r>
              <w:rPr>
                <w:rFonts w:hint="eastAsia" w:ascii="仿宋" w:hAnsi="仿宋" w:eastAsia="仿宋" w:cs="仿宋"/>
                <w:sz w:val="20"/>
                <w:szCs w:val="20"/>
              </w:rPr>
              <w:t>（30 分）</w:t>
            </w:r>
          </w:p>
        </w:tc>
        <w:tc>
          <w:tcPr>
            <w:tcW w:w="596" w:type="pct"/>
            <w:vMerge w:val="restart"/>
            <w:tcMar>
              <w:top w:w="60" w:type="dxa"/>
              <w:left w:w="120" w:type="dxa"/>
              <w:bottom w:w="30" w:type="dxa"/>
              <w:right w:w="120" w:type="dxa"/>
            </w:tcMar>
            <w:vAlign w:val="center"/>
          </w:tcPr>
          <w:p w14:paraId="1CCABADA">
            <w:pPr>
              <w:jc w:val="center"/>
              <w:rPr>
                <w:rFonts w:ascii="仿宋" w:hAnsi="仿宋" w:eastAsia="仿宋" w:cs="仿宋"/>
                <w:sz w:val="20"/>
                <w:szCs w:val="20"/>
              </w:rPr>
            </w:pPr>
            <w:r>
              <w:rPr>
                <w:rFonts w:hint="eastAsia" w:ascii="仿宋" w:hAnsi="仿宋" w:eastAsia="仿宋" w:cs="仿宋"/>
                <w:sz w:val="20"/>
                <w:szCs w:val="20"/>
              </w:rPr>
              <w:t>基础运维服务履约情况</w:t>
            </w:r>
          </w:p>
        </w:tc>
        <w:tc>
          <w:tcPr>
            <w:tcW w:w="373" w:type="pct"/>
            <w:vMerge w:val="restart"/>
            <w:tcMar>
              <w:top w:w="60" w:type="dxa"/>
              <w:left w:w="120" w:type="dxa"/>
              <w:bottom w:w="30" w:type="dxa"/>
              <w:right w:w="120" w:type="dxa"/>
            </w:tcMar>
            <w:vAlign w:val="center"/>
          </w:tcPr>
          <w:p w14:paraId="1856F28C">
            <w:pPr>
              <w:jc w:val="center"/>
              <w:rPr>
                <w:rFonts w:ascii="仿宋" w:hAnsi="仿宋" w:eastAsia="仿宋" w:cs="仿宋"/>
                <w:sz w:val="20"/>
                <w:szCs w:val="20"/>
              </w:rPr>
            </w:pPr>
            <w:r>
              <w:rPr>
                <w:rFonts w:hint="eastAsia" w:ascii="仿宋" w:hAnsi="仿宋" w:eastAsia="仿宋" w:cs="仿宋"/>
                <w:sz w:val="20"/>
                <w:szCs w:val="20"/>
              </w:rPr>
              <w:t>15</w:t>
            </w:r>
          </w:p>
        </w:tc>
        <w:tc>
          <w:tcPr>
            <w:tcW w:w="447" w:type="pct"/>
            <w:tcMar>
              <w:top w:w="60" w:type="dxa"/>
              <w:left w:w="120" w:type="dxa"/>
              <w:bottom w:w="30" w:type="dxa"/>
              <w:right w:w="120" w:type="dxa"/>
            </w:tcMar>
            <w:vAlign w:val="center"/>
          </w:tcPr>
          <w:p w14:paraId="0D90DF6F">
            <w:pPr>
              <w:jc w:val="center"/>
              <w:rPr>
                <w:rFonts w:ascii="仿宋" w:hAnsi="仿宋" w:eastAsia="仿宋" w:cs="仿宋"/>
                <w:sz w:val="20"/>
                <w:szCs w:val="20"/>
              </w:rPr>
            </w:pPr>
            <w:r>
              <w:rPr>
                <w:rFonts w:hint="eastAsia" w:ascii="仿宋" w:hAnsi="仿宋" w:eastAsia="仿宋" w:cs="仿宋"/>
                <w:sz w:val="20"/>
                <w:szCs w:val="20"/>
              </w:rPr>
              <w:t>5</w:t>
            </w:r>
          </w:p>
        </w:tc>
        <w:tc>
          <w:tcPr>
            <w:tcW w:w="2612" w:type="pct"/>
            <w:tcMar>
              <w:top w:w="60" w:type="dxa"/>
              <w:left w:w="120" w:type="dxa"/>
              <w:bottom w:w="30" w:type="dxa"/>
              <w:right w:w="120" w:type="dxa"/>
            </w:tcMar>
            <w:vAlign w:val="center"/>
          </w:tcPr>
          <w:p w14:paraId="65ED9EF8">
            <w:pPr>
              <w:rPr>
                <w:rFonts w:ascii="仿宋" w:hAnsi="仿宋" w:eastAsia="仿宋" w:cs="仿宋"/>
                <w:sz w:val="20"/>
                <w:szCs w:val="20"/>
              </w:rPr>
            </w:pPr>
            <w:r>
              <w:rPr>
                <w:rFonts w:hint="eastAsia" w:ascii="仿宋" w:hAnsi="仿宋" w:eastAsia="仿宋" w:cs="仿宋"/>
                <w:sz w:val="20"/>
                <w:szCs w:val="20"/>
              </w:rPr>
              <w:t>未按合同约定提供运维服务，出现推诿、拖延、拒绝服务的情况，扣 1 分 / 次，扣完为止</w:t>
            </w:r>
          </w:p>
        </w:tc>
      </w:tr>
      <w:tr w14:paraId="41C0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611A6A72">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2CC20225">
            <w:pPr>
              <w:jc w:val="center"/>
              <w:rPr>
                <w:rFonts w:ascii="仿宋" w:hAnsi="仿宋" w:eastAsia="仿宋" w:cs="仿宋"/>
                <w:sz w:val="20"/>
                <w:szCs w:val="20"/>
              </w:rPr>
            </w:pPr>
          </w:p>
        </w:tc>
        <w:tc>
          <w:tcPr>
            <w:tcW w:w="596" w:type="pct"/>
            <w:vMerge w:val="continue"/>
            <w:tcMar>
              <w:top w:w="60" w:type="dxa"/>
              <w:left w:w="120" w:type="dxa"/>
              <w:bottom w:w="30" w:type="dxa"/>
              <w:right w:w="120" w:type="dxa"/>
            </w:tcMar>
            <w:vAlign w:val="center"/>
          </w:tcPr>
          <w:p w14:paraId="113B7612">
            <w:pPr>
              <w:jc w:val="center"/>
              <w:rPr>
                <w:rFonts w:ascii="仿宋" w:hAnsi="仿宋" w:eastAsia="仿宋" w:cs="仿宋"/>
                <w:sz w:val="20"/>
                <w:szCs w:val="20"/>
              </w:rPr>
            </w:pPr>
          </w:p>
        </w:tc>
        <w:tc>
          <w:tcPr>
            <w:tcW w:w="373" w:type="pct"/>
            <w:vMerge w:val="continue"/>
            <w:tcMar>
              <w:top w:w="60" w:type="dxa"/>
              <w:left w:w="120" w:type="dxa"/>
              <w:bottom w:w="30" w:type="dxa"/>
              <w:right w:w="120" w:type="dxa"/>
            </w:tcMar>
            <w:vAlign w:val="center"/>
          </w:tcPr>
          <w:p w14:paraId="7B38C857">
            <w:pPr>
              <w:jc w:val="center"/>
              <w:rPr>
                <w:rFonts w:ascii="仿宋" w:hAnsi="仿宋" w:eastAsia="仿宋" w:cs="仿宋"/>
                <w:sz w:val="20"/>
                <w:szCs w:val="20"/>
              </w:rPr>
            </w:pPr>
          </w:p>
        </w:tc>
        <w:tc>
          <w:tcPr>
            <w:tcW w:w="447" w:type="pct"/>
            <w:tcMar>
              <w:top w:w="60" w:type="dxa"/>
              <w:left w:w="120" w:type="dxa"/>
              <w:bottom w:w="30" w:type="dxa"/>
              <w:right w:w="120" w:type="dxa"/>
            </w:tcMar>
            <w:vAlign w:val="center"/>
          </w:tcPr>
          <w:p w14:paraId="191E60EA">
            <w:pPr>
              <w:jc w:val="center"/>
              <w:rPr>
                <w:rFonts w:ascii="仿宋" w:hAnsi="仿宋" w:eastAsia="仿宋" w:cs="仿宋"/>
                <w:sz w:val="20"/>
                <w:szCs w:val="20"/>
              </w:rPr>
            </w:pPr>
            <w:r>
              <w:rPr>
                <w:rFonts w:hint="eastAsia" w:ascii="仿宋" w:hAnsi="仿宋" w:eastAsia="仿宋" w:cs="仿宋"/>
                <w:sz w:val="20"/>
                <w:szCs w:val="20"/>
              </w:rPr>
              <w:t>5</w:t>
            </w:r>
          </w:p>
        </w:tc>
        <w:tc>
          <w:tcPr>
            <w:tcW w:w="2612" w:type="pct"/>
            <w:tcMar>
              <w:top w:w="60" w:type="dxa"/>
              <w:left w:w="120" w:type="dxa"/>
              <w:bottom w:w="30" w:type="dxa"/>
              <w:right w:w="120" w:type="dxa"/>
            </w:tcMar>
            <w:vAlign w:val="center"/>
          </w:tcPr>
          <w:p w14:paraId="10A78F8B">
            <w:pPr>
              <w:rPr>
                <w:rFonts w:ascii="仿宋" w:hAnsi="仿宋" w:eastAsia="仿宋" w:cs="仿宋"/>
                <w:sz w:val="20"/>
                <w:szCs w:val="20"/>
              </w:rPr>
            </w:pPr>
            <w:r>
              <w:rPr>
                <w:rFonts w:hint="eastAsia" w:ascii="仿宋" w:hAnsi="仿宋" w:eastAsia="仿宋" w:cs="仿宋"/>
                <w:sz w:val="20"/>
                <w:szCs w:val="20"/>
              </w:rPr>
              <w:t>日常运维工作记录、故障处置记录、巡检记录不完整、虚报、篡改的，扣 1 分 / 次，扣完为止</w:t>
            </w:r>
          </w:p>
        </w:tc>
      </w:tr>
      <w:tr w14:paraId="4140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708DF786">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74F938BA">
            <w:pPr>
              <w:jc w:val="center"/>
              <w:rPr>
                <w:rFonts w:ascii="仿宋" w:hAnsi="仿宋" w:eastAsia="仿宋" w:cs="仿宋"/>
                <w:sz w:val="20"/>
                <w:szCs w:val="20"/>
              </w:rPr>
            </w:pPr>
          </w:p>
        </w:tc>
        <w:tc>
          <w:tcPr>
            <w:tcW w:w="596" w:type="pct"/>
            <w:vMerge w:val="continue"/>
            <w:tcMar>
              <w:top w:w="60" w:type="dxa"/>
              <w:left w:w="120" w:type="dxa"/>
              <w:bottom w:w="30" w:type="dxa"/>
              <w:right w:w="120" w:type="dxa"/>
            </w:tcMar>
            <w:vAlign w:val="center"/>
          </w:tcPr>
          <w:p w14:paraId="055DCA61">
            <w:pPr>
              <w:jc w:val="center"/>
              <w:rPr>
                <w:rFonts w:ascii="仿宋" w:hAnsi="仿宋" w:eastAsia="仿宋" w:cs="仿宋"/>
                <w:sz w:val="20"/>
                <w:szCs w:val="20"/>
              </w:rPr>
            </w:pPr>
          </w:p>
        </w:tc>
        <w:tc>
          <w:tcPr>
            <w:tcW w:w="373" w:type="pct"/>
            <w:vMerge w:val="continue"/>
            <w:tcMar>
              <w:top w:w="60" w:type="dxa"/>
              <w:left w:w="120" w:type="dxa"/>
              <w:bottom w:w="30" w:type="dxa"/>
              <w:right w:w="120" w:type="dxa"/>
            </w:tcMar>
            <w:vAlign w:val="center"/>
          </w:tcPr>
          <w:p w14:paraId="5309A332">
            <w:pPr>
              <w:jc w:val="center"/>
              <w:rPr>
                <w:rFonts w:ascii="仿宋" w:hAnsi="仿宋" w:eastAsia="仿宋" w:cs="仿宋"/>
                <w:sz w:val="20"/>
                <w:szCs w:val="20"/>
              </w:rPr>
            </w:pPr>
          </w:p>
        </w:tc>
        <w:tc>
          <w:tcPr>
            <w:tcW w:w="447" w:type="pct"/>
            <w:tcMar>
              <w:top w:w="60" w:type="dxa"/>
              <w:left w:w="120" w:type="dxa"/>
              <w:bottom w:w="30" w:type="dxa"/>
              <w:right w:w="120" w:type="dxa"/>
            </w:tcMar>
            <w:vAlign w:val="center"/>
          </w:tcPr>
          <w:p w14:paraId="217093CC">
            <w:pPr>
              <w:jc w:val="center"/>
              <w:rPr>
                <w:rFonts w:ascii="仿宋" w:hAnsi="仿宋" w:eastAsia="仿宋" w:cs="仿宋"/>
                <w:sz w:val="20"/>
                <w:szCs w:val="20"/>
              </w:rPr>
            </w:pPr>
            <w:r>
              <w:rPr>
                <w:rFonts w:hint="eastAsia" w:ascii="仿宋" w:hAnsi="仿宋" w:eastAsia="仿宋" w:cs="仿宋"/>
                <w:sz w:val="20"/>
                <w:szCs w:val="20"/>
              </w:rPr>
              <w:t>5</w:t>
            </w:r>
          </w:p>
        </w:tc>
        <w:tc>
          <w:tcPr>
            <w:tcW w:w="2612" w:type="pct"/>
            <w:tcMar>
              <w:top w:w="60" w:type="dxa"/>
              <w:left w:w="120" w:type="dxa"/>
              <w:bottom w:w="30" w:type="dxa"/>
              <w:right w:w="120" w:type="dxa"/>
            </w:tcMar>
            <w:vAlign w:val="center"/>
          </w:tcPr>
          <w:p w14:paraId="330DD068">
            <w:pPr>
              <w:rPr>
                <w:rFonts w:ascii="仿宋" w:hAnsi="仿宋" w:eastAsia="仿宋" w:cs="仿宋"/>
                <w:sz w:val="20"/>
                <w:szCs w:val="20"/>
              </w:rPr>
            </w:pPr>
            <w:r>
              <w:rPr>
                <w:rFonts w:hint="eastAsia" w:ascii="仿宋" w:hAnsi="仿宋" w:eastAsia="仿宋" w:cs="仿宋"/>
                <w:sz w:val="20"/>
                <w:szCs w:val="20"/>
              </w:rPr>
              <w:t>未按时提交运维月报、季报、年报及专项报告的，扣 1 分 / 次，扣完为止</w:t>
            </w:r>
          </w:p>
        </w:tc>
      </w:tr>
      <w:tr w14:paraId="548AA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2170F63E">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19B88220">
            <w:pPr>
              <w:jc w:val="center"/>
              <w:rPr>
                <w:rFonts w:ascii="仿宋" w:hAnsi="仿宋" w:eastAsia="仿宋" w:cs="仿宋"/>
                <w:sz w:val="20"/>
                <w:szCs w:val="20"/>
              </w:rPr>
            </w:pPr>
          </w:p>
        </w:tc>
        <w:tc>
          <w:tcPr>
            <w:tcW w:w="596" w:type="pct"/>
            <w:vMerge w:val="restart"/>
            <w:tcMar>
              <w:top w:w="60" w:type="dxa"/>
              <w:left w:w="120" w:type="dxa"/>
              <w:bottom w:w="30" w:type="dxa"/>
              <w:right w:w="120" w:type="dxa"/>
            </w:tcMar>
            <w:vAlign w:val="center"/>
          </w:tcPr>
          <w:p w14:paraId="3A14EDED">
            <w:pPr>
              <w:jc w:val="center"/>
              <w:rPr>
                <w:rFonts w:ascii="仿宋" w:hAnsi="仿宋" w:eastAsia="仿宋" w:cs="仿宋"/>
                <w:sz w:val="20"/>
                <w:szCs w:val="20"/>
              </w:rPr>
            </w:pPr>
            <w:r>
              <w:rPr>
                <w:rFonts w:hint="eastAsia" w:ascii="仿宋" w:hAnsi="仿宋" w:eastAsia="仿宋" w:cs="仿宋"/>
                <w:sz w:val="20"/>
                <w:szCs w:val="20"/>
              </w:rPr>
              <w:t>数据库专项运维服务质量</w:t>
            </w:r>
          </w:p>
        </w:tc>
        <w:tc>
          <w:tcPr>
            <w:tcW w:w="373" w:type="pct"/>
            <w:vMerge w:val="restart"/>
            <w:tcMar>
              <w:top w:w="60" w:type="dxa"/>
              <w:left w:w="120" w:type="dxa"/>
              <w:bottom w:w="30" w:type="dxa"/>
              <w:right w:w="120" w:type="dxa"/>
            </w:tcMar>
            <w:vAlign w:val="center"/>
          </w:tcPr>
          <w:p w14:paraId="0FE46684">
            <w:pPr>
              <w:jc w:val="center"/>
              <w:rPr>
                <w:rFonts w:ascii="仿宋" w:hAnsi="仿宋" w:eastAsia="仿宋" w:cs="仿宋"/>
                <w:sz w:val="20"/>
                <w:szCs w:val="20"/>
              </w:rPr>
            </w:pPr>
            <w:r>
              <w:rPr>
                <w:rFonts w:hint="eastAsia" w:ascii="仿宋" w:hAnsi="仿宋" w:eastAsia="仿宋" w:cs="仿宋"/>
                <w:sz w:val="20"/>
                <w:szCs w:val="20"/>
              </w:rPr>
              <w:t>10</w:t>
            </w:r>
          </w:p>
        </w:tc>
        <w:tc>
          <w:tcPr>
            <w:tcW w:w="447" w:type="pct"/>
            <w:tcMar>
              <w:top w:w="60" w:type="dxa"/>
              <w:left w:w="120" w:type="dxa"/>
              <w:bottom w:w="30" w:type="dxa"/>
              <w:right w:w="120" w:type="dxa"/>
            </w:tcMar>
            <w:vAlign w:val="center"/>
          </w:tcPr>
          <w:p w14:paraId="7A977881">
            <w:pPr>
              <w:jc w:val="center"/>
              <w:rPr>
                <w:rFonts w:ascii="仿宋" w:hAnsi="仿宋" w:eastAsia="仿宋" w:cs="仿宋"/>
                <w:sz w:val="20"/>
                <w:szCs w:val="20"/>
              </w:rPr>
            </w:pPr>
            <w:r>
              <w:rPr>
                <w:rFonts w:hint="eastAsia" w:ascii="仿宋" w:hAnsi="仿宋" w:eastAsia="仿宋" w:cs="仿宋"/>
                <w:sz w:val="20"/>
                <w:szCs w:val="20"/>
              </w:rPr>
              <w:t>2</w:t>
            </w:r>
          </w:p>
        </w:tc>
        <w:tc>
          <w:tcPr>
            <w:tcW w:w="2612" w:type="pct"/>
            <w:tcMar>
              <w:top w:w="60" w:type="dxa"/>
              <w:left w:w="120" w:type="dxa"/>
              <w:bottom w:w="30" w:type="dxa"/>
              <w:right w:w="120" w:type="dxa"/>
            </w:tcMar>
            <w:vAlign w:val="center"/>
          </w:tcPr>
          <w:p w14:paraId="18FC3D8D">
            <w:pPr>
              <w:rPr>
                <w:rFonts w:ascii="仿宋" w:hAnsi="仿宋" w:eastAsia="仿宋" w:cs="仿宋"/>
                <w:sz w:val="20"/>
                <w:szCs w:val="20"/>
              </w:rPr>
            </w:pPr>
            <w:r>
              <w:rPr>
                <w:rFonts w:hint="eastAsia" w:ascii="仿宋" w:hAnsi="仿宋" w:eastAsia="仿宋" w:cs="仿宋"/>
                <w:sz w:val="20"/>
                <w:szCs w:val="20"/>
              </w:rPr>
              <w:t>未按要求完成月度数据库巡检，少 1 次扣 0.5 分，扣完为止</w:t>
            </w:r>
          </w:p>
        </w:tc>
      </w:tr>
      <w:tr w14:paraId="6C17E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793A9829">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481FE859">
            <w:pPr>
              <w:jc w:val="center"/>
              <w:rPr>
                <w:rFonts w:ascii="仿宋" w:hAnsi="仿宋" w:eastAsia="仿宋" w:cs="仿宋"/>
                <w:sz w:val="20"/>
                <w:szCs w:val="20"/>
              </w:rPr>
            </w:pPr>
          </w:p>
        </w:tc>
        <w:tc>
          <w:tcPr>
            <w:tcW w:w="596" w:type="pct"/>
            <w:vMerge w:val="continue"/>
            <w:tcMar>
              <w:top w:w="60" w:type="dxa"/>
              <w:left w:w="120" w:type="dxa"/>
              <w:bottom w:w="30" w:type="dxa"/>
              <w:right w:w="120" w:type="dxa"/>
            </w:tcMar>
            <w:vAlign w:val="center"/>
          </w:tcPr>
          <w:p w14:paraId="2AFE18B0">
            <w:pPr>
              <w:jc w:val="center"/>
              <w:rPr>
                <w:rFonts w:ascii="仿宋" w:hAnsi="仿宋" w:eastAsia="仿宋" w:cs="仿宋"/>
                <w:sz w:val="20"/>
                <w:szCs w:val="20"/>
              </w:rPr>
            </w:pPr>
          </w:p>
        </w:tc>
        <w:tc>
          <w:tcPr>
            <w:tcW w:w="373" w:type="pct"/>
            <w:vMerge w:val="continue"/>
            <w:tcMar>
              <w:top w:w="60" w:type="dxa"/>
              <w:left w:w="120" w:type="dxa"/>
              <w:bottom w:w="30" w:type="dxa"/>
              <w:right w:w="120" w:type="dxa"/>
            </w:tcMar>
            <w:vAlign w:val="center"/>
          </w:tcPr>
          <w:p w14:paraId="7A0A0D5F">
            <w:pPr>
              <w:jc w:val="center"/>
              <w:rPr>
                <w:rFonts w:ascii="仿宋" w:hAnsi="仿宋" w:eastAsia="仿宋" w:cs="仿宋"/>
                <w:sz w:val="20"/>
                <w:szCs w:val="20"/>
              </w:rPr>
            </w:pPr>
          </w:p>
        </w:tc>
        <w:tc>
          <w:tcPr>
            <w:tcW w:w="447" w:type="pct"/>
            <w:tcMar>
              <w:top w:w="60" w:type="dxa"/>
              <w:left w:w="120" w:type="dxa"/>
              <w:bottom w:w="30" w:type="dxa"/>
              <w:right w:w="120" w:type="dxa"/>
            </w:tcMar>
            <w:vAlign w:val="center"/>
          </w:tcPr>
          <w:p w14:paraId="13881D83">
            <w:pPr>
              <w:jc w:val="center"/>
              <w:rPr>
                <w:rFonts w:ascii="仿宋" w:hAnsi="仿宋" w:eastAsia="仿宋" w:cs="仿宋"/>
                <w:sz w:val="20"/>
                <w:szCs w:val="20"/>
              </w:rPr>
            </w:pPr>
            <w:r>
              <w:rPr>
                <w:rFonts w:hint="eastAsia" w:ascii="仿宋" w:hAnsi="仿宋" w:eastAsia="仿宋" w:cs="仿宋"/>
                <w:sz w:val="20"/>
                <w:szCs w:val="20"/>
              </w:rPr>
              <w:t>2</w:t>
            </w:r>
          </w:p>
        </w:tc>
        <w:tc>
          <w:tcPr>
            <w:tcW w:w="2612" w:type="pct"/>
            <w:tcMar>
              <w:top w:w="60" w:type="dxa"/>
              <w:left w:w="120" w:type="dxa"/>
              <w:bottom w:w="30" w:type="dxa"/>
              <w:right w:w="120" w:type="dxa"/>
            </w:tcMar>
            <w:vAlign w:val="center"/>
          </w:tcPr>
          <w:p w14:paraId="6C9D8347">
            <w:pPr>
              <w:rPr>
                <w:rFonts w:ascii="仿宋" w:hAnsi="仿宋" w:eastAsia="仿宋" w:cs="仿宋"/>
                <w:sz w:val="20"/>
                <w:szCs w:val="20"/>
              </w:rPr>
            </w:pPr>
            <w:r>
              <w:rPr>
                <w:rFonts w:hint="eastAsia" w:ascii="仿宋" w:hAnsi="仿宋" w:eastAsia="仿宋" w:cs="仿宋"/>
                <w:sz w:val="20"/>
                <w:szCs w:val="20"/>
              </w:rPr>
              <w:t>未按要求完成数据库优化、备份恢复演练的，扣 1 分 / 次，扣完为止</w:t>
            </w:r>
          </w:p>
        </w:tc>
      </w:tr>
      <w:tr w14:paraId="38B85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19F95D2F">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491C4FF8">
            <w:pPr>
              <w:jc w:val="center"/>
              <w:rPr>
                <w:rFonts w:ascii="仿宋" w:hAnsi="仿宋" w:eastAsia="仿宋" w:cs="仿宋"/>
                <w:sz w:val="20"/>
                <w:szCs w:val="20"/>
              </w:rPr>
            </w:pPr>
          </w:p>
        </w:tc>
        <w:tc>
          <w:tcPr>
            <w:tcW w:w="596" w:type="pct"/>
            <w:vMerge w:val="continue"/>
            <w:tcMar>
              <w:top w:w="60" w:type="dxa"/>
              <w:left w:w="120" w:type="dxa"/>
              <w:bottom w:w="30" w:type="dxa"/>
              <w:right w:w="120" w:type="dxa"/>
            </w:tcMar>
            <w:vAlign w:val="center"/>
          </w:tcPr>
          <w:p w14:paraId="3B967679">
            <w:pPr>
              <w:jc w:val="center"/>
              <w:rPr>
                <w:rFonts w:ascii="仿宋" w:hAnsi="仿宋" w:eastAsia="仿宋" w:cs="仿宋"/>
                <w:sz w:val="20"/>
                <w:szCs w:val="20"/>
              </w:rPr>
            </w:pPr>
          </w:p>
        </w:tc>
        <w:tc>
          <w:tcPr>
            <w:tcW w:w="373" w:type="pct"/>
            <w:vMerge w:val="continue"/>
            <w:tcMar>
              <w:top w:w="60" w:type="dxa"/>
              <w:left w:w="120" w:type="dxa"/>
              <w:bottom w:w="30" w:type="dxa"/>
              <w:right w:w="120" w:type="dxa"/>
            </w:tcMar>
            <w:vAlign w:val="center"/>
          </w:tcPr>
          <w:p w14:paraId="08010787">
            <w:pPr>
              <w:jc w:val="center"/>
              <w:rPr>
                <w:rFonts w:ascii="仿宋" w:hAnsi="仿宋" w:eastAsia="仿宋" w:cs="仿宋"/>
                <w:sz w:val="20"/>
                <w:szCs w:val="20"/>
              </w:rPr>
            </w:pPr>
          </w:p>
        </w:tc>
        <w:tc>
          <w:tcPr>
            <w:tcW w:w="447" w:type="pct"/>
            <w:tcMar>
              <w:top w:w="60" w:type="dxa"/>
              <w:left w:w="120" w:type="dxa"/>
              <w:bottom w:w="30" w:type="dxa"/>
              <w:right w:w="120" w:type="dxa"/>
            </w:tcMar>
            <w:vAlign w:val="center"/>
          </w:tcPr>
          <w:p w14:paraId="1EC67C85">
            <w:pPr>
              <w:jc w:val="center"/>
              <w:rPr>
                <w:rFonts w:ascii="仿宋" w:hAnsi="仿宋" w:eastAsia="仿宋" w:cs="仿宋"/>
                <w:sz w:val="20"/>
                <w:szCs w:val="20"/>
              </w:rPr>
            </w:pPr>
            <w:r>
              <w:rPr>
                <w:rFonts w:hint="eastAsia" w:ascii="仿宋" w:hAnsi="仿宋" w:eastAsia="仿宋" w:cs="仿宋"/>
                <w:sz w:val="20"/>
                <w:szCs w:val="20"/>
              </w:rPr>
              <w:t>2</w:t>
            </w:r>
          </w:p>
        </w:tc>
        <w:tc>
          <w:tcPr>
            <w:tcW w:w="2612" w:type="pct"/>
            <w:tcMar>
              <w:top w:w="60" w:type="dxa"/>
              <w:left w:w="120" w:type="dxa"/>
              <w:bottom w:w="30" w:type="dxa"/>
              <w:right w:w="120" w:type="dxa"/>
            </w:tcMar>
            <w:vAlign w:val="center"/>
          </w:tcPr>
          <w:p w14:paraId="73DA42E2">
            <w:pPr>
              <w:rPr>
                <w:rFonts w:ascii="仿宋" w:hAnsi="仿宋" w:eastAsia="仿宋" w:cs="仿宋"/>
                <w:sz w:val="20"/>
                <w:szCs w:val="20"/>
              </w:rPr>
            </w:pPr>
            <w:r>
              <w:rPr>
                <w:rFonts w:hint="eastAsia" w:ascii="仿宋" w:hAnsi="仿宋" w:eastAsia="仿宋" w:cs="仿宋"/>
                <w:sz w:val="20"/>
                <w:szCs w:val="20"/>
              </w:rPr>
              <w:t>未及时修复数据库高危漏洞的，扣 1 分 / 次，扣完为止</w:t>
            </w:r>
          </w:p>
        </w:tc>
      </w:tr>
      <w:tr w14:paraId="491C5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4FAF2ADD">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036E387C">
            <w:pPr>
              <w:jc w:val="center"/>
              <w:rPr>
                <w:rFonts w:ascii="仿宋" w:hAnsi="仿宋" w:eastAsia="仿宋" w:cs="仿宋"/>
                <w:sz w:val="20"/>
                <w:szCs w:val="20"/>
              </w:rPr>
            </w:pPr>
          </w:p>
        </w:tc>
        <w:tc>
          <w:tcPr>
            <w:tcW w:w="596" w:type="pct"/>
            <w:vMerge w:val="continue"/>
            <w:tcMar>
              <w:top w:w="60" w:type="dxa"/>
              <w:left w:w="120" w:type="dxa"/>
              <w:bottom w:w="30" w:type="dxa"/>
              <w:right w:w="120" w:type="dxa"/>
            </w:tcMar>
            <w:vAlign w:val="center"/>
          </w:tcPr>
          <w:p w14:paraId="5D744A33">
            <w:pPr>
              <w:jc w:val="center"/>
              <w:rPr>
                <w:rFonts w:ascii="仿宋" w:hAnsi="仿宋" w:eastAsia="仿宋" w:cs="仿宋"/>
                <w:sz w:val="20"/>
                <w:szCs w:val="20"/>
              </w:rPr>
            </w:pPr>
          </w:p>
        </w:tc>
        <w:tc>
          <w:tcPr>
            <w:tcW w:w="373" w:type="pct"/>
            <w:vMerge w:val="continue"/>
            <w:tcMar>
              <w:top w:w="60" w:type="dxa"/>
              <w:left w:w="120" w:type="dxa"/>
              <w:bottom w:w="30" w:type="dxa"/>
              <w:right w:w="120" w:type="dxa"/>
            </w:tcMar>
            <w:vAlign w:val="center"/>
          </w:tcPr>
          <w:p w14:paraId="4EE7D43F">
            <w:pPr>
              <w:jc w:val="center"/>
              <w:rPr>
                <w:rFonts w:ascii="仿宋" w:hAnsi="仿宋" w:eastAsia="仿宋" w:cs="仿宋"/>
                <w:sz w:val="20"/>
                <w:szCs w:val="20"/>
              </w:rPr>
            </w:pPr>
          </w:p>
        </w:tc>
        <w:tc>
          <w:tcPr>
            <w:tcW w:w="447" w:type="pct"/>
            <w:tcMar>
              <w:top w:w="60" w:type="dxa"/>
              <w:left w:w="120" w:type="dxa"/>
              <w:bottom w:w="30" w:type="dxa"/>
              <w:right w:w="120" w:type="dxa"/>
            </w:tcMar>
            <w:vAlign w:val="center"/>
          </w:tcPr>
          <w:p w14:paraId="40BA955C">
            <w:pPr>
              <w:jc w:val="center"/>
              <w:rPr>
                <w:rFonts w:ascii="仿宋" w:hAnsi="仿宋" w:eastAsia="仿宋" w:cs="仿宋"/>
                <w:sz w:val="20"/>
                <w:szCs w:val="20"/>
              </w:rPr>
            </w:pPr>
            <w:r>
              <w:rPr>
                <w:rFonts w:hint="eastAsia" w:ascii="仿宋" w:hAnsi="仿宋" w:eastAsia="仿宋" w:cs="仿宋"/>
                <w:sz w:val="20"/>
                <w:szCs w:val="20"/>
              </w:rPr>
              <w:t>2</w:t>
            </w:r>
          </w:p>
        </w:tc>
        <w:tc>
          <w:tcPr>
            <w:tcW w:w="2612" w:type="pct"/>
            <w:tcMar>
              <w:top w:w="60" w:type="dxa"/>
              <w:left w:w="120" w:type="dxa"/>
              <w:bottom w:w="30" w:type="dxa"/>
              <w:right w:w="120" w:type="dxa"/>
            </w:tcMar>
            <w:vAlign w:val="center"/>
          </w:tcPr>
          <w:p w14:paraId="4DD87FA6">
            <w:pPr>
              <w:rPr>
                <w:rFonts w:ascii="仿宋" w:hAnsi="仿宋" w:eastAsia="仿宋" w:cs="仿宋"/>
                <w:sz w:val="20"/>
                <w:szCs w:val="20"/>
              </w:rPr>
            </w:pPr>
            <w:r>
              <w:rPr>
                <w:rFonts w:hint="eastAsia" w:ascii="仿宋" w:hAnsi="仿宋" w:eastAsia="仿宋" w:cs="仿宋"/>
                <w:sz w:val="20"/>
                <w:szCs w:val="20"/>
              </w:rPr>
              <w:t>数据库运维记录不完整、问题处置不及时的，扣 0.5 分 / 次，扣完为止</w:t>
            </w:r>
          </w:p>
        </w:tc>
      </w:tr>
      <w:tr w14:paraId="2DEC7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2FB18AA5">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4C5FA44A">
            <w:pPr>
              <w:jc w:val="center"/>
              <w:rPr>
                <w:rFonts w:ascii="仿宋" w:hAnsi="仿宋" w:eastAsia="仿宋" w:cs="仿宋"/>
                <w:sz w:val="20"/>
                <w:szCs w:val="20"/>
              </w:rPr>
            </w:pPr>
          </w:p>
        </w:tc>
        <w:tc>
          <w:tcPr>
            <w:tcW w:w="596" w:type="pct"/>
            <w:vMerge w:val="continue"/>
            <w:tcMar>
              <w:top w:w="60" w:type="dxa"/>
              <w:left w:w="120" w:type="dxa"/>
              <w:bottom w:w="30" w:type="dxa"/>
              <w:right w:w="120" w:type="dxa"/>
            </w:tcMar>
            <w:vAlign w:val="center"/>
          </w:tcPr>
          <w:p w14:paraId="0D53167F">
            <w:pPr>
              <w:jc w:val="center"/>
              <w:rPr>
                <w:rFonts w:ascii="仿宋" w:hAnsi="仿宋" w:eastAsia="仿宋" w:cs="仿宋"/>
                <w:sz w:val="20"/>
                <w:szCs w:val="20"/>
              </w:rPr>
            </w:pPr>
          </w:p>
        </w:tc>
        <w:tc>
          <w:tcPr>
            <w:tcW w:w="373" w:type="pct"/>
            <w:vMerge w:val="continue"/>
            <w:tcMar>
              <w:top w:w="60" w:type="dxa"/>
              <w:left w:w="120" w:type="dxa"/>
              <w:bottom w:w="30" w:type="dxa"/>
              <w:right w:w="120" w:type="dxa"/>
            </w:tcMar>
            <w:vAlign w:val="center"/>
          </w:tcPr>
          <w:p w14:paraId="47D68666">
            <w:pPr>
              <w:jc w:val="center"/>
              <w:rPr>
                <w:rFonts w:ascii="仿宋" w:hAnsi="仿宋" w:eastAsia="仿宋" w:cs="仿宋"/>
                <w:sz w:val="20"/>
                <w:szCs w:val="20"/>
              </w:rPr>
            </w:pPr>
          </w:p>
        </w:tc>
        <w:tc>
          <w:tcPr>
            <w:tcW w:w="447" w:type="pct"/>
            <w:tcMar>
              <w:top w:w="60" w:type="dxa"/>
              <w:left w:w="120" w:type="dxa"/>
              <w:bottom w:w="30" w:type="dxa"/>
              <w:right w:w="120" w:type="dxa"/>
            </w:tcMar>
            <w:vAlign w:val="center"/>
          </w:tcPr>
          <w:p w14:paraId="706856D0">
            <w:pPr>
              <w:jc w:val="center"/>
              <w:rPr>
                <w:rFonts w:ascii="仿宋" w:hAnsi="仿宋" w:eastAsia="仿宋" w:cs="仿宋"/>
                <w:sz w:val="20"/>
                <w:szCs w:val="20"/>
              </w:rPr>
            </w:pPr>
            <w:r>
              <w:rPr>
                <w:rFonts w:hint="eastAsia" w:ascii="仿宋" w:hAnsi="仿宋" w:eastAsia="仿宋" w:cs="仿宋"/>
                <w:sz w:val="20"/>
                <w:szCs w:val="20"/>
              </w:rPr>
              <w:t>2</w:t>
            </w:r>
          </w:p>
        </w:tc>
        <w:tc>
          <w:tcPr>
            <w:tcW w:w="2612" w:type="pct"/>
            <w:tcMar>
              <w:top w:w="60" w:type="dxa"/>
              <w:left w:w="120" w:type="dxa"/>
              <w:bottom w:w="30" w:type="dxa"/>
              <w:right w:w="120" w:type="dxa"/>
            </w:tcMar>
            <w:vAlign w:val="center"/>
          </w:tcPr>
          <w:p w14:paraId="72CC0890">
            <w:pPr>
              <w:rPr>
                <w:rFonts w:ascii="仿宋" w:hAnsi="仿宋" w:eastAsia="仿宋" w:cs="仿宋"/>
                <w:sz w:val="20"/>
                <w:szCs w:val="20"/>
              </w:rPr>
            </w:pPr>
            <w:r>
              <w:rPr>
                <w:rFonts w:hint="eastAsia" w:ascii="仿宋" w:hAnsi="仿宋" w:eastAsia="仿宋" w:cs="仿宋"/>
                <w:sz w:val="20"/>
                <w:szCs w:val="20"/>
              </w:rPr>
              <w:t>未按要求提供数据库迁移、数据备份服务的，扣 0.5 分 / 次，扣完为止</w:t>
            </w:r>
          </w:p>
        </w:tc>
      </w:tr>
      <w:tr w14:paraId="09912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4574C511">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44936FA4">
            <w:pPr>
              <w:jc w:val="center"/>
              <w:rPr>
                <w:rFonts w:ascii="仿宋" w:hAnsi="仿宋" w:eastAsia="仿宋" w:cs="仿宋"/>
                <w:sz w:val="20"/>
                <w:szCs w:val="20"/>
              </w:rPr>
            </w:pPr>
          </w:p>
        </w:tc>
        <w:tc>
          <w:tcPr>
            <w:tcW w:w="596" w:type="pct"/>
            <w:vMerge w:val="restart"/>
            <w:tcMar>
              <w:top w:w="60" w:type="dxa"/>
              <w:left w:w="120" w:type="dxa"/>
              <w:bottom w:w="30" w:type="dxa"/>
              <w:right w:w="120" w:type="dxa"/>
            </w:tcMar>
            <w:vAlign w:val="center"/>
          </w:tcPr>
          <w:p w14:paraId="38272A20">
            <w:pPr>
              <w:jc w:val="center"/>
              <w:rPr>
                <w:rFonts w:ascii="仿宋" w:hAnsi="仿宋" w:eastAsia="仿宋" w:cs="仿宋"/>
                <w:sz w:val="20"/>
                <w:szCs w:val="20"/>
              </w:rPr>
            </w:pPr>
            <w:r>
              <w:rPr>
                <w:rFonts w:hint="eastAsia" w:ascii="仿宋" w:hAnsi="仿宋" w:eastAsia="仿宋" w:cs="仿宋"/>
                <w:sz w:val="20"/>
                <w:szCs w:val="20"/>
              </w:rPr>
              <w:t>系统接口与报表服务质量</w:t>
            </w:r>
          </w:p>
        </w:tc>
        <w:tc>
          <w:tcPr>
            <w:tcW w:w="373" w:type="pct"/>
            <w:vMerge w:val="restart"/>
            <w:tcMar>
              <w:top w:w="60" w:type="dxa"/>
              <w:left w:w="120" w:type="dxa"/>
              <w:bottom w:w="30" w:type="dxa"/>
              <w:right w:w="120" w:type="dxa"/>
            </w:tcMar>
            <w:vAlign w:val="center"/>
          </w:tcPr>
          <w:p w14:paraId="753FB689">
            <w:pPr>
              <w:jc w:val="center"/>
              <w:rPr>
                <w:rFonts w:ascii="仿宋" w:hAnsi="仿宋" w:eastAsia="仿宋" w:cs="仿宋"/>
                <w:sz w:val="20"/>
                <w:szCs w:val="20"/>
              </w:rPr>
            </w:pPr>
            <w:r>
              <w:rPr>
                <w:rFonts w:hint="eastAsia" w:ascii="仿宋" w:hAnsi="仿宋" w:eastAsia="仿宋" w:cs="仿宋"/>
                <w:sz w:val="20"/>
                <w:szCs w:val="20"/>
              </w:rPr>
              <w:t>5</w:t>
            </w:r>
          </w:p>
        </w:tc>
        <w:tc>
          <w:tcPr>
            <w:tcW w:w="447" w:type="pct"/>
            <w:tcMar>
              <w:top w:w="60" w:type="dxa"/>
              <w:left w:w="120" w:type="dxa"/>
              <w:bottom w:w="30" w:type="dxa"/>
              <w:right w:w="120" w:type="dxa"/>
            </w:tcMar>
            <w:vAlign w:val="center"/>
          </w:tcPr>
          <w:p w14:paraId="2D017AFB">
            <w:pPr>
              <w:jc w:val="center"/>
              <w:rPr>
                <w:rFonts w:ascii="仿宋" w:hAnsi="仿宋" w:eastAsia="仿宋" w:cs="仿宋"/>
                <w:sz w:val="20"/>
                <w:szCs w:val="20"/>
              </w:rPr>
            </w:pPr>
            <w:r>
              <w:rPr>
                <w:rFonts w:hint="eastAsia" w:ascii="仿宋" w:hAnsi="仿宋" w:eastAsia="仿宋" w:cs="仿宋"/>
                <w:sz w:val="20"/>
                <w:szCs w:val="20"/>
              </w:rPr>
              <w:t>3</w:t>
            </w:r>
          </w:p>
        </w:tc>
        <w:tc>
          <w:tcPr>
            <w:tcW w:w="2612" w:type="pct"/>
            <w:tcMar>
              <w:top w:w="60" w:type="dxa"/>
              <w:left w:w="120" w:type="dxa"/>
              <w:bottom w:w="30" w:type="dxa"/>
              <w:right w:w="120" w:type="dxa"/>
            </w:tcMar>
            <w:vAlign w:val="center"/>
          </w:tcPr>
          <w:p w14:paraId="3F23261D">
            <w:pPr>
              <w:rPr>
                <w:rFonts w:ascii="仿宋" w:hAnsi="仿宋" w:eastAsia="仿宋" w:cs="仿宋"/>
                <w:sz w:val="20"/>
                <w:szCs w:val="20"/>
              </w:rPr>
            </w:pPr>
            <w:r>
              <w:rPr>
                <w:rFonts w:hint="eastAsia" w:ascii="仿宋" w:hAnsi="仿宋" w:eastAsia="仿宋" w:cs="仿宋"/>
                <w:sz w:val="20"/>
                <w:szCs w:val="20"/>
              </w:rPr>
              <w:t>系统接口、报表问题响应不及时、处置不到位的，扣 1 分 / 次，扣完为止</w:t>
            </w:r>
          </w:p>
        </w:tc>
      </w:tr>
      <w:tr w14:paraId="1FDF5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0CAB0061">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4A29CFA0">
            <w:pPr>
              <w:jc w:val="center"/>
              <w:rPr>
                <w:rFonts w:ascii="仿宋" w:hAnsi="仿宋" w:eastAsia="仿宋" w:cs="仿宋"/>
                <w:sz w:val="20"/>
                <w:szCs w:val="20"/>
              </w:rPr>
            </w:pPr>
          </w:p>
        </w:tc>
        <w:tc>
          <w:tcPr>
            <w:tcW w:w="596" w:type="pct"/>
            <w:vMerge w:val="continue"/>
            <w:tcMar>
              <w:top w:w="60" w:type="dxa"/>
              <w:left w:w="120" w:type="dxa"/>
              <w:bottom w:w="30" w:type="dxa"/>
              <w:right w:w="120" w:type="dxa"/>
            </w:tcMar>
            <w:vAlign w:val="center"/>
          </w:tcPr>
          <w:p w14:paraId="005D3241">
            <w:pPr>
              <w:jc w:val="center"/>
              <w:rPr>
                <w:rFonts w:ascii="仿宋" w:hAnsi="仿宋" w:eastAsia="仿宋" w:cs="仿宋"/>
                <w:sz w:val="20"/>
                <w:szCs w:val="20"/>
              </w:rPr>
            </w:pPr>
          </w:p>
        </w:tc>
        <w:tc>
          <w:tcPr>
            <w:tcW w:w="373" w:type="pct"/>
            <w:vMerge w:val="continue"/>
            <w:tcMar>
              <w:top w:w="60" w:type="dxa"/>
              <w:left w:w="120" w:type="dxa"/>
              <w:bottom w:w="30" w:type="dxa"/>
              <w:right w:w="120" w:type="dxa"/>
            </w:tcMar>
            <w:vAlign w:val="center"/>
          </w:tcPr>
          <w:p w14:paraId="521FC73C">
            <w:pPr>
              <w:jc w:val="center"/>
              <w:rPr>
                <w:rFonts w:ascii="仿宋" w:hAnsi="仿宋" w:eastAsia="仿宋" w:cs="仿宋"/>
                <w:sz w:val="20"/>
                <w:szCs w:val="20"/>
              </w:rPr>
            </w:pPr>
          </w:p>
        </w:tc>
        <w:tc>
          <w:tcPr>
            <w:tcW w:w="447" w:type="pct"/>
            <w:tcMar>
              <w:top w:w="60" w:type="dxa"/>
              <w:left w:w="120" w:type="dxa"/>
              <w:bottom w:w="30" w:type="dxa"/>
              <w:right w:w="120" w:type="dxa"/>
            </w:tcMar>
            <w:vAlign w:val="center"/>
          </w:tcPr>
          <w:p w14:paraId="33953F33">
            <w:pPr>
              <w:jc w:val="center"/>
              <w:rPr>
                <w:rFonts w:ascii="仿宋" w:hAnsi="仿宋" w:eastAsia="仿宋" w:cs="仿宋"/>
                <w:sz w:val="20"/>
                <w:szCs w:val="20"/>
              </w:rPr>
            </w:pPr>
            <w:r>
              <w:rPr>
                <w:rFonts w:hint="eastAsia" w:ascii="仿宋" w:hAnsi="仿宋" w:eastAsia="仿宋" w:cs="仿宋"/>
                <w:sz w:val="20"/>
                <w:szCs w:val="20"/>
              </w:rPr>
              <w:t>2</w:t>
            </w:r>
          </w:p>
        </w:tc>
        <w:tc>
          <w:tcPr>
            <w:tcW w:w="2612" w:type="pct"/>
            <w:tcMar>
              <w:top w:w="60" w:type="dxa"/>
              <w:left w:w="120" w:type="dxa"/>
              <w:bottom w:w="30" w:type="dxa"/>
              <w:right w:w="120" w:type="dxa"/>
            </w:tcMar>
            <w:vAlign w:val="center"/>
          </w:tcPr>
          <w:p w14:paraId="67971980">
            <w:pPr>
              <w:rPr>
                <w:rFonts w:ascii="仿宋" w:hAnsi="仿宋" w:eastAsia="仿宋" w:cs="仿宋"/>
                <w:sz w:val="20"/>
                <w:szCs w:val="20"/>
              </w:rPr>
            </w:pPr>
            <w:r>
              <w:rPr>
                <w:rFonts w:hint="eastAsia" w:ascii="仿宋" w:hAnsi="仿宋" w:eastAsia="仿宋" w:cs="仿宋"/>
                <w:sz w:val="20"/>
                <w:szCs w:val="20"/>
              </w:rPr>
              <w:t>因政策变化需调整接口、报表，未及时完成适配更新的，扣 2 分 / 次，扣完为止</w:t>
            </w:r>
          </w:p>
        </w:tc>
      </w:tr>
      <w:tr w14:paraId="66B9C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restart"/>
            <w:tcMar>
              <w:top w:w="60" w:type="dxa"/>
              <w:left w:w="120" w:type="dxa"/>
              <w:bottom w:w="30" w:type="dxa"/>
              <w:right w:w="120" w:type="dxa"/>
            </w:tcMar>
            <w:vAlign w:val="center"/>
          </w:tcPr>
          <w:p w14:paraId="24347C8D">
            <w:pPr>
              <w:jc w:val="center"/>
              <w:rPr>
                <w:rFonts w:ascii="仿宋" w:hAnsi="仿宋" w:eastAsia="仿宋" w:cs="仿宋"/>
                <w:sz w:val="20"/>
                <w:szCs w:val="20"/>
              </w:rPr>
            </w:pPr>
            <w:r>
              <w:rPr>
                <w:rFonts w:hint="eastAsia" w:ascii="仿宋" w:hAnsi="仿宋" w:eastAsia="仿宋" w:cs="仿宋"/>
                <w:sz w:val="20"/>
                <w:szCs w:val="20"/>
              </w:rPr>
              <w:t>3</w:t>
            </w:r>
          </w:p>
        </w:tc>
        <w:tc>
          <w:tcPr>
            <w:tcW w:w="671" w:type="pct"/>
            <w:vMerge w:val="restart"/>
            <w:tcMar>
              <w:top w:w="60" w:type="dxa"/>
              <w:left w:w="120" w:type="dxa"/>
              <w:bottom w:w="30" w:type="dxa"/>
              <w:right w:w="120" w:type="dxa"/>
            </w:tcMar>
            <w:vAlign w:val="center"/>
          </w:tcPr>
          <w:p w14:paraId="0B366826">
            <w:pPr>
              <w:jc w:val="center"/>
              <w:rPr>
                <w:rFonts w:ascii="仿宋" w:hAnsi="仿宋" w:eastAsia="仿宋" w:cs="仿宋"/>
                <w:sz w:val="20"/>
                <w:szCs w:val="20"/>
              </w:rPr>
            </w:pPr>
            <w:r>
              <w:rPr>
                <w:rFonts w:hint="eastAsia" w:ascii="仿宋" w:hAnsi="仿宋" w:eastAsia="仿宋" w:cs="仿宋"/>
                <w:sz w:val="20"/>
                <w:szCs w:val="20"/>
              </w:rPr>
              <w:t>系统升级与合规服务</w:t>
            </w:r>
          </w:p>
          <w:p w14:paraId="307A0660">
            <w:pPr>
              <w:jc w:val="center"/>
              <w:rPr>
                <w:rFonts w:ascii="仿宋" w:hAnsi="仿宋" w:eastAsia="仿宋" w:cs="仿宋"/>
                <w:sz w:val="20"/>
                <w:szCs w:val="20"/>
              </w:rPr>
            </w:pPr>
            <w:r>
              <w:rPr>
                <w:rFonts w:hint="eastAsia" w:ascii="仿宋" w:hAnsi="仿宋" w:eastAsia="仿宋" w:cs="仿宋"/>
                <w:sz w:val="20"/>
                <w:szCs w:val="20"/>
              </w:rPr>
              <w:t>（8 分）</w:t>
            </w:r>
          </w:p>
        </w:tc>
        <w:tc>
          <w:tcPr>
            <w:tcW w:w="596" w:type="pct"/>
            <w:vMerge w:val="restart"/>
            <w:tcMar>
              <w:top w:w="60" w:type="dxa"/>
              <w:left w:w="120" w:type="dxa"/>
              <w:bottom w:w="30" w:type="dxa"/>
              <w:right w:w="120" w:type="dxa"/>
            </w:tcMar>
            <w:vAlign w:val="center"/>
          </w:tcPr>
          <w:p w14:paraId="51B8872D">
            <w:pPr>
              <w:jc w:val="center"/>
              <w:rPr>
                <w:rFonts w:ascii="仿宋" w:hAnsi="仿宋" w:eastAsia="仿宋" w:cs="仿宋"/>
                <w:sz w:val="20"/>
                <w:szCs w:val="20"/>
              </w:rPr>
            </w:pPr>
            <w:r>
              <w:rPr>
                <w:rFonts w:hint="eastAsia" w:ascii="仿宋" w:hAnsi="仿宋" w:eastAsia="仿宋" w:cs="仿宋"/>
                <w:sz w:val="20"/>
                <w:szCs w:val="20"/>
              </w:rPr>
              <w:t>系统升级与补丁更新服务</w:t>
            </w:r>
          </w:p>
        </w:tc>
        <w:tc>
          <w:tcPr>
            <w:tcW w:w="373" w:type="pct"/>
            <w:vMerge w:val="restart"/>
            <w:tcMar>
              <w:top w:w="60" w:type="dxa"/>
              <w:left w:w="120" w:type="dxa"/>
              <w:bottom w:w="30" w:type="dxa"/>
              <w:right w:w="120" w:type="dxa"/>
            </w:tcMar>
            <w:vAlign w:val="center"/>
          </w:tcPr>
          <w:p w14:paraId="4759D1CF">
            <w:pPr>
              <w:jc w:val="center"/>
              <w:rPr>
                <w:rFonts w:ascii="仿宋" w:hAnsi="仿宋" w:eastAsia="仿宋" w:cs="仿宋"/>
                <w:sz w:val="20"/>
                <w:szCs w:val="20"/>
              </w:rPr>
            </w:pPr>
            <w:r>
              <w:rPr>
                <w:rFonts w:hint="eastAsia" w:ascii="仿宋" w:hAnsi="仿宋" w:eastAsia="仿宋" w:cs="仿宋"/>
                <w:sz w:val="20"/>
                <w:szCs w:val="20"/>
              </w:rPr>
              <w:t>5</w:t>
            </w:r>
          </w:p>
        </w:tc>
        <w:tc>
          <w:tcPr>
            <w:tcW w:w="447" w:type="pct"/>
            <w:tcMar>
              <w:top w:w="60" w:type="dxa"/>
              <w:left w:w="120" w:type="dxa"/>
              <w:bottom w:w="30" w:type="dxa"/>
              <w:right w:w="120" w:type="dxa"/>
            </w:tcMar>
            <w:vAlign w:val="center"/>
          </w:tcPr>
          <w:p w14:paraId="39FAF36B">
            <w:pPr>
              <w:jc w:val="center"/>
              <w:rPr>
                <w:rFonts w:ascii="仿宋" w:hAnsi="仿宋" w:eastAsia="仿宋" w:cs="仿宋"/>
                <w:sz w:val="20"/>
                <w:szCs w:val="20"/>
              </w:rPr>
            </w:pPr>
            <w:r>
              <w:rPr>
                <w:rFonts w:hint="eastAsia" w:ascii="仿宋" w:hAnsi="仿宋" w:eastAsia="仿宋" w:cs="仿宋"/>
                <w:sz w:val="20"/>
                <w:szCs w:val="20"/>
              </w:rPr>
              <w:t>2</w:t>
            </w:r>
          </w:p>
        </w:tc>
        <w:tc>
          <w:tcPr>
            <w:tcW w:w="2612" w:type="pct"/>
            <w:tcMar>
              <w:top w:w="60" w:type="dxa"/>
              <w:left w:w="120" w:type="dxa"/>
              <w:bottom w:w="30" w:type="dxa"/>
              <w:right w:w="120" w:type="dxa"/>
            </w:tcMar>
            <w:vAlign w:val="center"/>
          </w:tcPr>
          <w:p w14:paraId="0B7F8934">
            <w:pPr>
              <w:rPr>
                <w:rFonts w:ascii="仿宋" w:hAnsi="仿宋" w:eastAsia="仿宋" w:cs="仿宋"/>
                <w:sz w:val="20"/>
                <w:szCs w:val="20"/>
              </w:rPr>
            </w:pPr>
            <w:r>
              <w:rPr>
                <w:rFonts w:hint="eastAsia" w:ascii="仿宋" w:hAnsi="仿宋" w:eastAsia="仿宋" w:cs="仿宋"/>
                <w:sz w:val="20"/>
                <w:szCs w:val="20"/>
              </w:rPr>
              <w:t>未成立升级服务专班、组织架构不合理、技术能力不达标，扣 2 分</w:t>
            </w:r>
          </w:p>
        </w:tc>
      </w:tr>
      <w:tr w14:paraId="04CFF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4431BC8A">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110A0297">
            <w:pPr>
              <w:jc w:val="center"/>
              <w:rPr>
                <w:rFonts w:ascii="仿宋" w:hAnsi="仿宋" w:eastAsia="仿宋" w:cs="仿宋"/>
                <w:sz w:val="20"/>
                <w:szCs w:val="20"/>
              </w:rPr>
            </w:pPr>
          </w:p>
        </w:tc>
        <w:tc>
          <w:tcPr>
            <w:tcW w:w="596" w:type="pct"/>
            <w:vMerge w:val="continue"/>
            <w:tcMar>
              <w:top w:w="60" w:type="dxa"/>
              <w:left w:w="120" w:type="dxa"/>
              <w:bottom w:w="30" w:type="dxa"/>
              <w:right w:w="120" w:type="dxa"/>
            </w:tcMar>
            <w:vAlign w:val="center"/>
          </w:tcPr>
          <w:p w14:paraId="765D9DA8">
            <w:pPr>
              <w:jc w:val="center"/>
              <w:rPr>
                <w:rFonts w:ascii="仿宋" w:hAnsi="仿宋" w:eastAsia="仿宋" w:cs="仿宋"/>
                <w:sz w:val="20"/>
                <w:szCs w:val="20"/>
              </w:rPr>
            </w:pPr>
          </w:p>
        </w:tc>
        <w:tc>
          <w:tcPr>
            <w:tcW w:w="373" w:type="pct"/>
            <w:vMerge w:val="continue"/>
            <w:tcMar>
              <w:top w:w="60" w:type="dxa"/>
              <w:left w:w="120" w:type="dxa"/>
              <w:bottom w:w="30" w:type="dxa"/>
              <w:right w:w="120" w:type="dxa"/>
            </w:tcMar>
            <w:vAlign w:val="center"/>
          </w:tcPr>
          <w:p w14:paraId="4FC3751F">
            <w:pPr>
              <w:jc w:val="center"/>
              <w:rPr>
                <w:rFonts w:ascii="仿宋" w:hAnsi="仿宋" w:eastAsia="仿宋" w:cs="仿宋"/>
                <w:sz w:val="20"/>
                <w:szCs w:val="20"/>
              </w:rPr>
            </w:pPr>
          </w:p>
        </w:tc>
        <w:tc>
          <w:tcPr>
            <w:tcW w:w="447" w:type="pct"/>
            <w:tcMar>
              <w:top w:w="60" w:type="dxa"/>
              <w:left w:w="120" w:type="dxa"/>
              <w:bottom w:w="30" w:type="dxa"/>
              <w:right w:w="120" w:type="dxa"/>
            </w:tcMar>
            <w:vAlign w:val="center"/>
          </w:tcPr>
          <w:p w14:paraId="194540F6">
            <w:pPr>
              <w:jc w:val="center"/>
              <w:rPr>
                <w:rFonts w:ascii="仿宋" w:hAnsi="仿宋" w:eastAsia="仿宋" w:cs="仿宋"/>
                <w:sz w:val="20"/>
                <w:szCs w:val="20"/>
              </w:rPr>
            </w:pPr>
            <w:r>
              <w:rPr>
                <w:rFonts w:hint="eastAsia" w:ascii="仿宋" w:hAnsi="仿宋" w:eastAsia="仿宋" w:cs="仿宋"/>
                <w:sz w:val="20"/>
                <w:szCs w:val="20"/>
              </w:rPr>
              <w:t>3</w:t>
            </w:r>
          </w:p>
        </w:tc>
        <w:tc>
          <w:tcPr>
            <w:tcW w:w="2612" w:type="pct"/>
            <w:tcMar>
              <w:top w:w="60" w:type="dxa"/>
              <w:left w:w="120" w:type="dxa"/>
              <w:bottom w:w="30" w:type="dxa"/>
              <w:right w:w="120" w:type="dxa"/>
            </w:tcMar>
            <w:vAlign w:val="center"/>
          </w:tcPr>
          <w:p w14:paraId="5D31A40B">
            <w:pPr>
              <w:rPr>
                <w:rFonts w:ascii="仿宋" w:hAnsi="仿宋" w:eastAsia="仿宋" w:cs="仿宋"/>
                <w:sz w:val="20"/>
                <w:szCs w:val="20"/>
              </w:rPr>
            </w:pPr>
            <w:r>
              <w:rPr>
                <w:rFonts w:hint="eastAsia" w:ascii="仿宋" w:hAnsi="仿宋" w:eastAsia="仿宋" w:cs="仿宋"/>
                <w:sz w:val="20"/>
                <w:szCs w:val="20"/>
              </w:rPr>
              <w:t>未按要求完成系统安全补丁更新、政策合规适配升级，升级过程出现重大故障、影响业务的，扣 3 分</w:t>
            </w:r>
          </w:p>
        </w:tc>
      </w:tr>
      <w:tr w14:paraId="4B10D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5DE4D90F">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3326E14A">
            <w:pPr>
              <w:jc w:val="center"/>
              <w:rPr>
                <w:rFonts w:ascii="仿宋" w:hAnsi="仿宋" w:eastAsia="仿宋" w:cs="仿宋"/>
                <w:sz w:val="20"/>
                <w:szCs w:val="20"/>
              </w:rPr>
            </w:pPr>
          </w:p>
        </w:tc>
        <w:tc>
          <w:tcPr>
            <w:tcW w:w="596" w:type="pct"/>
            <w:vMerge w:val="restart"/>
            <w:tcMar>
              <w:top w:w="60" w:type="dxa"/>
              <w:left w:w="120" w:type="dxa"/>
              <w:bottom w:w="30" w:type="dxa"/>
              <w:right w:w="120" w:type="dxa"/>
            </w:tcMar>
            <w:vAlign w:val="center"/>
          </w:tcPr>
          <w:p w14:paraId="188F0A32">
            <w:pPr>
              <w:jc w:val="center"/>
              <w:rPr>
                <w:rFonts w:ascii="仿宋" w:hAnsi="仿宋" w:eastAsia="仿宋" w:cs="仿宋"/>
                <w:sz w:val="20"/>
                <w:szCs w:val="20"/>
              </w:rPr>
            </w:pPr>
            <w:r>
              <w:rPr>
                <w:rFonts w:hint="eastAsia" w:ascii="仿宋" w:hAnsi="仿宋" w:eastAsia="仿宋" w:cs="仿宋"/>
                <w:sz w:val="20"/>
                <w:szCs w:val="20"/>
              </w:rPr>
              <w:t>升级服务质量</w:t>
            </w:r>
          </w:p>
        </w:tc>
        <w:tc>
          <w:tcPr>
            <w:tcW w:w="373" w:type="pct"/>
            <w:vMerge w:val="restart"/>
            <w:tcMar>
              <w:top w:w="60" w:type="dxa"/>
              <w:left w:w="120" w:type="dxa"/>
              <w:bottom w:w="30" w:type="dxa"/>
              <w:right w:w="120" w:type="dxa"/>
            </w:tcMar>
            <w:vAlign w:val="center"/>
          </w:tcPr>
          <w:p w14:paraId="3CDE6C61">
            <w:pPr>
              <w:jc w:val="center"/>
              <w:rPr>
                <w:rFonts w:ascii="仿宋" w:hAnsi="仿宋" w:eastAsia="仿宋" w:cs="仿宋"/>
                <w:sz w:val="20"/>
                <w:szCs w:val="20"/>
              </w:rPr>
            </w:pPr>
            <w:r>
              <w:rPr>
                <w:rFonts w:hint="eastAsia" w:ascii="仿宋" w:hAnsi="仿宋" w:eastAsia="仿宋" w:cs="仿宋"/>
                <w:sz w:val="20"/>
                <w:szCs w:val="20"/>
              </w:rPr>
              <w:t>3</w:t>
            </w:r>
          </w:p>
        </w:tc>
        <w:tc>
          <w:tcPr>
            <w:tcW w:w="447" w:type="pct"/>
            <w:tcMar>
              <w:top w:w="60" w:type="dxa"/>
              <w:left w:w="120" w:type="dxa"/>
              <w:bottom w:w="30" w:type="dxa"/>
              <w:right w:w="120" w:type="dxa"/>
            </w:tcMar>
            <w:vAlign w:val="center"/>
          </w:tcPr>
          <w:p w14:paraId="5C4904AB">
            <w:pPr>
              <w:jc w:val="center"/>
              <w:rPr>
                <w:rFonts w:ascii="仿宋" w:hAnsi="仿宋" w:eastAsia="仿宋" w:cs="仿宋"/>
                <w:sz w:val="20"/>
                <w:szCs w:val="20"/>
              </w:rPr>
            </w:pPr>
            <w:r>
              <w:rPr>
                <w:rFonts w:hint="eastAsia" w:ascii="仿宋" w:hAnsi="仿宋" w:eastAsia="仿宋" w:cs="仿宋"/>
                <w:sz w:val="20"/>
                <w:szCs w:val="20"/>
              </w:rPr>
              <w:t>1</w:t>
            </w:r>
          </w:p>
        </w:tc>
        <w:tc>
          <w:tcPr>
            <w:tcW w:w="2612" w:type="pct"/>
            <w:tcMar>
              <w:top w:w="60" w:type="dxa"/>
              <w:left w:w="120" w:type="dxa"/>
              <w:bottom w:w="30" w:type="dxa"/>
              <w:right w:w="120" w:type="dxa"/>
            </w:tcMar>
            <w:vAlign w:val="center"/>
          </w:tcPr>
          <w:p w14:paraId="6F8452D4">
            <w:pPr>
              <w:rPr>
                <w:rFonts w:ascii="仿宋" w:hAnsi="仿宋" w:eastAsia="仿宋" w:cs="仿宋"/>
                <w:sz w:val="20"/>
                <w:szCs w:val="20"/>
              </w:rPr>
            </w:pPr>
            <w:r>
              <w:rPr>
                <w:rFonts w:hint="eastAsia" w:ascii="仿宋" w:hAnsi="仿宋" w:eastAsia="仿宋" w:cs="仿宋"/>
                <w:sz w:val="20"/>
                <w:szCs w:val="20"/>
              </w:rPr>
              <w:t>升级服务日志、测试报告、实施方案等资料不完整的，扣 1 分 / 次，扣完为止</w:t>
            </w:r>
          </w:p>
        </w:tc>
      </w:tr>
      <w:tr w14:paraId="753E4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4E841396">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502DAA58">
            <w:pPr>
              <w:jc w:val="center"/>
              <w:rPr>
                <w:rFonts w:ascii="仿宋" w:hAnsi="仿宋" w:eastAsia="仿宋" w:cs="仿宋"/>
                <w:sz w:val="20"/>
                <w:szCs w:val="20"/>
              </w:rPr>
            </w:pPr>
          </w:p>
        </w:tc>
        <w:tc>
          <w:tcPr>
            <w:tcW w:w="596" w:type="pct"/>
            <w:vMerge w:val="continue"/>
            <w:tcMar>
              <w:top w:w="60" w:type="dxa"/>
              <w:left w:w="120" w:type="dxa"/>
              <w:bottom w:w="30" w:type="dxa"/>
              <w:right w:w="120" w:type="dxa"/>
            </w:tcMar>
            <w:vAlign w:val="center"/>
          </w:tcPr>
          <w:p w14:paraId="652443B6">
            <w:pPr>
              <w:jc w:val="center"/>
              <w:rPr>
                <w:rFonts w:ascii="仿宋" w:hAnsi="仿宋" w:eastAsia="仿宋" w:cs="仿宋"/>
                <w:sz w:val="20"/>
                <w:szCs w:val="20"/>
              </w:rPr>
            </w:pPr>
          </w:p>
        </w:tc>
        <w:tc>
          <w:tcPr>
            <w:tcW w:w="373" w:type="pct"/>
            <w:vMerge w:val="continue"/>
            <w:tcMar>
              <w:top w:w="60" w:type="dxa"/>
              <w:left w:w="120" w:type="dxa"/>
              <w:bottom w:w="30" w:type="dxa"/>
              <w:right w:w="120" w:type="dxa"/>
            </w:tcMar>
            <w:vAlign w:val="center"/>
          </w:tcPr>
          <w:p w14:paraId="4FC44BA9">
            <w:pPr>
              <w:jc w:val="center"/>
              <w:rPr>
                <w:rFonts w:ascii="仿宋" w:hAnsi="仿宋" w:eastAsia="仿宋" w:cs="仿宋"/>
                <w:sz w:val="20"/>
                <w:szCs w:val="20"/>
              </w:rPr>
            </w:pPr>
          </w:p>
        </w:tc>
        <w:tc>
          <w:tcPr>
            <w:tcW w:w="447" w:type="pct"/>
            <w:tcMar>
              <w:top w:w="60" w:type="dxa"/>
              <w:left w:w="120" w:type="dxa"/>
              <w:bottom w:w="30" w:type="dxa"/>
              <w:right w:w="120" w:type="dxa"/>
            </w:tcMar>
            <w:vAlign w:val="center"/>
          </w:tcPr>
          <w:p w14:paraId="51D18C0E">
            <w:pPr>
              <w:jc w:val="center"/>
              <w:rPr>
                <w:rFonts w:ascii="仿宋" w:hAnsi="仿宋" w:eastAsia="仿宋" w:cs="仿宋"/>
                <w:sz w:val="20"/>
                <w:szCs w:val="20"/>
              </w:rPr>
            </w:pPr>
            <w:r>
              <w:rPr>
                <w:rFonts w:hint="eastAsia" w:ascii="仿宋" w:hAnsi="仿宋" w:eastAsia="仿宋" w:cs="仿宋"/>
                <w:sz w:val="20"/>
                <w:szCs w:val="20"/>
              </w:rPr>
              <w:t>2</w:t>
            </w:r>
          </w:p>
        </w:tc>
        <w:tc>
          <w:tcPr>
            <w:tcW w:w="2612" w:type="pct"/>
            <w:tcMar>
              <w:top w:w="60" w:type="dxa"/>
              <w:left w:w="120" w:type="dxa"/>
              <w:bottom w:w="30" w:type="dxa"/>
              <w:right w:w="120" w:type="dxa"/>
            </w:tcMar>
            <w:vAlign w:val="center"/>
          </w:tcPr>
          <w:p w14:paraId="1D4DA0EF">
            <w:pPr>
              <w:rPr>
                <w:rFonts w:ascii="仿宋" w:hAnsi="仿宋" w:eastAsia="仿宋" w:cs="仿宋"/>
                <w:sz w:val="20"/>
                <w:szCs w:val="20"/>
              </w:rPr>
            </w:pPr>
            <w:r>
              <w:rPr>
                <w:rFonts w:hint="eastAsia" w:ascii="仿宋" w:hAnsi="仿宋" w:eastAsia="仿宋" w:cs="仿宋"/>
                <w:sz w:val="20"/>
                <w:szCs w:val="20"/>
              </w:rPr>
              <w:t>升级后出现遗留问题、使用部门评价达标率＜90% 的，扣 1 分 / 次，扣完为止</w:t>
            </w:r>
          </w:p>
        </w:tc>
      </w:tr>
      <w:tr w14:paraId="79B7C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restart"/>
            <w:tcMar>
              <w:top w:w="60" w:type="dxa"/>
              <w:left w:w="120" w:type="dxa"/>
              <w:bottom w:w="30" w:type="dxa"/>
              <w:right w:w="120" w:type="dxa"/>
            </w:tcMar>
            <w:vAlign w:val="center"/>
          </w:tcPr>
          <w:p w14:paraId="7E8DBBFA">
            <w:pPr>
              <w:jc w:val="center"/>
              <w:rPr>
                <w:rFonts w:ascii="仿宋" w:hAnsi="仿宋" w:eastAsia="仿宋" w:cs="仿宋"/>
                <w:sz w:val="20"/>
                <w:szCs w:val="20"/>
              </w:rPr>
            </w:pPr>
            <w:r>
              <w:rPr>
                <w:rFonts w:hint="eastAsia" w:ascii="仿宋" w:hAnsi="仿宋" w:eastAsia="仿宋" w:cs="仿宋"/>
                <w:sz w:val="20"/>
                <w:szCs w:val="20"/>
              </w:rPr>
              <w:t>4</w:t>
            </w:r>
          </w:p>
        </w:tc>
        <w:tc>
          <w:tcPr>
            <w:tcW w:w="671" w:type="pct"/>
            <w:vMerge w:val="restart"/>
            <w:tcMar>
              <w:top w:w="60" w:type="dxa"/>
              <w:left w:w="120" w:type="dxa"/>
              <w:bottom w:w="30" w:type="dxa"/>
              <w:right w:w="120" w:type="dxa"/>
            </w:tcMar>
            <w:vAlign w:val="center"/>
          </w:tcPr>
          <w:p w14:paraId="76D0C345">
            <w:pPr>
              <w:jc w:val="center"/>
              <w:rPr>
                <w:rFonts w:ascii="仿宋" w:hAnsi="仿宋" w:eastAsia="仿宋" w:cs="仿宋"/>
                <w:sz w:val="20"/>
                <w:szCs w:val="20"/>
              </w:rPr>
            </w:pPr>
            <w:r>
              <w:rPr>
                <w:rFonts w:hint="eastAsia" w:ascii="仿宋" w:hAnsi="仿宋" w:eastAsia="仿宋" w:cs="仿宋"/>
                <w:sz w:val="20"/>
                <w:szCs w:val="20"/>
              </w:rPr>
              <w:t>网络与数据安全服务</w:t>
            </w:r>
          </w:p>
          <w:p w14:paraId="296ABB41">
            <w:pPr>
              <w:jc w:val="center"/>
              <w:rPr>
                <w:rFonts w:ascii="仿宋" w:hAnsi="仿宋" w:eastAsia="仿宋" w:cs="仿宋"/>
                <w:sz w:val="20"/>
                <w:szCs w:val="20"/>
              </w:rPr>
            </w:pPr>
            <w:r>
              <w:rPr>
                <w:rFonts w:hint="eastAsia" w:ascii="仿宋" w:hAnsi="仿宋" w:eastAsia="仿宋" w:cs="仿宋"/>
                <w:sz w:val="20"/>
                <w:szCs w:val="20"/>
              </w:rPr>
              <w:t>（25 分）</w:t>
            </w:r>
          </w:p>
        </w:tc>
        <w:tc>
          <w:tcPr>
            <w:tcW w:w="596" w:type="pct"/>
            <w:vMerge w:val="restart"/>
            <w:tcMar>
              <w:top w:w="60" w:type="dxa"/>
              <w:left w:w="120" w:type="dxa"/>
              <w:bottom w:w="30" w:type="dxa"/>
              <w:right w:w="120" w:type="dxa"/>
            </w:tcMar>
            <w:vAlign w:val="center"/>
          </w:tcPr>
          <w:p w14:paraId="00550378">
            <w:pPr>
              <w:jc w:val="center"/>
              <w:rPr>
                <w:rFonts w:ascii="仿宋" w:hAnsi="仿宋" w:eastAsia="仿宋" w:cs="仿宋"/>
                <w:sz w:val="20"/>
                <w:szCs w:val="20"/>
              </w:rPr>
            </w:pPr>
            <w:r>
              <w:rPr>
                <w:rFonts w:hint="eastAsia" w:ascii="仿宋" w:hAnsi="仿宋" w:eastAsia="仿宋" w:cs="仿宋"/>
                <w:sz w:val="20"/>
                <w:szCs w:val="20"/>
              </w:rPr>
              <w:t>网络安全与等保合规服务</w:t>
            </w:r>
          </w:p>
        </w:tc>
        <w:tc>
          <w:tcPr>
            <w:tcW w:w="373" w:type="pct"/>
            <w:vMerge w:val="restart"/>
            <w:tcMar>
              <w:top w:w="60" w:type="dxa"/>
              <w:left w:w="120" w:type="dxa"/>
              <w:bottom w:w="30" w:type="dxa"/>
              <w:right w:w="120" w:type="dxa"/>
            </w:tcMar>
            <w:vAlign w:val="center"/>
          </w:tcPr>
          <w:p w14:paraId="03CCBE29">
            <w:pPr>
              <w:jc w:val="center"/>
              <w:rPr>
                <w:rFonts w:ascii="仿宋" w:hAnsi="仿宋" w:eastAsia="仿宋" w:cs="仿宋"/>
                <w:sz w:val="20"/>
                <w:szCs w:val="20"/>
              </w:rPr>
            </w:pPr>
            <w:r>
              <w:rPr>
                <w:rFonts w:hint="eastAsia" w:ascii="仿宋" w:hAnsi="仿宋" w:eastAsia="仿宋" w:cs="仿宋"/>
                <w:sz w:val="20"/>
                <w:szCs w:val="20"/>
              </w:rPr>
              <w:t>10</w:t>
            </w:r>
          </w:p>
        </w:tc>
        <w:tc>
          <w:tcPr>
            <w:tcW w:w="447" w:type="pct"/>
            <w:tcMar>
              <w:top w:w="60" w:type="dxa"/>
              <w:left w:w="120" w:type="dxa"/>
              <w:bottom w:w="30" w:type="dxa"/>
              <w:right w:w="120" w:type="dxa"/>
            </w:tcMar>
            <w:vAlign w:val="center"/>
          </w:tcPr>
          <w:p w14:paraId="4FA3C8DB">
            <w:pPr>
              <w:jc w:val="center"/>
              <w:rPr>
                <w:rFonts w:ascii="仿宋" w:hAnsi="仿宋" w:eastAsia="仿宋" w:cs="仿宋"/>
                <w:sz w:val="20"/>
                <w:szCs w:val="20"/>
              </w:rPr>
            </w:pPr>
            <w:r>
              <w:rPr>
                <w:rFonts w:hint="eastAsia" w:ascii="仿宋" w:hAnsi="仿宋" w:eastAsia="仿宋" w:cs="仿宋"/>
                <w:sz w:val="20"/>
                <w:szCs w:val="20"/>
              </w:rPr>
              <w:t>1</w:t>
            </w:r>
          </w:p>
        </w:tc>
        <w:tc>
          <w:tcPr>
            <w:tcW w:w="2612" w:type="pct"/>
            <w:tcMar>
              <w:top w:w="60" w:type="dxa"/>
              <w:left w:w="120" w:type="dxa"/>
              <w:bottom w:w="30" w:type="dxa"/>
              <w:right w:w="120" w:type="dxa"/>
            </w:tcMar>
            <w:vAlign w:val="center"/>
          </w:tcPr>
          <w:p w14:paraId="2BB0BDFE">
            <w:pPr>
              <w:rPr>
                <w:rFonts w:ascii="仿宋" w:hAnsi="仿宋" w:eastAsia="仿宋" w:cs="仿宋"/>
                <w:sz w:val="20"/>
                <w:szCs w:val="20"/>
              </w:rPr>
            </w:pPr>
            <w:r>
              <w:rPr>
                <w:rFonts w:hint="eastAsia" w:ascii="仿宋" w:hAnsi="仿宋" w:eastAsia="仿宋" w:cs="仿宋"/>
                <w:sz w:val="20"/>
                <w:szCs w:val="20"/>
              </w:rPr>
              <w:t>未成立安全整改专班、未按等保测评要求制定整改方案的，扣 1 分</w:t>
            </w:r>
          </w:p>
        </w:tc>
      </w:tr>
      <w:tr w14:paraId="443F8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24C1E786">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486BCE50">
            <w:pPr>
              <w:jc w:val="center"/>
              <w:rPr>
                <w:rFonts w:ascii="仿宋" w:hAnsi="仿宋" w:eastAsia="仿宋" w:cs="仿宋"/>
                <w:sz w:val="20"/>
                <w:szCs w:val="20"/>
              </w:rPr>
            </w:pPr>
          </w:p>
        </w:tc>
        <w:tc>
          <w:tcPr>
            <w:tcW w:w="596" w:type="pct"/>
            <w:vMerge w:val="continue"/>
            <w:tcMar>
              <w:top w:w="60" w:type="dxa"/>
              <w:left w:w="120" w:type="dxa"/>
              <w:bottom w:w="30" w:type="dxa"/>
              <w:right w:w="120" w:type="dxa"/>
            </w:tcMar>
            <w:vAlign w:val="center"/>
          </w:tcPr>
          <w:p w14:paraId="689DD0D8">
            <w:pPr>
              <w:jc w:val="center"/>
              <w:rPr>
                <w:rFonts w:ascii="仿宋" w:hAnsi="仿宋" w:eastAsia="仿宋" w:cs="仿宋"/>
                <w:sz w:val="20"/>
                <w:szCs w:val="20"/>
              </w:rPr>
            </w:pPr>
          </w:p>
        </w:tc>
        <w:tc>
          <w:tcPr>
            <w:tcW w:w="373" w:type="pct"/>
            <w:vMerge w:val="continue"/>
            <w:tcMar>
              <w:top w:w="60" w:type="dxa"/>
              <w:left w:w="120" w:type="dxa"/>
              <w:bottom w:w="30" w:type="dxa"/>
              <w:right w:w="120" w:type="dxa"/>
            </w:tcMar>
            <w:vAlign w:val="center"/>
          </w:tcPr>
          <w:p w14:paraId="7BA2C184">
            <w:pPr>
              <w:jc w:val="center"/>
              <w:rPr>
                <w:rFonts w:ascii="仿宋" w:hAnsi="仿宋" w:eastAsia="仿宋" w:cs="仿宋"/>
                <w:sz w:val="20"/>
                <w:szCs w:val="20"/>
              </w:rPr>
            </w:pPr>
          </w:p>
        </w:tc>
        <w:tc>
          <w:tcPr>
            <w:tcW w:w="447" w:type="pct"/>
            <w:tcMar>
              <w:top w:w="60" w:type="dxa"/>
              <w:left w:w="120" w:type="dxa"/>
              <w:bottom w:w="30" w:type="dxa"/>
              <w:right w:w="120" w:type="dxa"/>
            </w:tcMar>
            <w:vAlign w:val="center"/>
          </w:tcPr>
          <w:p w14:paraId="01C384B6">
            <w:pPr>
              <w:jc w:val="center"/>
              <w:rPr>
                <w:rFonts w:ascii="仿宋" w:hAnsi="仿宋" w:eastAsia="仿宋" w:cs="仿宋"/>
                <w:sz w:val="20"/>
                <w:szCs w:val="20"/>
              </w:rPr>
            </w:pPr>
            <w:r>
              <w:rPr>
                <w:rFonts w:hint="eastAsia" w:ascii="仿宋" w:hAnsi="仿宋" w:eastAsia="仿宋" w:cs="仿宋"/>
                <w:sz w:val="20"/>
                <w:szCs w:val="20"/>
              </w:rPr>
              <w:t>6</w:t>
            </w:r>
          </w:p>
        </w:tc>
        <w:tc>
          <w:tcPr>
            <w:tcW w:w="2612" w:type="pct"/>
            <w:tcMar>
              <w:top w:w="60" w:type="dxa"/>
              <w:left w:w="120" w:type="dxa"/>
              <w:bottom w:w="30" w:type="dxa"/>
              <w:right w:w="120" w:type="dxa"/>
            </w:tcMar>
            <w:vAlign w:val="center"/>
          </w:tcPr>
          <w:p w14:paraId="228DBEFA">
            <w:pPr>
              <w:rPr>
                <w:rFonts w:ascii="仿宋" w:hAnsi="仿宋" w:eastAsia="仿宋" w:cs="仿宋"/>
                <w:sz w:val="20"/>
                <w:szCs w:val="20"/>
              </w:rPr>
            </w:pPr>
            <w:r>
              <w:rPr>
                <w:rFonts w:hint="eastAsia" w:ascii="仿宋" w:hAnsi="仿宋" w:eastAsia="仿宋" w:cs="仿宋"/>
                <w:sz w:val="20"/>
                <w:szCs w:val="20"/>
              </w:rPr>
              <w:t>未按要求完成等保测评问题整改、整改不及时不到位的，扣 2 分 / 次，扣完为止</w:t>
            </w:r>
          </w:p>
        </w:tc>
      </w:tr>
      <w:tr w14:paraId="0E833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7DF115A0">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20A9E908">
            <w:pPr>
              <w:jc w:val="center"/>
              <w:rPr>
                <w:rFonts w:ascii="仿宋" w:hAnsi="仿宋" w:eastAsia="仿宋" w:cs="仿宋"/>
                <w:sz w:val="20"/>
                <w:szCs w:val="20"/>
              </w:rPr>
            </w:pPr>
          </w:p>
        </w:tc>
        <w:tc>
          <w:tcPr>
            <w:tcW w:w="596" w:type="pct"/>
            <w:vMerge w:val="continue"/>
            <w:tcMar>
              <w:top w:w="60" w:type="dxa"/>
              <w:left w:w="120" w:type="dxa"/>
              <w:bottom w:w="30" w:type="dxa"/>
              <w:right w:w="120" w:type="dxa"/>
            </w:tcMar>
            <w:vAlign w:val="center"/>
          </w:tcPr>
          <w:p w14:paraId="2149FFB7">
            <w:pPr>
              <w:jc w:val="center"/>
              <w:rPr>
                <w:rFonts w:ascii="仿宋" w:hAnsi="仿宋" w:eastAsia="仿宋" w:cs="仿宋"/>
                <w:sz w:val="20"/>
                <w:szCs w:val="20"/>
              </w:rPr>
            </w:pPr>
          </w:p>
        </w:tc>
        <w:tc>
          <w:tcPr>
            <w:tcW w:w="373" w:type="pct"/>
            <w:vMerge w:val="continue"/>
            <w:tcMar>
              <w:top w:w="60" w:type="dxa"/>
              <w:left w:w="120" w:type="dxa"/>
              <w:bottom w:w="30" w:type="dxa"/>
              <w:right w:w="120" w:type="dxa"/>
            </w:tcMar>
            <w:vAlign w:val="center"/>
          </w:tcPr>
          <w:p w14:paraId="13BA365B">
            <w:pPr>
              <w:jc w:val="center"/>
              <w:rPr>
                <w:rFonts w:ascii="仿宋" w:hAnsi="仿宋" w:eastAsia="仿宋" w:cs="仿宋"/>
                <w:sz w:val="20"/>
                <w:szCs w:val="20"/>
              </w:rPr>
            </w:pPr>
          </w:p>
        </w:tc>
        <w:tc>
          <w:tcPr>
            <w:tcW w:w="447" w:type="pct"/>
            <w:tcMar>
              <w:top w:w="60" w:type="dxa"/>
              <w:left w:w="120" w:type="dxa"/>
              <w:bottom w:w="30" w:type="dxa"/>
              <w:right w:w="120" w:type="dxa"/>
            </w:tcMar>
            <w:vAlign w:val="center"/>
          </w:tcPr>
          <w:p w14:paraId="1BD55336">
            <w:pPr>
              <w:jc w:val="center"/>
              <w:rPr>
                <w:rFonts w:ascii="仿宋" w:hAnsi="仿宋" w:eastAsia="仿宋" w:cs="仿宋"/>
                <w:sz w:val="20"/>
                <w:szCs w:val="20"/>
              </w:rPr>
            </w:pPr>
            <w:r>
              <w:rPr>
                <w:rFonts w:hint="eastAsia" w:ascii="仿宋" w:hAnsi="仿宋" w:eastAsia="仿宋" w:cs="仿宋"/>
                <w:sz w:val="20"/>
                <w:szCs w:val="20"/>
              </w:rPr>
              <w:t>3</w:t>
            </w:r>
          </w:p>
        </w:tc>
        <w:tc>
          <w:tcPr>
            <w:tcW w:w="2612" w:type="pct"/>
            <w:tcMar>
              <w:top w:w="60" w:type="dxa"/>
              <w:left w:w="120" w:type="dxa"/>
              <w:bottom w:w="30" w:type="dxa"/>
              <w:right w:w="120" w:type="dxa"/>
            </w:tcMar>
            <w:vAlign w:val="center"/>
          </w:tcPr>
          <w:p w14:paraId="20A5EED8">
            <w:pPr>
              <w:rPr>
                <w:rFonts w:ascii="仿宋" w:hAnsi="仿宋" w:eastAsia="仿宋" w:cs="仿宋"/>
                <w:sz w:val="20"/>
                <w:szCs w:val="20"/>
              </w:rPr>
            </w:pPr>
            <w:r>
              <w:rPr>
                <w:rFonts w:hint="eastAsia" w:ascii="仿宋" w:hAnsi="仿宋" w:eastAsia="仿宋" w:cs="仿宋"/>
                <w:sz w:val="20"/>
                <w:szCs w:val="20"/>
              </w:rPr>
              <w:t>未配合医院完成等保复测，或复测达标率＜80% 的，扣 3 分</w:t>
            </w:r>
          </w:p>
        </w:tc>
      </w:tr>
      <w:tr w14:paraId="367E5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6E9C359F">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403EF596">
            <w:pPr>
              <w:jc w:val="center"/>
              <w:rPr>
                <w:rFonts w:ascii="仿宋" w:hAnsi="仿宋" w:eastAsia="仿宋" w:cs="仿宋"/>
                <w:sz w:val="20"/>
                <w:szCs w:val="20"/>
              </w:rPr>
            </w:pPr>
          </w:p>
        </w:tc>
        <w:tc>
          <w:tcPr>
            <w:tcW w:w="596" w:type="pct"/>
            <w:vMerge w:val="restart"/>
            <w:tcMar>
              <w:top w:w="60" w:type="dxa"/>
              <w:left w:w="120" w:type="dxa"/>
              <w:bottom w:w="30" w:type="dxa"/>
              <w:right w:w="120" w:type="dxa"/>
            </w:tcMar>
            <w:vAlign w:val="center"/>
          </w:tcPr>
          <w:p w14:paraId="61AC624F">
            <w:pPr>
              <w:jc w:val="center"/>
              <w:rPr>
                <w:rFonts w:ascii="仿宋" w:hAnsi="仿宋" w:eastAsia="仿宋" w:cs="仿宋"/>
                <w:sz w:val="20"/>
                <w:szCs w:val="20"/>
              </w:rPr>
            </w:pPr>
            <w:r>
              <w:rPr>
                <w:rFonts w:hint="eastAsia" w:ascii="仿宋" w:hAnsi="仿宋" w:eastAsia="仿宋" w:cs="仿宋"/>
                <w:sz w:val="20"/>
                <w:szCs w:val="20"/>
              </w:rPr>
              <w:t>数据安全服务</w:t>
            </w:r>
          </w:p>
        </w:tc>
        <w:tc>
          <w:tcPr>
            <w:tcW w:w="373" w:type="pct"/>
            <w:vMerge w:val="restart"/>
            <w:tcMar>
              <w:top w:w="60" w:type="dxa"/>
              <w:left w:w="120" w:type="dxa"/>
              <w:bottom w:w="30" w:type="dxa"/>
              <w:right w:w="120" w:type="dxa"/>
            </w:tcMar>
            <w:vAlign w:val="center"/>
          </w:tcPr>
          <w:p w14:paraId="78C83ABC">
            <w:pPr>
              <w:jc w:val="center"/>
              <w:rPr>
                <w:rFonts w:ascii="仿宋" w:hAnsi="仿宋" w:eastAsia="仿宋" w:cs="仿宋"/>
                <w:sz w:val="20"/>
                <w:szCs w:val="20"/>
              </w:rPr>
            </w:pPr>
            <w:r>
              <w:rPr>
                <w:rFonts w:hint="eastAsia" w:ascii="仿宋" w:hAnsi="仿宋" w:eastAsia="仿宋" w:cs="仿宋"/>
                <w:sz w:val="20"/>
                <w:szCs w:val="20"/>
              </w:rPr>
              <w:t>10</w:t>
            </w:r>
          </w:p>
        </w:tc>
        <w:tc>
          <w:tcPr>
            <w:tcW w:w="447" w:type="pct"/>
            <w:tcMar>
              <w:top w:w="60" w:type="dxa"/>
              <w:left w:w="120" w:type="dxa"/>
              <w:bottom w:w="30" w:type="dxa"/>
              <w:right w:w="120" w:type="dxa"/>
            </w:tcMar>
            <w:vAlign w:val="center"/>
          </w:tcPr>
          <w:p w14:paraId="1694C747">
            <w:pPr>
              <w:jc w:val="center"/>
              <w:rPr>
                <w:rFonts w:ascii="仿宋" w:hAnsi="仿宋" w:eastAsia="仿宋" w:cs="仿宋"/>
                <w:sz w:val="20"/>
                <w:szCs w:val="20"/>
              </w:rPr>
            </w:pPr>
            <w:r>
              <w:rPr>
                <w:rFonts w:hint="eastAsia" w:ascii="仿宋" w:hAnsi="仿宋" w:eastAsia="仿宋" w:cs="仿宋"/>
                <w:sz w:val="20"/>
                <w:szCs w:val="20"/>
              </w:rPr>
              <w:t>2</w:t>
            </w:r>
          </w:p>
        </w:tc>
        <w:tc>
          <w:tcPr>
            <w:tcW w:w="2612" w:type="pct"/>
            <w:tcMar>
              <w:top w:w="60" w:type="dxa"/>
              <w:left w:w="120" w:type="dxa"/>
              <w:bottom w:w="30" w:type="dxa"/>
              <w:right w:w="120" w:type="dxa"/>
            </w:tcMar>
            <w:vAlign w:val="center"/>
          </w:tcPr>
          <w:p w14:paraId="626DB3B3">
            <w:pPr>
              <w:rPr>
                <w:rFonts w:ascii="仿宋" w:hAnsi="仿宋" w:eastAsia="仿宋" w:cs="仿宋"/>
                <w:sz w:val="20"/>
                <w:szCs w:val="20"/>
              </w:rPr>
            </w:pPr>
            <w:r>
              <w:rPr>
                <w:rFonts w:hint="eastAsia" w:ascii="仿宋" w:hAnsi="仿宋" w:eastAsia="仿宋" w:cs="仿宋"/>
                <w:sz w:val="20"/>
                <w:szCs w:val="20"/>
              </w:rPr>
              <w:t>未建立数据安全保护机制、未提供数据安全合理化建议的，扣 2 分</w:t>
            </w:r>
          </w:p>
        </w:tc>
      </w:tr>
      <w:tr w14:paraId="01DA3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42FBA751">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49D953AC">
            <w:pPr>
              <w:jc w:val="center"/>
              <w:rPr>
                <w:rFonts w:ascii="仿宋" w:hAnsi="仿宋" w:eastAsia="仿宋" w:cs="仿宋"/>
                <w:sz w:val="20"/>
                <w:szCs w:val="20"/>
              </w:rPr>
            </w:pPr>
          </w:p>
        </w:tc>
        <w:tc>
          <w:tcPr>
            <w:tcW w:w="596" w:type="pct"/>
            <w:vMerge w:val="continue"/>
            <w:tcMar>
              <w:top w:w="60" w:type="dxa"/>
              <w:left w:w="120" w:type="dxa"/>
              <w:bottom w:w="30" w:type="dxa"/>
              <w:right w:w="120" w:type="dxa"/>
            </w:tcMar>
            <w:vAlign w:val="center"/>
          </w:tcPr>
          <w:p w14:paraId="075D619E">
            <w:pPr>
              <w:jc w:val="center"/>
              <w:rPr>
                <w:rFonts w:ascii="仿宋" w:hAnsi="仿宋" w:eastAsia="仿宋" w:cs="仿宋"/>
                <w:sz w:val="20"/>
                <w:szCs w:val="20"/>
              </w:rPr>
            </w:pPr>
          </w:p>
        </w:tc>
        <w:tc>
          <w:tcPr>
            <w:tcW w:w="373" w:type="pct"/>
            <w:vMerge w:val="continue"/>
            <w:tcMar>
              <w:top w:w="60" w:type="dxa"/>
              <w:left w:w="120" w:type="dxa"/>
              <w:bottom w:w="30" w:type="dxa"/>
              <w:right w:w="120" w:type="dxa"/>
            </w:tcMar>
            <w:vAlign w:val="center"/>
          </w:tcPr>
          <w:p w14:paraId="344C58AD">
            <w:pPr>
              <w:jc w:val="center"/>
              <w:rPr>
                <w:rFonts w:ascii="仿宋" w:hAnsi="仿宋" w:eastAsia="仿宋" w:cs="仿宋"/>
                <w:sz w:val="20"/>
                <w:szCs w:val="20"/>
              </w:rPr>
            </w:pPr>
          </w:p>
        </w:tc>
        <w:tc>
          <w:tcPr>
            <w:tcW w:w="447" w:type="pct"/>
            <w:tcMar>
              <w:top w:w="60" w:type="dxa"/>
              <w:left w:w="120" w:type="dxa"/>
              <w:bottom w:w="30" w:type="dxa"/>
              <w:right w:w="120" w:type="dxa"/>
            </w:tcMar>
            <w:vAlign w:val="center"/>
          </w:tcPr>
          <w:p w14:paraId="1B5AB0BC">
            <w:pPr>
              <w:jc w:val="center"/>
              <w:rPr>
                <w:rFonts w:ascii="仿宋" w:hAnsi="仿宋" w:eastAsia="仿宋" w:cs="仿宋"/>
                <w:sz w:val="20"/>
                <w:szCs w:val="20"/>
              </w:rPr>
            </w:pPr>
            <w:r>
              <w:rPr>
                <w:rFonts w:hint="eastAsia" w:ascii="仿宋" w:hAnsi="仿宋" w:eastAsia="仿宋" w:cs="仿宋"/>
                <w:sz w:val="20"/>
                <w:szCs w:val="20"/>
              </w:rPr>
              <w:t>8</w:t>
            </w:r>
          </w:p>
        </w:tc>
        <w:tc>
          <w:tcPr>
            <w:tcW w:w="2612" w:type="pct"/>
            <w:tcMar>
              <w:top w:w="60" w:type="dxa"/>
              <w:left w:w="120" w:type="dxa"/>
              <w:bottom w:w="30" w:type="dxa"/>
              <w:right w:w="120" w:type="dxa"/>
            </w:tcMar>
            <w:vAlign w:val="center"/>
          </w:tcPr>
          <w:p w14:paraId="601E0087">
            <w:pPr>
              <w:rPr>
                <w:rFonts w:ascii="仿宋" w:hAnsi="仿宋" w:eastAsia="仿宋" w:cs="仿宋"/>
                <w:sz w:val="20"/>
                <w:szCs w:val="20"/>
              </w:rPr>
            </w:pPr>
            <w:r>
              <w:rPr>
                <w:rFonts w:hint="eastAsia" w:ascii="仿宋" w:hAnsi="仿宋" w:eastAsia="仿宋" w:cs="仿宋"/>
                <w:sz w:val="20"/>
                <w:szCs w:val="20"/>
              </w:rPr>
              <w:t>未通过技术方案保障采购人数据安全，出现数据安全隐患未及时处置的，扣 2 分 / 次，扣完为止</w:t>
            </w:r>
          </w:p>
        </w:tc>
      </w:tr>
      <w:tr w14:paraId="326AB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21AE16CC">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5366E67F">
            <w:pPr>
              <w:jc w:val="center"/>
              <w:rPr>
                <w:rFonts w:ascii="仿宋" w:hAnsi="仿宋" w:eastAsia="仿宋" w:cs="仿宋"/>
                <w:sz w:val="20"/>
                <w:szCs w:val="20"/>
              </w:rPr>
            </w:pPr>
          </w:p>
        </w:tc>
        <w:tc>
          <w:tcPr>
            <w:tcW w:w="596" w:type="pct"/>
            <w:vMerge w:val="restart"/>
            <w:tcMar>
              <w:top w:w="60" w:type="dxa"/>
              <w:left w:w="120" w:type="dxa"/>
              <w:bottom w:w="30" w:type="dxa"/>
              <w:right w:w="120" w:type="dxa"/>
            </w:tcMar>
            <w:vAlign w:val="center"/>
          </w:tcPr>
          <w:p w14:paraId="13BE6DEF">
            <w:pPr>
              <w:jc w:val="center"/>
              <w:rPr>
                <w:rFonts w:ascii="仿宋" w:hAnsi="仿宋" w:eastAsia="仿宋" w:cs="仿宋"/>
                <w:sz w:val="20"/>
                <w:szCs w:val="20"/>
              </w:rPr>
            </w:pPr>
            <w:r>
              <w:rPr>
                <w:rFonts w:hint="eastAsia" w:ascii="仿宋" w:hAnsi="仿宋" w:eastAsia="仿宋" w:cs="仿宋"/>
                <w:sz w:val="20"/>
                <w:szCs w:val="20"/>
              </w:rPr>
              <w:t>数据信息保密管理</w:t>
            </w:r>
          </w:p>
        </w:tc>
        <w:tc>
          <w:tcPr>
            <w:tcW w:w="373" w:type="pct"/>
            <w:vMerge w:val="restart"/>
            <w:tcMar>
              <w:top w:w="60" w:type="dxa"/>
              <w:left w:w="120" w:type="dxa"/>
              <w:bottom w:w="30" w:type="dxa"/>
              <w:right w:w="120" w:type="dxa"/>
            </w:tcMar>
            <w:vAlign w:val="center"/>
          </w:tcPr>
          <w:p w14:paraId="181EFCA6">
            <w:pPr>
              <w:jc w:val="center"/>
              <w:rPr>
                <w:rFonts w:ascii="仿宋" w:hAnsi="仿宋" w:eastAsia="仿宋" w:cs="仿宋"/>
                <w:sz w:val="20"/>
                <w:szCs w:val="20"/>
              </w:rPr>
            </w:pPr>
            <w:r>
              <w:rPr>
                <w:rFonts w:hint="eastAsia" w:ascii="仿宋" w:hAnsi="仿宋" w:eastAsia="仿宋" w:cs="仿宋"/>
                <w:sz w:val="20"/>
                <w:szCs w:val="20"/>
              </w:rPr>
              <w:t>5</w:t>
            </w:r>
          </w:p>
        </w:tc>
        <w:tc>
          <w:tcPr>
            <w:tcW w:w="447" w:type="pct"/>
            <w:tcMar>
              <w:top w:w="60" w:type="dxa"/>
              <w:left w:w="120" w:type="dxa"/>
              <w:bottom w:w="30" w:type="dxa"/>
              <w:right w:w="120" w:type="dxa"/>
            </w:tcMar>
            <w:vAlign w:val="center"/>
          </w:tcPr>
          <w:p w14:paraId="3D81280A">
            <w:pPr>
              <w:jc w:val="center"/>
              <w:rPr>
                <w:rFonts w:ascii="仿宋" w:hAnsi="仿宋" w:eastAsia="仿宋" w:cs="仿宋"/>
                <w:sz w:val="20"/>
                <w:szCs w:val="20"/>
              </w:rPr>
            </w:pPr>
            <w:r>
              <w:rPr>
                <w:rFonts w:hint="eastAsia" w:ascii="仿宋" w:hAnsi="仿宋" w:eastAsia="仿宋" w:cs="仿宋"/>
                <w:sz w:val="20"/>
                <w:szCs w:val="20"/>
              </w:rPr>
              <w:t>1</w:t>
            </w:r>
          </w:p>
        </w:tc>
        <w:tc>
          <w:tcPr>
            <w:tcW w:w="2612" w:type="pct"/>
            <w:tcMar>
              <w:top w:w="60" w:type="dxa"/>
              <w:left w:w="120" w:type="dxa"/>
              <w:bottom w:w="30" w:type="dxa"/>
              <w:right w:w="120" w:type="dxa"/>
            </w:tcMar>
            <w:vAlign w:val="center"/>
          </w:tcPr>
          <w:p w14:paraId="02630F70">
            <w:pPr>
              <w:rPr>
                <w:rFonts w:ascii="仿宋" w:hAnsi="仿宋" w:eastAsia="仿宋" w:cs="仿宋"/>
                <w:sz w:val="20"/>
                <w:szCs w:val="20"/>
              </w:rPr>
            </w:pPr>
            <w:r>
              <w:rPr>
                <w:rFonts w:hint="eastAsia" w:ascii="仿宋" w:hAnsi="仿宋" w:eastAsia="仿宋" w:cs="仿宋"/>
                <w:sz w:val="20"/>
                <w:szCs w:val="20"/>
              </w:rPr>
              <w:t>未建立保密管理制度、保密机制不健全的，扣 1 分</w:t>
            </w:r>
          </w:p>
        </w:tc>
      </w:tr>
      <w:tr w14:paraId="14934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24AC04FC">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5258F55F">
            <w:pPr>
              <w:jc w:val="center"/>
              <w:rPr>
                <w:rFonts w:ascii="仿宋" w:hAnsi="仿宋" w:eastAsia="仿宋" w:cs="仿宋"/>
                <w:sz w:val="20"/>
                <w:szCs w:val="20"/>
              </w:rPr>
            </w:pPr>
          </w:p>
        </w:tc>
        <w:tc>
          <w:tcPr>
            <w:tcW w:w="596" w:type="pct"/>
            <w:vMerge w:val="continue"/>
            <w:tcMar>
              <w:top w:w="60" w:type="dxa"/>
              <w:left w:w="120" w:type="dxa"/>
              <w:bottom w:w="30" w:type="dxa"/>
              <w:right w:w="120" w:type="dxa"/>
            </w:tcMar>
            <w:vAlign w:val="center"/>
          </w:tcPr>
          <w:p w14:paraId="2C4A801C">
            <w:pPr>
              <w:jc w:val="center"/>
              <w:rPr>
                <w:rFonts w:ascii="仿宋" w:hAnsi="仿宋" w:eastAsia="仿宋" w:cs="仿宋"/>
                <w:sz w:val="20"/>
                <w:szCs w:val="20"/>
              </w:rPr>
            </w:pPr>
          </w:p>
        </w:tc>
        <w:tc>
          <w:tcPr>
            <w:tcW w:w="373" w:type="pct"/>
            <w:vMerge w:val="continue"/>
            <w:tcMar>
              <w:top w:w="60" w:type="dxa"/>
              <w:left w:w="120" w:type="dxa"/>
              <w:bottom w:w="30" w:type="dxa"/>
              <w:right w:w="120" w:type="dxa"/>
            </w:tcMar>
            <w:vAlign w:val="center"/>
          </w:tcPr>
          <w:p w14:paraId="7B974636">
            <w:pPr>
              <w:jc w:val="center"/>
              <w:rPr>
                <w:rFonts w:ascii="仿宋" w:hAnsi="仿宋" w:eastAsia="仿宋" w:cs="仿宋"/>
                <w:sz w:val="20"/>
                <w:szCs w:val="20"/>
              </w:rPr>
            </w:pPr>
          </w:p>
        </w:tc>
        <w:tc>
          <w:tcPr>
            <w:tcW w:w="447" w:type="pct"/>
            <w:tcMar>
              <w:top w:w="60" w:type="dxa"/>
              <w:left w:w="120" w:type="dxa"/>
              <w:bottom w:w="30" w:type="dxa"/>
              <w:right w:w="120" w:type="dxa"/>
            </w:tcMar>
            <w:vAlign w:val="center"/>
          </w:tcPr>
          <w:p w14:paraId="2D9D533C">
            <w:pPr>
              <w:jc w:val="center"/>
              <w:rPr>
                <w:rFonts w:ascii="仿宋" w:hAnsi="仿宋" w:eastAsia="仿宋" w:cs="仿宋"/>
                <w:sz w:val="20"/>
                <w:szCs w:val="20"/>
              </w:rPr>
            </w:pPr>
            <w:r>
              <w:rPr>
                <w:rFonts w:hint="eastAsia" w:ascii="仿宋" w:hAnsi="仿宋" w:eastAsia="仿宋" w:cs="仿宋"/>
                <w:sz w:val="20"/>
                <w:szCs w:val="20"/>
              </w:rPr>
              <w:t>2</w:t>
            </w:r>
          </w:p>
        </w:tc>
        <w:tc>
          <w:tcPr>
            <w:tcW w:w="2612" w:type="pct"/>
            <w:tcMar>
              <w:top w:w="60" w:type="dxa"/>
              <w:left w:w="120" w:type="dxa"/>
              <w:bottom w:w="30" w:type="dxa"/>
              <w:right w:w="120" w:type="dxa"/>
            </w:tcMar>
            <w:vAlign w:val="center"/>
          </w:tcPr>
          <w:p w14:paraId="25967843">
            <w:pPr>
              <w:rPr>
                <w:rFonts w:ascii="仿宋" w:hAnsi="仿宋" w:eastAsia="仿宋" w:cs="仿宋"/>
                <w:sz w:val="20"/>
                <w:szCs w:val="20"/>
              </w:rPr>
            </w:pPr>
            <w:r>
              <w:rPr>
                <w:rFonts w:hint="eastAsia" w:ascii="仿宋" w:hAnsi="仿宋" w:eastAsia="仿宋" w:cs="仿宋"/>
                <w:sz w:val="20"/>
                <w:szCs w:val="20"/>
              </w:rPr>
              <w:t>未与采购人、项目服务人员签订保密协议的，扣 1 分 / 项</w:t>
            </w:r>
          </w:p>
        </w:tc>
      </w:tr>
      <w:tr w14:paraId="4D8B1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222C980C">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5E86C051">
            <w:pPr>
              <w:jc w:val="center"/>
              <w:rPr>
                <w:rFonts w:ascii="仿宋" w:hAnsi="仿宋" w:eastAsia="仿宋" w:cs="仿宋"/>
                <w:sz w:val="20"/>
                <w:szCs w:val="20"/>
              </w:rPr>
            </w:pPr>
          </w:p>
        </w:tc>
        <w:tc>
          <w:tcPr>
            <w:tcW w:w="596" w:type="pct"/>
            <w:vMerge w:val="continue"/>
            <w:tcMar>
              <w:top w:w="60" w:type="dxa"/>
              <w:left w:w="120" w:type="dxa"/>
              <w:bottom w:w="30" w:type="dxa"/>
              <w:right w:w="120" w:type="dxa"/>
            </w:tcMar>
            <w:vAlign w:val="center"/>
          </w:tcPr>
          <w:p w14:paraId="4C7A718D">
            <w:pPr>
              <w:jc w:val="center"/>
              <w:rPr>
                <w:rFonts w:ascii="仿宋" w:hAnsi="仿宋" w:eastAsia="仿宋" w:cs="仿宋"/>
                <w:sz w:val="20"/>
                <w:szCs w:val="20"/>
              </w:rPr>
            </w:pPr>
          </w:p>
        </w:tc>
        <w:tc>
          <w:tcPr>
            <w:tcW w:w="373" w:type="pct"/>
            <w:vMerge w:val="continue"/>
            <w:tcMar>
              <w:top w:w="60" w:type="dxa"/>
              <w:left w:w="120" w:type="dxa"/>
              <w:bottom w:w="30" w:type="dxa"/>
              <w:right w:w="120" w:type="dxa"/>
            </w:tcMar>
            <w:vAlign w:val="center"/>
          </w:tcPr>
          <w:p w14:paraId="42F02201">
            <w:pPr>
              <w:jc w:val="center"/>
              <w:rPr>
                <w:rFonts w:ascii="仿宋" w:hAnsi="仿宋" w:eastAsia="仿宋" w:cs="仿宋"/>
                <w:sz w:val="20"/>
                <w:szCs w:val="20"/>
              </w:rPr>
            </w:pPr>
          </w:p>
        </w:tc>
        <w:tc>
          <w:tcPr>
            <w:tcW w:w="447" w:type="pct"/>
            <w:tcMar>
              <w:top w:w="60" w:type="dxa"/>
              <w:left w:w="120" w:type="dxa"/>
              <w:bottom w:w="30" w:type="dxa"/>
              <w:right w:w="120" w:type="dxa"/>
            </w:tcMar>
            <w:vAlign w:val="center"/>
          </w:tcPr>
          <w:p w14:paraId="30951647">
            <w:pPr>
              <w:jc w:val="center"/>
              <w:rPr>
                <w:rFonts w:ascii="仿宋" w:hAnsi="仿宋" w:eastAsia="仿宋" w:cs="仿宋"/>
                <w:sz w:val="20"/>
                <w:szCs w:val="20"/>
              </w:rPr>
            </w:pPr>
            <w:r>
              <w:rPr>
                <w:rFonts w:hint="eastAsia" w:ascii="仿宋" w:hAnsi="仿宋" w:eastAsia="仿宋" w:cs="仿宋"/>
                <w:sz w:val="20"/>
                <w:szCs w:val="20"/>
              </w:rPr>
              <w:t>2</w:t>
            </w:r>
          </w:p>
        </w:tc>
        <w:tc>
          <w:tcPr>
            <w:tcW w:w="2612" w:type="pct"/>
            <w:tcMar>
              <w:top w:w="60" w:type="dxa"/>
              <w:left w:w="120" w:type="dxa"/>
              <w:bottom w:w="30" w:type="dxa"/>
              <w:right w:w="120" w:type="dxa"/>
            </w:tcMar>
            <w:vAlign w:val="center"/>
          </w:tcPr>
          <w:p w14:paraId="311029C3">
            <w:pPr>
              <w:rPr>
                <w:rFonts w:ascii="仿宋" w:hAnsi="仿宋" w:eastAsia="仿宋" w:cs="仿宋"/>
                <w:sz w:val="20"/>
                <w:szCs w:val="20"/>
              </w:rPr>
            </w:pPr>
            <w:r>
              <w:rPr>
                <w:rFonts w:hint="eastAsia" w:ascii="仿宋" w:hAnsi="仿宋" w:eastAsia="仿宋" w:cs="仿宋"/>
                <w:sz w:val="20"/>
                <w:szCs w:val="20"/>
              </w:rPr>
              <w:t>未制定保密相关考核制度、人员管理不到位的，扣 2 分</w:t>
            </w:r>
          </w:p>
        </w:tc>
      </w:tr>
      <w:tr w14:paraId="6DAA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03663CB3">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49E6AEFE">
            <w:pPr>
              <w:jc w:val="center"/>
              <w:rPr>
                <w:rFonts w:ascii="仿宋" w:hAnsi="仿宋" w:eastAsia="仿宋" w:cs="仿宋"/>
                <w:sz w:val="20"/>
                <w:szCs w:val="20"/>
              </w:rPr>
            </w:pPr>
          </w:p>
        </w:tc>
        <w:tc>
          <w:tcPr>
            <w:tcW w:w="596" w:type="pct"/>
            <w:tcMar>
              <w:top w:w="60" w:type="dxa"/>
              <w:left w:w="120" w:type="dxa"/>
              <w:bottom w:w="30" w:type="dxa"/>
              <w:right w:w="120" w:type="dxa"/>
            </w:tcMar>
            <w:vAlign w:val="center"/>
          </w:tcPr>
          <w:p w14:paraId="524FC997">
            <w:pPr>
              <w:jc w:val="center"/>
              <w:rPr>
                <w:rFonts w:ascii="仿宋" w:hAnsi="仿宋" w:eastAsia="仿宋" w:cs="仿宋"/>
                <w:sz w:val="20"/>
                <w:szCs w:val="20"/>
              </w:rPr>
            </w:pPr>
            <w:r>
              <w:rPr>
                <w:rFonts w:hint="eastAsia" w:ascii="仿宋" w:hAnsi="仿宋" w:eastAsia="仿宋" w:cs="仿宋"/>
                <w:sz w:val="20"/>
                <w:szCs w:val="20"/>
              </w:rPr>
              <w:t>重大安全事件否决项</w:t>
            </w:r>
          </w:p>
        </w:tc>
        <w:tc>
          <w:tcPr>
            <w:tcW w:w="373" w:type="pct"/>
            <w:tcMar>
              <w:top w:w="60" w:type="dxa"/>
              <w:left w:w="120" w:type="dxa"/>
              <w:bottom w:w="30" w:type="dxa"/>
              <w:right w:w="120" w:type="dxa"/>
            </w:tcMar>
            <w:vAlign w:val="center"/>
          </w:tcPr>
          <w:p w14:paraId="263FDD58">
            <w:pPr>
              <w:jc w:val="center"/>
              <w:rPr>
                <w:rFonts w:ascii="仿宋" w:hAnsi="仿宋" w:eastAsia="仿宋" w:cs="仿宋"/>
                <w:sz w:val="20"/>
                <w:szCs w:val="20"/>
              </w:rPr>
            </w:pPr>
            <w:r>
              <w:rPr>
                <w:rFonts w:hint="eastAsia" w:ascii="仿宋" w:hAnsi="仿宋" w:eastAsia="仿宋" w:cs="仿宋"/>
                <w:sz w:val="20"/>
                <w:szCs w:val="20"/>
              </w:rPr>
              <w:t>-</w:t>
            </w:r>
          </w:p>
        </w:tc>
        <w:tc>
          <w:tcPr>
            <w:tcW w:w="447" w:type="pct"/>
            <w:tcMar>
              <w:top w:w="60" w:type="dxa"/>
              <w:left w:w="120" w:type="dxa"/>
              <w:bottom w:w="30" w:type="dxa"/>
              <w:right w:w="120" w:type="dxa"/>
            </w:tcMar>
            <w:vAlign w:val="center"/>
          </w:tcPr>
          <w:p w14:paraId="476A8450">
            <w:pPr>
              <w:jc w:val="center"/>
              <w:rPr>
                <w:rFonts w:ascii="仿宋" w:hAnsi="仿宋" w:eastAsia="仿宋" w:cs="仿宋"/>
                <w:sz w:val="20"/>
                <w:szCs w:val="20"/>
              </w:rPr>
            </w:pPr>
            <w:r>
              <w:rPr>
                <w:rFonts w:hint="eastAsia" w:ascii="仿宋" w:hAnsi="仿宋" w:eastAsia="仿宋" w:cs="仿宋"/>
                <w:sz w:val="20"/>
                <w:szCs w:val="20"/>
              </w:rPr>
              <w:t>-</w:t>
            </w:r>
          </w:p>
        </w:tc>
        <w:tc>
          <w:tcPr>
            <w:tcW w:w="2612" w:type="pct"/>
            <w:tcMar>
              <w:top w:w="60" w:type="dxa"/>
              <w:left w:w="120" w:type="dxa"/>
              <w:bottom w:w="30" w:type="dxa"/>
              <w:right w:w="120" w:type="dxa"/>
            </w:tcMar>
            <w:vAlign w:val="center"/>
          </w:tcPr>
          <w:p w14:paraId="024BC481">
            <w:pPr>
              <w:rPr>
                <w:rFonts w:ascii="仿宋" w:hAnsi="仿宋" w:eastAsia="仿宋" w:cs="仿宋"/>
                <w:sz w:val="20"/>
                <w:szCs w:val="20"/>
              </w:rPr>
            </w:pPr>
            <w:r>
              <w:rPr>
                <w:rFonts w:hint="eastAsia" w:ascii="仿宋" w:hAnsi="仿宋" w:eastAsia="仿宋" w:cs="仿宋"/>
                <w:sz w:val="20"/>
                <w:szCs w:val="20"/>
              </w:rPr>
              <w:t>发生信息泄露、重大数据安全事件的，本大项 20 分全部扣除，同时直接认定年度考核不合格，追究对应违约责任</w:t>
            </w:r>
          </w:p>
        </w:tc>
      </w:tr>
      <w:tr w14:paraId="59E44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restart"/>
            <w:tcMar>
              <w:top w:w="60" w:type="dxa"/>
              <w:left w:w="120" w:type="dxa"/>
              <w:bottom w:w="30" w:type="dxa"/>
              <w:right w:w="120" w:type="dxa"/>
            </w:tcMar>
            <w:vAlign w:val="center"/>
          </w:tcPr>
          <w:p w14:paraId="7A348411">
            <w:pPr>
              <w:jc w:val="center"/>
              <w:rPr>
                <w:rFonts w:ascii="仿宋" w:hAnsi="仿宋" w:eastAsia="仿宋" w:cs="仿宋"/>
                <w:sz w:val="20"/>
                <w:szCs w:val="20"/>
              </w:rPr>
            </w:pPr>
            <w:r>
              <w:rPr>
                <w:rFonts w:hint="eastAsia" w:ascii="仿宋" w:hAnsi="仿宋" w:eastAsia="仿宋" w:cs="仿宋"/>
                <w:sz w:val="20"/>
                <w:szCs w:val="20"/>
              </w:rPr>
              <w:t>5</w:t>
            </w:r>
          </w:p>
        </w:tc>
        <w:tc>
          <w:tcPr>
            <w:tcW w:w="671" w:type="pct"/>
            <w:vMerge w:val="restart"/>
            <w:tcMar>
              <w:top w:w="60" w:type="dxa"/>
              <w:left w:w="120" w:type="dxa"/>
              <w:bottom w:w="30" w:type="dxa"/>
              <w:right w:w="120" w:type="dxa"/>
            </w:tcMar>
            <w:vAlign w:val="center"/>
          </w:tcPr>
          <w:p w14:paraId="39158B2C">
            <w:pPr>
              <w:jc w:val="center"/>
              <w:rPr>
                <w:rFonts w:ascii="仿宋" w:hAnsi="仿宋" w:eastAsia="仿宋" w:cs="仿宋"/>
                <w:sz w:val="20"/>
                <w:szCs w:val="20"/>
              </w:rPr>
            </w:pPr>
            <w:r>
              <w:rPr>
                <w:rFonts w:hint="eastAsia" w:ascii="仿宋" w:hAnsi="仿宋" w:eastAsia="仿宋" w:cs="仿宋"/>
                <w:sz w:val="20"/>
                <w:szCs w:val="20"/>
              </w:rPr>
              <w:t>培训服务</w:t>
            </w:r>
          </w:p>
          <w:p w14:paraId="1C259CDA">
            <w:pPr>
              <w:jc w:val="center"/>
              <w:rPr>
                <w:rFonts w:ascii="仿宋" w:hAnsi="仿宋" w:eastAsia="仿宋" w:cs="仿宋"/>
                <w:sz w:val="20"/>
                <w:szCs w:val="20"/>
              </w:rPr>
            </w:pPr>
            <w:r>
              <w:rPr>
                <w:rFonts w:hint="eastAsia" w:ascii="仿宋" w:hAnsi="仿宋" w:eastAsia="仿宋" w:cs="仿宋"/>
                <w:sz w:val="20"/>
                <w:szCs w:val="20"/>
              </w:rPr>
              <w:t>（5 分）</w:t>
            </w:r>
          </w:p>
        </w:tc>
        <w:tc>
          <w:tcPr>
            <w:tcW w:w="596" w:type="pct"/>
            <w:vMerge w:val="restart"/>
            <w:tcMar>
              <w:top w:w="60" w:type="dxa"/>
              <w:left w:w="120" w:type="dxa"/>
              <w:bottom w:w="30" w:type="dxa"/>
              <w:right w:w="120" w:type="dxa"/>
            </w:tcMar>
            <w:vAlign w:val="center"/>
          </w:tcPr>
          <w:p w14:paraId="6A31A08D">
            <w:pPr>
              <w:jc w:val="center"/>
              <w:rPr>
                <w:rFonts w:ascii="仿宋" w:hAnsi="仿宋" w:eastAsia="仿宋" w:cs="仿宋"/>
                <w:sz w:val="20"/>
                <w:szCs w:val="20"/>
              </w:rPr>
            </w:pPr>
            <w:r>
              <w:rPr>
                <w:rFonts w:hint="eastAsia" w:ascii="仿宋" w:hAnsi="仿宋" w:eastAsia="仿宋" w:cs="仿宋"/>
                <w:sz w:val="20"/>
                <w:szCs w:val="20"/>
              </w:rPr>
              <w:t>培训服务履约与质量</w:t>
            </w:r>
          </w:p>
        </w:tc>
        <w:tc>
          <w:tcPr>
            <w:tcW w:w="373" w:type="pct"/>
            <w:vMerge w:val="restart"/>
            <w:tcMar>
              <w:top w:w="60" w:type="dxa"/>
              <w:left w:w="120" w:type="dxa"/>
              <w:bottom w:w="30" w:type="dxa"/>
              <w:right w:w="120" w:type="dxa"/>
            </w:tcMar>
            <w:vAlign w:val="center"/>
          </w:tcPr>
          <w:p w14:paraId="3A62521E">
            <w:pPr>
              <w:jc w:val="center"/>
              <w:rPr>
                <w:rFonts w:ascii="仿宋" w:hAnsi="仿宋" w:eastAsia="仿宋" w:cs="仿宋"/>
                <w:sz w:val="20"/>
                <w:szCs w:val="20"/>
              </w:rPr>
            </w:pPr>
            <w:r>
              <w:rPr>
                <w:rFonts w:hint="eastAsia" w:ascii="仿宋" w:hAnsi="仿宋" w:eastAsia="仿宋" w:cs="仿宋"/>
                <w:sz w:val="20"/>
                <w:szCs w:val="20"/>
              </w:rPr>
              <w:t>5</w:t>
            </w:r>
          </w:p>
        </w:tc>
        <w:tc>
          <w:tcPr>
            <w:tcW w:w="447" w:type="pct"/>
            <w:tcMar>
              <w:top w:w="60" w:type="dxa"/>
              <w:left w:w="120" w:type="dxa"/>
              <w:bottom w:w="30" w:type="dxa"/>
              <w:right w:w="120" w:type="dxa"/>
            </w:tcMar>
            <w:vAlign w:val="center"/>
          </w:tcPr>
          <w:p w14:paraId="5E764EF1">
            <w:pPr>
              <w:jc w:val="center"/>
              <w:rPr>
                <w:rFonts w:ascii="仿宋" w:hAnsi="仿宋" w:eastAsia="仿宋" w:cs="仿宋"/>
                <w:sz w:val="20"/>
                <w:szCs w:val="20"/>
              </w:rPr>
            </w:pPr>
            <w:r>
              <w:rPr>
                <w:rFonts w:hint="eastAsia" w:ascii="仿宋" w:hAnsi="仿宋" w:eastAsia="仿宋" w:cs="仿宋"/>
                <w:sz w:val="20"/>
                <w:szCs w:val="20"/>
              </w:rPr>
              <w:t>2</w:t>
            </w:r>
          </w:p>
        </w:tc>
        <w:tc>
          <w:tcPr>
            <w:tcW w:w="2612" w:type="pct"/>
            <w:tcMar>
              <w:top w:w="60" w:type="dxa"/>
              <w:left w:w="120" w:type="dxa"/>
              <w:bottom w:w="30" w:type="dxa"/>
              <w:right w:w="120" w:type="dxa"/>
            </w:tcMar>
            <w:vAlign w:val="center"/>
          </w:tcPr>
          <w:p w14:paraId="3D323C39">
            <w:pPr>
              <w:rPr>
                <w:rFonts w:ascii="仿宋" w:hAnsi="仿宋" w:eastAsia="仿宋" w:cs="仿宋"/>
                <w:sz w:val="20"/>
                <w:szCs w:val="20"/>
              </w:rPr>
            </w:pPr>
            <w:r>
              <w:rPr>
                <w:rFonts w:hint="eastAsia" w:ascii="仿宋" w:hAnsi="仿宋" w:eastAsia="仿宋" w:cs="仿宋"/>
                <w:sz w:val="20"/>
                <w:szCs w:val="20"/>
              </w:rPr>
              <w:t>未按合同要求制定培训计划、编制培训教材的，扣 2 分</w:t>
            </w:r>
          </w:p>
        </w:tc>
      </w:tr>
      <w:tr w14:paraId="64848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22221300">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7C3F2E4F">
            <w:pPr>
              <w:jc w:val="center"/>
              <w:rPr>
                <w:rFonts w:ascii="仿宋" w:hAnsi="仿宋" w:eastAsia="仿宋" w:cs="仿宋"/>
                <w:sz w:val="20"/>
                <w:szCs w:val="20"/>
              </w:rPr>
            </w:pPr>
          </w:p>
        </w:tc>
        <w:tc>
          <w:tcPr>
            <w:tcW w:w="596" w:type="pct"/>
            <w:vMerge w:val="continue"/>
            <w:tcMar>
              <w:top w:w="60" w:type="dxa"/>
              <w:left w:w="120" w:type="dxa"/>
              <w:bottom w:w="30" w:type="dxa"/>
              <w:right w:w="120" w:type="dxa"/>
            </w:tcMar>
            <w:vAlign w:val="center"/>
          </w:tcPr>
          <w:p w14:paraId="4C6D1C22">
            <w:pPr>
              <w:jc w:val="center"/>
              <w:rPr>
                <w:rFonts w:ascii="仿宋" w:hAnsi="仿宋" w:eastAsia="仿宋" w:cs="仿宋"/>
                <w:sz w:val="20"/>
                <w:szCs w:val="20"/>
              </w:rPr>
            </w:pPr>
          </w:p>
        </w:tc>
        <w:tc>
          <w:tcPr>
            <w:tcW w:w="373" w:type="pct"/>
            <w:vMerge w:val="continue"/>
            <w:tcMar>
              <w:top w:w="60" w:type="dxa"/>
              <w:left w:w="120" w:type="dxa"/>
              <w:bottom w:w="30" w:type="dxa"/>
              <w:right w:w="120" w:type="dxa"/>
            </w:tcMar>
            <w:vAlign w:val="center"/>
          </w:tcPr>
          <w:p w14:paraId="5470CC99">
            <w:pPr>
              <w:jc w:val="center"/>
              <w:rPr>
                <w:rFonts w:ascii="仿宋" w:hAnsi="仿宋" w:eastAsia="仿宋" w:cs="仿宋"/>
                <w:sz w:val="20"/>
                <w:szCs w:val="20"/>
              </w:rPr>
            </w:pPr>
          </w:p>
        </w:tc>
        <w:tc>
          <w:tcPr>
            <w:tcW w:w="447" w:type="pct"/>
            <w:tcMar>
              <w:top w:w="60" w:type="dxa"/>
              <w:left w:w="120" w:type="dxa"/>
              <w:bottom w:w="30" w:type="dxa"/>
              <w:right w:w="120" w:type="dxa"/>
            </w:tcMar>
            <w:vAlign w:val="center"/>
          </w:tcPr>
          <w:p w14:paraId="0C9280A8">
            <w:pPr>
              <w:jc w:val="center"/>
              <w:rPr>
                <w:rFonts w:ascii="仿宋" w:hAnsi="仿宋" w:eastAsia="仿宋" w:cs="仿宋"/>
                <w:sz w:val="20"/>
                <w:szCs w:val="20"/>
              </w:rPr>
            </w:pPr>
            <w:r>
              <w:rPr>
                <w:rFonts w:hint="eastAsia" w:ascii="仿宋" w:hAnsi="仿宋" w:eastAsia="仿宋" w:cs="仿宋"/>
                <w:sz w:val="20"/>
                <w:szCs w:val="20"/>
              </w:rPr>
              <w:t>3</w:t>
            </w:r>
          </w:p>
        </w:tc>
        <w:tc>
          <w:tcPr>
            <w:tcW w:w="2612" w:type="pct"/>
            <w:tcMar>
              <w:top w:w="60" w:type="dxa"/>
              <w:left w:w="120" w:type="dxa"/>
              <w:bottom w:w="30" w:type="dxa"/>
              <w:right w:w="120" w:type="dxa"/>
            </w:tcMar>
            <w:vAlign w:val="center"/>
          </w:tcPr>
          <w:p w14:paraId="4458F803">
            <w:pPr>
              <w:rPr>
                <w:rFonts w:ascii="仿宋" w:hAnsi="仿宋" w:eastAsia="仿宋" w:cs="仿宋"/>
                <w:sz w:val="20"/>
                <w:szCs w:val="20"/>
              </w:rPr>
            </w:pPr>
            <w:r>
              <w:rPr>
                <w:rFonts w:hint="eastAsia" w:ascii="仿宋" w:hAnsi="仿宋" w:eastAsia="仿宋" w:cs="仿宋"/>
                <w:sz w:val="20"/>
                <w:szCs w:val="20"/>
              </w:rPr>
              <w:t>未完成年度培训学时要求，少 1 学时扣 1 分；培训后考核不达标、培训效果未达要求的，扣 1 分 / 次，扣完为止</w:t>
            </w:r>
          </w:p>
        </w:tc>
      </w:tr>
      <w:tr w14:paraId="5647F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tcMar>
              <w:top w:w="60" w:type="dxa"/>
              <w:left w:w="120" w:type="dxa"/>
              <w:bottom w:w="30" w:type="dxa"/>
              <w:right w:w="120" w:type="dxa"/>
            </w:tcMar>
            <w:vAlign w:val="center"/>
          </w:tcPr>
          <w:p w14:paraId="2301CBE4">
            <w:pPr>
              <w:jc w:val="center"/>
              <w:rPr>
                <w:rFonts w:ascii="仿宋" w:hAnsi="仿宋" w:eastAsia="仿宋" w:cs="仿宋"/>
                <w:sz w:val="20"/>
                <w:szCs w:val="20"/>
              </w:rPr>
            </w:pPr>
            <w:r>
              <w:rPr>
                <w:rFonts w:hint="eastAsia" w:ascii="仿宋" w:hAnsi="仿宋" w:eastAsia="仿宋" w:cs="仿宋"/>
                <w:sz w:val="20"/>
                <w:szCs w:val="20"/>
              </w:rPr>
              <w:t>6</w:t>
            </w:r>
          </w:p>
        </w:tc>
        <w:tc>
          <w:tcPr>
            <w:tcW w:w="671" w:type="pct"/>
            <w:tcMar>
              <w:top w:w="60" w:type="dxa"/>
              <w:left w:w="120" w:type="dxa"/>
              <w:bottom w:w="30" w:type="dxa"/>
              <w:right w:w="120" w:type="dxa"/>
            </w:tcMar>
            <w:vAlign w:val="center"/>
          </w:tcPr>
          <w:p w14:paraId="5256A94F">
            <w:pPr>
              <w:jc w:val="center"/>
              <w:rPr>
                <w:rFonts w:ascii="仿宋" w:hAnsi="仿宋" w:eastAsia="仿宋" w:cs="仿宋"/>
                <w:sz w:val="20"/>
                <w:szCs w:val="20"/>
              </w:rPr>
            </w:pPr>
            <w:r>
              <w:rPr>
                <w:rFonts w:hint="eastAsia" w:ascii="仿宋" w:hAnsi="仿宋" w:eastAsia="仿宋" w:cs="仿宋"/>
                <w:sz w:val="20"/>
                <w:szCs w:val="20"/>
              </w:rPr>
              <w:t>配套设备运维服务</w:t>
            </w:r>
          </w:p>
          <w:p w14:paraId="77E13C49">
            <w:pPr>
              <w:jc w:val="center"/>
              <w:rPr>
                <w:rFonts w:ascii="仿宋" w:hAnsi="仿宋" w:eastAsia="仿宋" w:cs="仿宋"/>
                <w:sz w:val="20"/>
                <w:szCs w:val="20"/>
              </w:rPr>
            </w:pPr>
            <w:r>
              <w:rPr>
                <w:rFonts w:hint="eastAsia" w:ascii="仿宋" w:hAnsi="仿宋" w:eastAsia="仿宋" w:cs="仿宋"/>
                <w:sz w:val="20"/>
                <w:szCs w:val="20"/>
              </w:rPr>
              <w:t>（2 分）</w:t>
            </w:r>
          </w:p>
        </w:tc>
        <w:tc>
          <w:tcPr>
            <w:tcW w:w="596" w:type="pct"/>
            <w:tcMar>
              <w:top w:w="60" w:type="dxa"/>
              <w:left w:w="120" w:type="dxa"/>
              <w:bottom w:w="30" w:type="dxa"/>
              <w:right w:w="120" w:type="dxa"/>
            </w:tcMar>
            <w:vAlign w:val="center"/>
          </w:tcPr>
          <w:p w14:paraId="1491F6CF">
            <w:pPr>
              <w:jc w:val="center"/>
              <w:rPr>
                <w:rFonts w:ascii="仿宋" w:hAnsi="仿宋" w:eastAsia="仿宋" w:cs="仿宋"/>
                <w:sz w:val="20"/>
                <w:szCs w:val="20"/>
              </w:rPr>
            </w:pPr>
            <w:r>
              <w:rPr>
                <w:rFonts w:hint="eastAsia" w:ascii="仿宋" w:hAnsi="仿宋" w:eastAsia="仿宋" w:cs="仿宋"/>
                <w:sz w:val="20"/>
                <w:szCs w:val="20"/>
              </w:rPr>
              <w:t>设备运维服务质量</w:t>
            </w:r>
          </w:p>
        </w:tc>
        <w:tc>
          <w:tcPr>
            <w:tcW w:w="373" w:type="pct"/>
            <w:tcMar>
              <w:top w:w="60" w:type="dxa"/>
              <w:left w:w="120" w:type="dxa"/>
              <w:bottom w:w="30" w:type="dxa"/>
              <w:right w:w="120" w:type="dxa"/>
            </w:tcMar>
            <w:vAlign w:val="center"/>
          </w:tcPr>
          <w:p w14:paraId="3A56B395">
            <w:pPr>
              <w:jc w:val="center"/>
              <w:rPr>
                <w:rFonts w:ascii="仿宋" w:hAnsi="仿宋" w:eastAsia="仿宋" w:cs="仿宋"/>
                <w:sz w:val="20"/>
                <w:szCs w:val="20"/>
              </w:rPr>
            </w:pPr>
            <w:r>
              <w:rPr>
                <w:rFonts w:hint="eastAsia" w:ascii="仿宋" w:hAnsi="仿宋" w:eastAsia="仿宋" w:cs="仿宋"/>
                <w:sz w:val="20"/>
                <w:szCs w:val="20"/>
              </w:rPr>
              <w:t>2</w:t>
            </w:r>
          </w:p>
        </w:tc>
        <w:tc>
          <w:tcPr>
            <w:tcW w:w="447" w:type="pct"/>
            <w:tcMar>
              <w:top w:w="60" w:type="dxa"/>
              <w:left w:w="120" w:type="dxa"/>
              <w:bottom w:w="30" w:type="dxa"/>
              <w:right w:w="120" w:type="dxa"/>
            </w:tcMar>
            <w:vAlign w:val="center"/>
          </w:tcPr>
          <w:p w14:paraId="18175690">
            <w:pPr>
              <w:jc w:val="center"/>
              <w:rPr>
                <w:rFonts w:ascii="仿宋" w:hAnsi="仿宋" w:eastAsia="仿宋" w:cs="仿宋"/>
                <w:sz w:val="20"/>
                <w:szCs w:val="20"/>
              </w:rPr>
            </w:pPr>
            <w:r>
              <w:rPr>
                <w:rFonts w:hint="eastAsia" w:ascii="仿宋" w:hAnsi="仿宋" w:eastAsia="仿宋" w:cs="仿宋"/>
                <w:sz w:val="20"/>
                <w:szCs w:val="20"/>
              </w:rPr>
              <w:t>2</w:t>
            </w:r>
          </w:p>
        </w:tc>
        <w:tc>
          <w:tcPr>
            <w:tcW w:w="2612" w:type="pct"/>
            <w:tcMar>
              <w:top w:w="60" w:type="dxa"/>
              <w:left w:w="120" w:type="dxa"/>
              <w:bottom w:w="30" w:type="dxa"/>
              <w:right w:w="120" w:type="dxa"/>
            </w:tcMar>
            <w:vAlign w:val="center"/>
          </w:tcPr>
          <w:p w14:paraId="7B236117">
            <w:pPr>
              <w:rPr>
                <w:rFonts w:ascii="仿宋" w:hAnsi="仿宋" w:eastAsia="仿宋" w:cs="仿宋"/>
                <w:sz w:val="20"/>
                <w:szCs w:val="20"/>
              </w:rPr>
            </w:pPr>
            <w:r>
              <w:rPr>
                <w:rFonts w:hint="eastAsia" w:ascii="仿宋" w:hAnsi="仿宋" w:eastAsia="仿宋" w:cs="仿宋"/>
                <w:sz w:val="20"/>
                <w:szCs w:val="20"/>
              </w:rPr>
              <w:t>未按合同要求提供配套设备运维服务、工作记录不完整的，扣 1 分；服务期内设备故障率＞10% 的，扣 1 分，扣完为止</w:t>
            </w:r>
          </w:p>
        </w:tc>
      </w:tr>
      <w:tr w14:paraId="1996E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restart"/>
            <w:tcMar>
              <w:top w:w="60" w:type="dxa"/>
              <w:left w:w="120" w:type="dxa"/>
              <w:bottom w:w="30" w:type="dxa"/>
              <w:right w:w="120" w:type="dxa"/>
            </w:tcMar>
            <w:vAlign w:val="center"/>
          </w:tcPr>
          <w:p w14:paraId="011F7250">
            <w:pPr>
              <w:jc w:val="center"/>
              <w:rPr>
                <w:rFonts w:ascii="仿宋" w:hAnsi="仿宋" w:eastAsia="仿宋" w:cs="仿宋"/>
                <w:sz w:val="20"/>
                <w:szCs w:val="20"/>
              </w:rPr>
            </w:pPr>
            <w:r>
              <w:rPr>
                <w:rFonts w:hint="eastAsia" w:ascii="仿宋" w:hAnsi="仿宋" w:eastAsia="仿宋" w:cs="仿宋"/>
                <w:sz w:val="20"/>
                <w:szCs w:val="20"/>
              </w:rPr>
              <w:t>7</w:t>
            </w:r>
          </w:p>
        </w:tc>
        <w:tc>
          <w:tcPr>
            <w:tcW w:w="671" w:type="pct"/>
            <w:vMerge w:val="restart"/>
            <w:tcMar>
              <w:top w:w="60" w:type="dxa"/>
              <w:left w:w="120" w:type="dxa"/>
              <w:bottom w:w="30" w:type="dxa"/>
              <w:right w:w="120" w:type="dxa"/>
            </w:tcMar>
            <w:vAlign w:val="center"/>
          </w:tcPr>
          <w:p w14:paraId="7FCA982B">
            <w:pPr>
              <w:jc w:val="center"/>
              <w:rPr>
                <w:rFonts w:ascii="仿宋" w:hAnsi="仿宋" w:eastAsia="仿宋" w:cs="仿宋"/>
                <w:sz w:val="20"/>
                <w:szCs w:val="20"/>
              </w:rPr>
            </w:pPr>
            <w:r>
              <w:rPr>
                <w:rFonts w:hint="eastAsia" w:ascii="仿宋" w:hAnsi="仿宋" w:eastAsia="仿宋" w:cs="仿宋"/>
                <w:sz w:val="20"/>
                <w:szCs w:val="20"/>
              </w:rPr>
              <w:t>服务满意度与项目管理</w:t>
            </w:r>
          </w:p>
          <w:p w14:paraId="652A36E7">
            <w:pPr>
              <w:jc w:val="center"/>
              <w:rPr>
                <w:rFonts w:ascii="仿宋" w:hAnsi="仿宋" w:eastAsia="仿宋" w:cs="仿宋"/>
                <w:sz w:val="20"/>
                <w:szCs w:val="20"/>
              </w:rPr>
            </w:pPr>
            <w:r>
              <w:rPr>
                <w:rFonts w:hint="eastAsia" w:ascii="仿宋" w:hAnsi="仿宋" w:eastAsia="仿宋" w:cs="仿宋"/>
                <w:sz w:val="20"/>
                <w:szCs w:val="20"/>
              </w:rPr>
              <w:t>（5 分）</w:t>
            </w:r>
          </w:p>
        </w:tc>
        <w:tc>
          <w:tcPr>
            <w:tcW w:w="596" w:type="pct"/>
            <w:tcMar>
              <w:top w:w="60" w:type="dxa"/>
              <w:left w:w="120" w:type="dxa"/>
              <w:bottom w:w="30" w:type="dxa"/>
              <w:right w:w="120" w:type="dxa"/>
            </w:tcMar>
            <w:vAlign w:val="center"/>
          </w:tcPr>
          <w:p w14:paraId="0733A198">
            <w:pPr>
              <w:jc w:val="center"/>
              <w:rPr>
                <w:rFonts w:ascii="仿宋" w:hAnsi="仿宋" w:eastAsia="仿宋" w:cs="仿宋"/>
                <w:sz w:val="20"/>
                <w:szCs w:val="20"/>
              </w:rPr>
            </w:pPr>
            <w:r>
              <w:rPr>
                <w:rFonts w:hint="eastAsia" w:ascii="仿宋" w:hAnsi="仿宋" w:eastAsia="仿宋" w:cs="仿宋"/>
                <w:sz w:val="20"/>
                <w:szCs w:val="20"/>
              </w:rPr>
              <w:t>服务满意度</w:t>
            </w:r>
          </w:p>
        </w:tc>
        <w:tc>
          <w:tcPr>
            <w:tcW w:w="373" w:type="pct"/>
            <w:tcMar>
              <w:top w:w="60" w:type="dxa"/>
              <w:left w:w="120" w:type="dxa"/>
              <w:bottom w:w="30" w:type="dxa"/>
              <w:right w:w="120" w:type="dxa"/>
            </w:tcMar>
            <w:vAlign w:val="center"/>
          </w:tcPr>
          <w:p w14:paraId="7B6775B3">
            <w:pPr>
              <w:jc w:val="center"/>
              <w:rPr>
                <w:rFonts w:ascii="仿宋" w:hAnsi="仿宋" w:eastAsia="仿宋" w:cs="仿宋"/>
                <w:sz w:val="20"/>
                <w:szCs w:val="20"/>
              </w:rPr>
            </w:pPr>
            <w:r>
              <w:rPr>
                <w:rFonts w:hint="eastAsia" w:ascii="仿宋" w:hAnsi="仿宋" w:eastAsia="仿宋" w:cs="仿宋"/>
                <w:sz w:val="20"/>
                <w:szCs w:val="20"/>
              </w:rPr>
              <w:t>3</w:t>
            </w:r>
          </w:p>
        </w:tc>
        <w:tc>
          <w:tcPr>
            <w:tcW w:w="447" w:type="pct"/>
            <w:tcMar>
              <w:top w:w="60" w:type="dxa"/>
              <w:left w:w="120" w:type="dxa"/>
              <w:bottom w:w="30" w:type="dxa"/>
              <w:right w:w="120" w:type="dxa"/>
            </w:tcMar>
            <w:vAlign w:val="center"/>
          </w:tcPr>
          <w:p w14:paraId="2A0A5B3F">
            <w:pPr>
              <w:jc w:val="center"/>
              <w:rPr>
                <w:rFonts w:ascii="仿宋" w:hAnsi="仿宋" w:eastAsia="仿宋" w:cs="仿宋"/>
                <w:sz w:val="20"/>
                <w:szCs w:val="20"/>
              </w:rPr>
            </w:pPr>
            <w:r>
              <w:rPr>
                <w:rFonts w:hint="eastAsia" w:ascii="仿宋" w:hAnsi="仿宋" w:eastAsia="仿宋" w:cs="仿宋"/>
                <w:sz w:val="20"/>
                <w:szCs w:val="20"/>
              </w:rPr>
              <w:t>3</w:t>
            </w:r>
          </w:p>
        </w:tc>
        <w:tc>
          <w:tcPr>
            <w:tcW w:w="2612" w:type="pct"/>
            <w:tcMar>
              <w:top w:w="60" w:type="dxa"/>
              <w:left w:w="120" w:type="dxa"/>
              <w:bottom w:w="30" w:type="dxa"/>
              <w:right w:w="120" w:type="dxa"/>
            </w:tcMar>
            <w:vAlign w:val="center"/>
          </w:tcPr>
          <w:p w14:paraId="6D4B7157">
            <w:pPr>
              <w:rPr>
                <w:rFonts w:ascii="仿宋" w:hAnsi="仿宋" w:eastAsia="仿宋" w:cs="仿宋"/>
                <w:sz w:val="20"/>
                <w:szCs w:val="20"/>
              </w:rPr>
            </w:pPr>
            <w:r>
              <w:rPr>
                <w:rFonts w:hint="eastAsia" w:ascii="仿宋" w:hAnsi="仿宋" w:eastAsia="仿宋" w:cs="仿宋"/>
                <w:sz w:val="20"/>
                <w:szCs w:val="20"/>
              </w:rPr>
              <w:t>服务满意度＜90% 的，扣 3 分；发生重大服务质量投诉的，本项 3 分全部扣除</w:t>
            </w:r>
          </w:p>
        </w:tc>
      </w:tr>
      <w:tr w14:paraId="5A583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vMerge w:val="continue"/>
            <w:tcMar>
              <w:top w:w="60" w:type="dxa"/>
              <w:left w:w="120" w:type="dxa"/>
              <w:bottom w:w="30" w:type="dxa"/>
              <w:right w:w="120" w:type="dxa"/>
            </w:tcMar>
            <w:vAlign w:val="center"/>
          </w:tcPr>
          <w:p w14:paraId="5162F583">
            <w:pPr>
              <w:jc w:val="center"/>
              <w:rPr>
                <w:rFonts w:ascii="仿宋" w:hAnsi="仿宋" w:eastAsia="仿宋" w:cs="仿宋"/>
                <w:sz w:val="20"/>
                <w:szCs w:val="20"/>
              </w:rPr>
            </w:pPr>
          </w:p>
        </w:tc>
        <w:tc>
          <w:tcPr>
            <w:tcW w:w="671" w:type="pct"/>
            <w:vMerge w:val="continue"/>
            <w:tcMar>
              <w:top w:w="60" w:type="dxa"/>
              <w:left w:w="120" w:type="dxa"/>
              <w:bottom w:w="30" w:type="dxa"/>
              <w:right w:w="120" w:type="dxa"/>
            </w:tcMar>
            <w:vAlign w:val="center"/>
          </w:tcPr>
          <w:p w14:paraId="380678D9">
            <w:pPr>
              <w:jc w:val="center"/>
              <w:rPr>
                <w:rFonts w:ascii="仿宋" w:hAnsi="仿宋" w:eastAsia="仿宋" w:cs="仿宋"/>
                <w:sz w:val="20"/>
                <w:szCs w:val="20"/>
              </w:rPr>
            </w:pPr>
          </w:p>
        </w:tc>
        <w:tc>
          <w:tcPr>
            <w:tcW w:w="596" w:type="pct"/>
            <w:tcMar>
              <w:top w:w="60" w:type="dxa"/>
              <w:left w:w="120" w:type="dxa"/>
              <w:bottom w:w="30" w:type="dxa"/>
              <w:right w:w="120" w:type="dxa"/>
            </w:tcMar>
            <w:vAlign w:val="center"/>
          </w:tcPr>
          <w:p w14:paraId="172F31A3">
            <w:pPr>
              <w:jc w:val="center"/>
              <w:rPr>
                <w:rFonts w:ascii="仿宋" w:hAnsi="仿宋" w:eastAsia="仿宋" w:cs="仿宋"/>
                <w:sz w:val="20"/>
                <w:szCs w:val="20"/>
              </w:rPr>
            </w:pPr>
            <w:r>
              <w:rPr>
                <w:rFonts w:hint="eastAsia" w:ascii="仿宋" w:hAnsi="仿宋" w:eastAsia="仿宋" w:cs="仿宋"/>
                <w:sz w:val="20"/>
                <w:szCs w:val="20"/>
              </w:rPr>
              <w:t>项目管理评价</w:t>
            </w:r>
          </w:p>
        </w:tc>
        <w:tc>
          <w:tcPr>
            <w:tcW w:w="373" w:type="pct"/>
            <w:tcMar>
              <w:top w:w="60" w:type="dxa"/>
              <w:left w:w="120" w:type="dxa"/>
              <w:bottom w:w="30" w:type="dxa"/>
              <w:right w:w="120" w:type="dxa"/>
            </w:tcMar>
            <w:vAlign w:val="center"/>
          </w:tcPr>
          <w:p w14:paraId="3832C39D">
            <w:pPr>
              <w:jc w:val="center"/>
              <w:rPr>
                <w:rFonts w:ascii="仿宋" w:hAnsi="仿宋" w:eastAsia="仿宋" w:cs="仿宋"/>
                <w:sz w:val="20"/>
                <w:szCs w:val="20"/>
              </w:rPr>
            </w:pPr>
            <w:r>
              <w:rPr>
                <w:rFonts w:hint="eastAsia" w:ascii="仿宋" w:hAnsi="仿宋" w:eastAsia="仿宋" w:cs="仿宋"/>
                <w:sz w:val="20"/>
                <w:szCs w:val="20"/>
              </w:rPr>
              <w:t>2</w:t>
            </w:r>
          </w:p>
        </w:tc>
        <w:tc>
          <w:tcPr>
            <w:tcW w:w="447" w:type="pct"/>
            <w:tcMar>
              <w:top w:w="60" w:type="dxa"/>
              <w:left w:w="120" w:type="dxa"/>
              <w:bottom w:w="30" w:type="dxa"/>
              <w:right w:w="120" w:type="dxa"/>
            </w:tcMar>
            <w:vAlign w:val="center"/>
          </w:tcPr>
          <w:p w14:paraId="1069975A">
            <w:pPr>
              <w:jc w:val="center"/>
              <w:rPr>
                <w:rFonts w:ascii="仿宋" w:hAnsi="仿宋" w:eastAsia="仿宋" w:cs="仿宋"/>
                <w:sz w:val="20"/>
                <w:szCs w:val="20"/>
              </w:rPr>
            </w:pPr>
            <w:r>
              <w:rPr>
                <w:rFonts w:hint="eastAsia" w:ascii="仿宋" w:hAnsi="仿宋" w:eastAsia="仿宋" w:cs="仿宋"/>
                <w:sz w:val="20"/>
                <w:szCs w:val="20"/>
              </w:rPr>
              <w:t>2</w:t>
            </w:r>
          </w:p>
        </w:tc>
        <w:tc>
          <w:tcPr>
            <w:tcW w:w="2612" w:type="pct"/>
            <w:tcMar>
              <w:top w:w="60" w:type="dxa"/>
              <w:left w:w="120" w:type="dxa"/>
              <w:bottom w:w="30" w:type="dxa"/>
              <w:right w:w="120" w:type="dxa"/>
            </w:tcMar>
            <w:vAlign w:val="center"/>
          </w:tcPr>
          <w:p w14:paraId="15EA52B0">
            <w:pPr>
              <w:rPr>
                <w:rFonts w:ascii="仿宋" w:hAnsi="仿宋" w:eastAsia="仿宋" w:cs="仿宋"/>
                <w:sz w:val="20"/>
                <w:szCs w:val="20"/>
              </w:rPr>
            </w:pPr>
            <w:r>
              <w:rPr>
                <w:rFonts w:hint="eastAsia" w:ascii="仿宋" w:hAnsi="仿宋" w:eastAsia="仿宋" w:cs="仿宋"/>
                <w:sz w:val="20"/>
                <w:szCs w:val="20"/>
              </w:rPr>
              <w:t>采购人信息科对服务商项目管理、协调能力评价不合格的，本项 2 分全部扣除</w:t>
            </w:r>
          </w:p>
        </w:tc>
      </w:tr>
      <w:tr w14:paraId="7940A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98" w:type="pct"/>
            <w:tcMar>
              <w:top w:w="60" w:type="dxa"/>
              <w:left w:w="120" w:type="dxa"/>
              <w:bottom w:w="30" w:type="dxa"/>
              <w:right w:w="120" w:type="dxa"/>
            </w:tcMar>
            <w:vAlign w:val="center"/>
          </w:tcPr>
          <w:p w14:paraId="41BFBAB5">
            <w:pPr>
              <w:jc w:val="center"/>
              <w:rPr>
                <w:rFonts w:ascii="仿宋" w:hAnsi="仿宋" w:eastAsia="仿宋" w:cs="仿宋"/>
                <w:sz w:val="20"/>
                <w:szCs w:val="20"/>
              </w:rPr>
            </w:pPr>
            <w:r>
              <w:rPr>
                <w:rFonts w:hint="eastAsia" w:ascii="仿宋" w:hAnsi="仿宋" w:eastAsia="仿宋" w:cs="仿宋"/>
                <w:sz w:val="20"/>
                <w:szCs w:val="20"/>
              </w:rPr>
              <w:t>合计</w:t>
            </w:r>
          </w:p>
        </w:tc>
        <w:tc>
          <w:tcPr>
            <w:tcW w:w="671" w:type="pct"/>
            <w:tcMar>
              <w:top w:w="60" w:type="dxa"/>
              <w:left w:w="120" w:type="dxa"/>
              <w:bottom w:w="30" w:type="dxa"/>
              <w:right w:w="120" w:type="dxa"/>
            </w:tcMar>
            <w:vAlign w:val="center"/>
          </w:tcPr>
          <w:p w14:paraId="78BF6CD1">
            <w:pPr>
              <w:jc w:val="center"/>
              <w:rPr>
                <w:rFonts w:ascii="仿宋" w:hAnsi="仿宋" w:eastAsia="仿宋" w:cs="仿宋"/>
                <w:sz w:val="20"/>
                <w:szCs w:val="20"/>
              </w:rPr>
            </w:pPr>
            <w:r>
              <w:rPr>
                <w:rFonts w:hint="eastAsia" w:ascii="仿宋" w:hAnsi="仿宋" w:eastAsia="仿宋" w:cs="仿宋"/>
                <w:sz w:val="20"/>
                <w:szCs w:val="20"/>
              </w:rPr>
              <w:t>-</w:t>
            </w:r>
          </w:p>
        </w:tc>
        <w:tc>
          <w:tcPr>
            <w:tcW w:w="596" w:type="pct"/>
            <w:tcMar>
              <w:top w:w="60" w:type="dxa"/>
              <w:left w:w="120" w:type="dxa"/>
              <w:bottom w:w="30" w:type="dxa"/>
              <w:right w:w="120" w:type="dxa"/>
            </w:tcMar>
            <w:vAlign w:val="center"/>
          </w:tcPr>
          <w:p w14:paraId="7C0323FF">
            <w:pPr>
              <w:jc w:val="center"/>
              <w:rPr>
                <w:rFonts w:ascii="仿宋" w:hAnsi="仿宋" w:eastAsia="仿宋" w:cs="仿宋"/>
                <w:sz w:val="20"/>
                <w:szCs w:val="20"/>
              </w:rPr>
            </w:pPr>
            <w:r>
              <w:rPr>
                <w:rFonts w:hint="eastAsia" w:ascii="仿宋" w:hAnsi="仿宋" w:eastAsia="仿宋" w:cs="仿宋"/>
                <w:sz w:val="20"/>
                <w:szCs w:val="20"/>
              </w:rPr>
              <w:t>-</w:t>
            </w:r>
          </w:p>
        </w:tc>
        <w:tc>
          <w:tcPr>
            <w:tcW w:w="373" w:type="pct"/>
            <w:tcMar>
              <w:top w:w="60" w:type="dxa"/>
              <w:left w:w="120" w:type="dxa"/>
              <w:bottom w:w="30" w:type="dxa"/>
              <w:right w:w="120" w:type="dxa"/>
            </w:tcMar>
            <w:vAlign w:val="center"/>
          </w:tcPr>
          <w:p w14:paraId="0CBEB6B5">
            <w:pPr>
              <w:jc w:val="center"/>
              <w:rPr>
                <w:rFonts w:ascii="仿宋" w:hAnsi="仿宋" w:eastAsia="仿宋" w:cs="仿宋"/>
                <w:sz w:val="20"/>
                <w:szCs w:val="20"/>
              </w:rPr>
            </w:pPr>
            <w:r>
              <w:rPr>
                <w:rFonts w:hint="eastAsia" w:ascii="仿宋" w:hAnsi="仿宋" w:eastAsia="仿宋" w:cs="仿宋"/>
                <w:sz w:val="20"/>
                <w:szCs w:val="20"/>
              </w:rPr>
              <w:t>100</w:t>
            </w:r>
          </w:p>
        </w:tc>
        <w:tc>
          <w:tcPr>
            <w:tcW w:w="447" w:type="pct"/>
            <w:tcMar>
              <w:top w:w="60" w:type="dxa"/>
              <w:left w:w="120" w:type="dxa"/>
              <w:bottom w:w="30" w:type="dxa"/>
              <w:right w:w="120" w:type="dxa"/>
            </w:tcMar>
            <w:vAlign w:val="center"/>
          </w:tcPr>
          <w:p w14:paraId="33C881F3">
            <w:pPr>
              <w:jc w:val="center"/>
              <w:rPr>
                <w:rFonts w:ascii="仿宋" w:hAnsi="仿宋" w:eastAsia="仿宋" w:cs="仿宋"/>
                <w:sz w:val="20"/>
                <w:szCs w:val="20"/>
              </w:rPr>
            </w:pPr>
            <w:r>
              <w:rPr>
                <w:rFonts w:hint="eastAsia" w:ascii="仿宋" w:hAnsi="仿宋" w:eastAsia="仿宋" w:cs="仿宋"/>
                <w:sz w:val="20"/>
                <w:szCs w:val="20"/>
              </w:rPr>
              <w:t>100</w:t>
            </w:r>
          </w:p>
        </w:tc>
        <w:tc>
          <w:tcPr>
            <w:tcW w:w="2612" w:type="pct"/>
            <w:tcMar>
              <w:top w:w="60" w:type="dxa"/>
              <w:left w:w="120" w:type="dxa"/>
              <w:bottom w:w="30" w:type="dxa"/>
              <w:right w:w="120" w:type="dxa"/>
            </w:tcMar>
            <w:vAlign w:val="center"/>
          </w:tcPr>
          <w:p w14:paraId="6F247411">
            <w:pPr>
              <w:rPr>
                <w:rFonts w:ascii="仿宋" w:hAnsi="仿宋" w:eastAsia="仿宋" w:cs="仿宋"/>
                <w:sz w:val="20"/>
                <w:szCs w:val="20"/>
              </w:rPr>
            </w:pPr>
            <w:r>
              <w:rPr>
                <w:rFonts w:hint="eastAsia" w:ascii="仿宋" w:hAnsi="仿宋" w:eastAsia="仿宋" w:cs="仿宋"/>
                <w:sz w:val="20"/>
                <w:szCs w:val="20"/>
              </w:rPr>
              <w:t>-</w:t>
            </w:r>
          </w:p>
        </w:tc>
      </w:tr>
    </w:tbl>
    <w:p w14:paraId="447FE5BB">
      <w:pPr>
        <w:adjustRightInd w:val="0"/>
        <w:snapToGrid w:val="0"/>
        <w:spacing w:line="360" w:lineRule="auto"/>
        <w:rPr>
          <w:rFonts w:ascii="仿宋_GB2312" w:hAnsi="仿宋_GB2312" w:eastAsia="仿宋_GB2312" w:cs="仿宋_GB2312"/>
          <w:sz w:val="24"/>
        </w:rPr>
      </w:pPr>
    </w:p>
    <w:p w14:paraId="711E233D">
      <w:pPr>
        <w:adjustRightInd w:val="0"/>
        <w:snapToGrid w:val="0"/>
        <w:spacing w:line="360" w:lineRule="auto"/>
        <w:rPr>
          <w:rFonts w:ascii="仿宋_GB2312" w:hAnsi="仿宋_GB2312" w:eastAsia="仿宋_GB2312" w:cs="仿宋_GB2312"/>
          <w:sz w:val="24"/>
        </w:rPr>
      </w:pPr>
    </w:p>
    <w:p w14:paraId="47E8EE10">
      <w:pPr>
        <w:pStyle w:val="2"/>
        <w:rPr>
          <w:rFonts w:hint="default"/>
          <w:lang w:val="en-US" w:eastAsia="zh-CN"/>
        </w:rPr>
      </w:pPr>
      <w:bookmarkStart w:id="0" w:name="_GoBack"/>
      <w:bookmarkEnd w:id="0"/>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252B2">
    <w:pPr>
      <w:pStyle w:val="7"/>
      <w:jc w:val="center"/>
      <w:rPr>
        <w:rFonts w:ascii="宋体"/>
        <w:sz w:val="21"/>
        <w:szCs w:val="21"/>
      </w:rPr>
    </w:pPr>
    <w:r>
      <w:rPr>
        <w:rFonts w:hint="eastAsia" w:ascii="宋体" w:hAnsi="宋体" w:cs="宋体"/>
        <w:kern w:val="0"/>
        <w:sz w:val="21"/>
        <w:szCs w:val="21"/>
      </w:rPr>
      <w:t>第</w:t>
    </w:r>
    <w:r>
      <w:rPr>
        <w:rFonts w:ascii="宋体" w:hAnsi="宋体" w:cs="宋体"/>
        <w:kern w:val="0"/>
        <w:sz w:val="21"/>
        <w:szCs w:val="21"/>
      </w:rPr>
      <w:t xml:space="preserve"> </w:t>
    </w:r>
    <w:r>
      <w:rPr>
        <w:rFonts w:ascii="宋体" w:hAnsi="宋体" w:cs="宋体"/>
        <w:kern w:val="0"/>
        <w:sz w:val="21"/>
        <w:szCs w:val="21"/>
      </w:rPr>
      <w:fldChar w:fldCharType="begin"/>
    </w:r>
    <w:r>
      <w:rPr>
        <w:rFonts w:ascii="宋体" w:hAnsi="宋体" w:cs="宋体"/>
        <w:kern w:val="0"/>
        <w:sz w:val="21"/>
        <w:szCs w:val="21"/>
      </w:rPr>
      <w:instrText xml:space="preserve"> PAGE </w:instrText>
    </w:r>
    <w:r>
      <w:rPr>
        <w:rFonts w:ascii="宋体" w:hAnsi="宋体" w:cs="宋体"/>
        <w:kern w:val="0"/>
        <w:sz w:val="21"/>
        <w:szCs w:val="21"/>
      </w:rPr>
      <w:fldChar w:fldCharType="separate"/>
    </w:r>
    <w:r>
      <w:rPr>
        <w:rFonts w:ascii="宋体" w:hAnsi="宋体" w:cs="宋体"/>
        <w:kern w:val="0"/>
        <w:sz w:val="21"/>
        <w:szCs w:val="21"/>
      </w:rPr>
      <w:t>96</w:t>
    </w:r>
    <w:r>
      <w:rPr>
        <w:rFonts w:ascii="宋体" w:hAnsi="宋体" w:cs="宋体"/>
        <w:kern w:val="0"/>
        <w:sz w:val="21"/>
        <w:szCs w:val="21"/>
      </w:rPr>
      <w:fldChar w:fldCharType="end"/>
    </w:r>
    <w:r>
      <w:rPr>
        <w:rFonts w:ascii="宋体" w:hAnsi="宋体" w:cs="宋体"/>
        <w:kern w:val="0"/>
        <w:sz w:val="21"/>
        <w:szCs w:val="21"/>
      </w:rPr>
      <w:t xml:space="preserve"> </w:t>
    </w:r>
    <w:r>
      <w:rPr>
        <w:rFonts w:hint="eastAsia" w:ascii="宋体" w:hAnsi="宋体" w:cs="宋体"/>
        <w:kern w:val="0"/>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1C3A7">
    <w:pPr>
      <w:pStyle w:val="7"/>
      <w:jc w:val="center"/>
      <w:rPr>
        <w:rFonts w:ascii="宋体"/>
        <w:sz w:val="21"/>
        <w:szCs w:val="21"/>
      </w:rPr>
    </w:pPr>
    <w:r>
      <w:rPr>
        <w:rFonts w:hint="eastAsia" w:ascii="宋体" w:hAnsi="宋体" w:cs="宋体"/>
        <w:kern w:val="0"/>
        <w:sz w:val="21"/>
        <w:szCs w:val="21"/>
      </w:rPr>
      <w:t>第</w:t>
    </w:r>
    <w:r>
      <w:rPr>
        <w:rFonts w:ascii="宋体" w:hAnsi="宋体" w:cs="宋体"/>
        <w:kern w:val="0"/>
        <w:sz w:val="21"/>
        <w:szCs w:val="21"/>
      </w:rPr>
      <w:t xml:space="preserve"> </w:t>
    </w:r>
    <w:r>
      <w:rPr>
        <w:rFonts w:ascii="宋体" w:hAnsi="宋体" w:cs="宋体"/>
        <w:kern w:val="0"/>
        <w:sz w:val="21"/>
        <w:szCs w:val="21"/>
      </w:rPr>
      <w:fldChar w:fldCharType="begin"/>
    </w:r>
    <w:r>
      <w:rPr>
        <w:rFonts w:ascii="宋体" w:hAnsi="宋体" w:cs="宋体"/>
        <w:kern w:val="0"/>
        <w:sz w:val="21"/>
        <w:szCs w:val="21"/>
      </w:rPr>
      <w:instrText xml:space="preserve"> PAGE </w:instrText>
    </w:r>
    <w:r>
      <w:rPr>
        <w:rFonts w:ascii="宋体" w:hAnsi="宋体" w:cs="宋体"/>
        <w:kern w:val="0"/>
        <w:sz w:val="21"/>
        <w:szCs w:val="21"/>
      </w:rPr>
      <w:fldChar w:fldCharType="separate"/>
    </w:r>
    <w:r>
      <w:rPr>
        <w:rFonts w:ascii="宋体" w:hAnsi="宋体" w:cs="宋体"/>
        <w:kern w:val="0"/>
        <w:sz w:val="21"/>
        <w:szCs w:val="21"/>
      </w:rPr>
      <w:t>68</w:t>
    </w:r>
    <w:r>
      <w:rPr>
        <w:rFonts w:ascii="宋体" w:hAnsi="宋体" w:cs="宋体"/>
        <w:kern w:val="0"/>
        <w:sz w:val="21"/>
        <w:szCs w:val="21"/>
      </w:rPr>
      <w:fldChar w:fldCharType="end"/>
    </w:r>
    <w:r>
      <w:rPr>
        <w:rFonts w:ascii="宋体" w:hAnsi="宋体" w:cs="宋体"/>
        <w:kern w:val="0"/>
        <w:sz w:val="21"/>
        <w:szCs w:val="21"/>
      </w:rPr>
      <w:t xml:space="preserve"> </w:t>
    </w:r>
    <w:r>
      <w:rPr>
        <w:rFonts w:hint="eastAsia" w:ascii="宋体" w:hAnsi="宋体" w:cs="宋体"/>
        <w:kern w:val="0"/>
        <w:sz w:val="21"/>
        <w:szCs w:val="21"/>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107914"/>
    <w:rsid w:val="2BBE2DF7"/>
    <w:rsid w:val="39E76805"/>
    <w:rsid w:val="3BFD7647"/>
    <w:rsid w:val="4D6A06BC"/>
    <w:rsid w:val="522D0AC2"/>
    <w:rsid w:val="64307297"/>
    <w:rsid w:val="64C32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9"/>
    <w:pPr>
      <w:keepNext/>
      <w:keepLines/>
      <w:adjustRightInd w:val="0"/>
      <w:spacing w:before="280" w:after="290" w:line="376" w:lineRule="atLeast"/>
      <w:textAlignment w:val="baseline"/>
      <w:outlineLvl w:val="3"/>
    </w:pPr>
    <w:rPr>
      <w:rFonts w:ascii="Arial"/>
      <w:b/>
      <w:spacing w:val="20"/>
      <w:kern w:val="0"/>
      <w:sz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31"/>
      <w:szCs w:val="31"/>
      <w:lang w:eastAsia="en-US"/>
    </w:rPr>
  </w:style>
  <w:style w:type="paragraph" w:styleId="4">
    <w:name w:val="Normal Indent"/>
    <w:basedOn w:val="1"/>
    <w:next w:val="5"/>
    <w:qFormat/>
    <w:uiPriority w:val="99"/>
    <w:pPr>
      <w:ind w:firstLine="420"/>
    </w:pPr>
    <w:rPr>
      <w:szCs w:val="20"/>
    </w:rPr>
  </w:style>
  <w:style w:type="paragraph" w:styleId="5">
    <w:name w:val="toc 4"/>
    <w:basedOn w:val="1"/>
    <w:next w:val="1"/>
    <w:unhideWhenUsed/>
    <w:qFormat/>
    <w:uiPriority w:val="31"/>
    <w:pPr>
      <w:ind w:left="1275"/>
    </w:pPr>
    <w:rPr>
      <w:rFonts w:ascii="Calibri" w:hAnsi="Calibri"/>
      <w:szCs w:val="21"/>
    </w:rPr>
  </w:style>
  <w:style w:type="paragraph" w:styleId="6">
    <w:name w:val="Body Text Indent"/>
    <w:basedOn w:val="1"/>
    <w:next w:val="1"/>
    <w:qFormat/>
    <w:uiPriority w:val="0"/>
    <w:pPr>
      <w:tabs>
        <w:tab w:val="left" w:pos="8640"/>
      </w:tabs>
      <w:ind w:firstLine="420"/>
    </w:pPr>
    <w:rPr>
      <w:rFonts w:ascii="楷体_GB2312" w:eastAsia="楷体_GB2312"/>
      <w:color w:val="000000"/>
      <w:sz w:val="28"/>
    </w:rPr>
  </w:style>
  <w:style w:type="paragraph" w:styleId="7">
    <w:name w:val="footer"/>
    <w:basedOn w:val="1"/>
    <w:next w:val="1"/>
    <w:qFormat/>
    <w:uiPriority w:val="99"/>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paragraph" w:styleId="10">
    <w:name w:val="Body Text First Indent"/>
    <w:basedOn w:val="2"/>
    <w:unhideWhenUsed/>
    <w:qFormat/>
    <w:uiPriority w:val="0"/>
    <w:pPr>
      <w:ind w:firstLine="420" w:firstLineChars="100"/>
    </w:pPr>
    <w:rPr>
      <w:rFonts w:ascii="Calibri" w:hAnsi="Calibri"/>
      <w:sz w:val="18"/>
      <w:szCs w:val="18"/>
    </w:rPr>
  </w:style>
  <w:style w:type="paragraph" w:styleId="11">
    <w:name w:val="Body Text First Indent 2"/>
    <w:basedOn w:val="6"/>
    <w:next w:val="1"/>
    <w:qFormat/>
    <w:uiPriority w:val="0"/>
    <w:pPr>
      <w:ind w:firstLine="200" w:firstLine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_Style 2"/>
    <w:basedOn w:val="1"/>
    <w:qFormat/>
    <w:uiPriority w:val="99"/>
    <w:pPr>
      <w:ind w:firstLine="420" w:firstLineChars="200"/>
    </w:pPr>
    <w:rPr>
      <w:szCs w:val="24"/>
    </w:rPr>
  </w:style>
  <w:style w:type="paragraph" w:customStyle="1" w:styleId="16">
    <w:name w:val="列出段落1"/>
    <w:basedOn w:val="1"/>
    <w:qFormat/>
    <w:uiPriority w:val="34"/>
    <w:pPr>
      <w:ind w:firstLine="420" w:firstLineChars="200"/>
    </w:pPr>
  </w:style>
  <w:style w:type="paragraph" w:styleId="17">
    <w:name w:val="List Paragraph"/>
    <w:basedOn w:val="1"/>
    <w:qFormat/>
    <w:uiPriority w:val="34"/>
    <w:pPr>
      <w:ind w:firstLine="420" w:firstLineChars="200"/>
    </w:pPr>
  </w:style>
  <w:style w:type="paragraph" w:customStyle="1" w:styleId="18">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22</Pages>
  <Words>1877</Words>
  <Characters>1898</Characters>
  <DocSecurity>0</DocSecurity>
  <Lines>0</Lines>
  <Paragraphs>0</Paragraphs>
  <ScaleCrop>false</ScaleCrop>
  <LinksUpToDate>false</LinksUpToDate>
  <CharactersWithSpaces>2401</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2025-06-13T09:15:00Z</dcterms:created>
  <dcterms:modified xsi:type="dcterms:W3CDTF">2026-08-10T06:57:57Z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eyJoZGlkIjoiODQxZGY1OWFiZjYxZWQ4YWNmNzBhMmMxNmZkMzI0ZDciLCJ1c2VySWQiOiIyNzQ5OTcwMTQifQ==</vt:lpwstr>
  </property>
  <property fmtid="{D5CDD505-2E9C-101B-9397-08002B2CF9AE}" pid="4" name="ICV">
    <vt:lpwstr>2A7B3C8737ED4C52AF842FA872DEABAC_12</vt:lpwstr>
  </property>
</Properties>
</file>