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FAF44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color w:val="000000"/>
          <w:kern w:val="0"/>
          <w:sz w:val="24"/>
          <w:szCs w:val="24"/>
          <w:lang w:val="en-US" w:eastAsia="zh-CN" w:bidi="ar"/>
        </w:rPr>
      </w:pPr>
    </w:p>
    <w:p w14:paraId="1E41A18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color w:val="000000"/>
          <w:kern w:val="0"/>
          <w:sz w:val="24"/>
          <w:szCs w:val="24"/>
          <w:lang w:val="en-US" w:eastAsia="zh-CN" w:bidi="ar"/>
        </w:rPr>
      </w:pPr>
    </w:p>
    <w:p w14:paraId="6F2A640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color w:val="000000"/>
          <w:kern w:val="0"/>
          <w:sz w:val="24"/>
          <w:szCs w:val="24"/>
          <w:lang w:val="en-US" w:eastAsia="zh-CN" w:bidi="ar"/>
        </w:rPr>
      </w:pPr>
    </w:p>
    <w:p w14:paraId="1CD268D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bCs/>
          <w:color w:val="000000"/>
          <w:kern w:val="0"/>
          <w:sz w:val="44"/>
          <w:szCs w:val="44"/>
          <w:lang w:val="en-US" w:eastAsia="zh-CN" w:bidi="ar"/>
        </w:rPr>
      </w:pPr>
    </w:p>
    <w:p w14:paraId="048A57B6">
      <w:pPr>
        <w:keepNext w:val="0"/>
        <w:keepLines w:val="0"/>
        <w:pageBreakBefore w:val="0"/>
        <w:widowControl/>
        <w:suppressLineNumbers w:val="0"/>
        <w:kinsoku/>
        <w:wordWrap/>
        <w:overflowPunct/>
        <w:topLinePunct w:val="0"/>
        <w:autoSpaceDE/>
        <w:autoSpaceDN/>
        <w:bidi w:val="0"/>
        <w:adjustRightInd/>
        <w:snapToGrid/>
        <w:spacing w:line="360" w:lineRule="auto"/>
        <w:ind w:firstLine="803" w:firstLineChars="200"/>
        <w:jc w:val="center"/>
        <w:textAlignment w:val="auto"/>
        <w:rPr>
          <w:rFonts w:hint="eastAsia" w:ascii="黑体" w:hAnsi="黑体" w:eastAsia="黑体" w:cs="黑体"/>
          <w:b/>
          <w:bCs/>
          <w:color w:val="000000"/>
          <w:kern w:val="0"/>
          <w:sz w:val="40"/>
          <w:szCs w:val="40"/>
          <w:highlight w:val="none"/>
          <w:lang w:val="en-US" w:eastAsia="zh-CN" w:bidi="ar"/>
        </w:rPr>
      </w:pPr>
      <w:r>
        <w:rPr>
          <w:rFonts w:hint="eastAsia" w:ascii="黑体" w:hAnsi="黑体" w:eastAsia="黑体" w:cs="黑体"/>
          <w:b/>
          <w:bCs/>
          <w:color w:val="000000"/>
          <w:kern w:val="0"/>
          <w:sz w:val="40"/>
          <w:szCs w:val="40"/>
          <w:highlight w:val="none"/>
          <w:lang w:val="en-US" w:eastAsia="zh-CN" w:bidi="ar"/>
        </w:rPr>
        <w:t>2025年国防学院社区嵌入式服务设施建设项目</w:t>
      </w:r>
    </w:p>
    <w:p w14:paraId="064961E1">
      <w:pPr>
        <w:keepNext w:val="0"/>
        <w:keepLines w:val="0"/>
        <w:pageBreakBefore w:val="0"/>
        <w:widowControl/>
        <w:suppressLineNumbers w:val="0"/>
        <w:kinsoku/>
        <w:wordWrap/>
        <w:overflowPunct/>
        <w:topLinePunct w:val="0"/>
        <w:autoSpaceDE/>
        <w:autoSpaceDN/>
        <w:bidi w:val="0"/>
        <w:adjustRightInd/>
        <w:snapToGrid/>
        <w:spacing w:line="360" w:lineRule="auto"/>
        <w:ind w:firstLine="883" w:firstLineChars="200"/>
        <w:jc w:val="center"/>
        <w:textAlignment w:val="auto"/>
        <w:rPr>
          <w:rFonts w:hint="eastAsia" w:ascii="黑体" w:hAnsi="黑体" w:eastAsia="黑体" w:cs="黑体"/>
          <w:b/>
          <w:bCs/>
          <w:color w:val="000000"/>
          <w:kern w:val="0"/>
          <w:sz w:val="44"/>
          <w:szCs w:val="44"/>
          <w:lang w:val="en-US" w:eastAsia="zh-CN" w:bidi="ar"/>
        </w:rPr>
      </w:pPr>
    </w:p>
    <w:p w14:paraId="1E8BD0ED">
      <w:pPr>
        <w:keepNext w:val="0"/>
        <w:keepLines w:val="0"/>
        <w:pageBreakBefore w:val="0"/>
        <w:widowControl/>
        <w:suppressLineNumbers w:val="0"/>
        <w:kinsoku/>
        <w:wordWrap/>
        <w:overflowPunct/>
        <w:topLinePunct w:val="0"/>
        <w:autoSpaceDE/>
        <w:autoSpaceDN/>
        <w:bidi w:val="0"/>
        <w:adjustRightInd/>
        <w:snapToGrid/>
        <w:spacing w:line="360" w:lineRule="auto"/>
        <w:ind w:firstLine="883" w:firstLineChars="200"/>
        <w:jc w:val="center"/>
        <w:textAlignment w:val="auto"/>
        <w:rPr>
          <w:rFonts w:hint="eastAsia" w:ascii="黑体" w:hAnsi="黑体" w:eastAsia="黑体" w:cs="黑体"/>
          <w:b/>
          <w:bCs/>
          <w:color w:val="000000"/>
          <w:kern w:val="0"/>
          <w:sz w:val="44"/>
          <w:szCs w:val="44"/>
          <w:lang w:val="en-US" w:eastAsia="zh-CN" w:bidi="ar"/>
        </w:rPr>
      </w:pPr>
    </w:p>
    <w:p w14:paraId="2C6A562A">
      <w:pPr>
        <w:keepNext w:val="0"/>
        <w:keepLines w:val="0"/>
        <w:pageBreakBefore w:val="0"/>
        <w:widowControl/>
        <w:suppressLineNumbers w:val="0"/>
        <w:kinsoku/>
        <w:wordWrap/>
        <w:overflowPunct/>
        <w:topLinePunct w:val="0"/>
        <w:autoSpaceDE/>
        <w:autoSpaceDN/>
        <w:bidi w:val="0"/>
        <w:adjustRightInd/>
        <w:snapToGrid/>
        <w:spacing w:line="360" w:lineRule="auto"/>
        <w:ind w:firstLine="883" w:firstLineChars="200"/>
        <w:jc w:val="center"/>
        <w:textAlignment w:val="auto"/>
        <w:rPr>
          <w:rFonts w:hint="eastAsia" w:ascii="黑体" w:hAnsi="黑体" w:eastAsia="黑体" w:cs="黑体"/>
          <w:b/>
          <w:bCs/>
          <w:color w:val="000000"/>
          <w:kern w:val="0"/>
          <w:sz w:val="44"/>
          <w:szCs w:val="44"/>
          <w:lang w:val="en-US" w:eastAsia="zh-CN" w:bidi="ar"/>
        </w:rPr>
      </w:pPr>
      <w:r>
        <w:rPr>
          <w:rFonts w:hint="eastAsia" w:ascii="黑体" w:hAnsi="黑体" w:eastAsia="黑体" w:cs="黑体"/>
          <w:b/>
          <w:bCs/>
          <w:color w:val="000000"/>
          <w:kern w:val="0"/>
          <w:sz w:val="44"/>
          <w:szCs w:val="44"/>
          <w:lang w:val="en-US" w:eastAsia="zh-CN" w:bidi="ar"/>
        </w:rPr>
        <w:t>（合同示例范本）</w:t>
      </w:r>
    </w:p>
    <w:p w14:paraId="434A86C3">
      <w:pPr>
        <w:keepNext w:val="0"/>
        <w:keepLines w:val="0"/>
        <w:pageBreakBefore w:val="0"/>
        <w:widowControl/>
        <w:suppressLineNumbers w:val="0"/>
        <w:kinsoku/>
        <w:wordWrap/>
        <w:overflowPunct/>
        <w:topLinePunct w:val="0"/>
        <w:autoSpaceDE/>
        <w:autoSpaceDN/>
        <w:bidi w:val="0"/>
        <w:adjustRightInd/>
        <w:snapToGrid/>
        <w:spacing w:line="360" w:lineRule="auto"/>
        <w:ind w:firstLine="883" w:firstLineChars="200"/>
        <w:jc w:val="center"/>
        <w:textAlignment w:val="auto"/>
        <w:rPr>
          <w:rFonts w:hint="eastAsia" w:ascii="黑体" w:hAnsi="黑体" w:eastAsia="黑体" w:cs="黑体"/>
          <w:b/>
          <w:bCs/>
          <w:color w:val="000000"/>
          <w:kern w:val="0"/>
          <w:sz w:val="44"/>
          <w:szCs w:val="44"/>
          <w:lang w:val="en-US" w:eastAsia="zh-CN" w:bidi="ar"/>
        </w:rPr>
      </w:pPr>
    </w:p>
    <w:p w14:paraId="551955ED">
      <w:pPr>
        <w:keepNext w:val="0"/>
        <w:keepLines w:val="0"/>
        <w:pageBreakBefore w:val="0"/>
        <w:widowControl/>
        <w:suppressLineNumbers w:val="0"/>
        <w:kinsoku/>
        <w:wordWrap/>
        <w:overflowPunct/>
        <w:topLinePunct w:val="0"/>
        <w:autoSpaceDE/>
        <w:autoSpaceDN/>
        <w:bidi w:val="0"/>
        <w:adjustRightInd/>
        <w:snapToGrid/>
        <w:spacing w:line="360" w:lineRule="auto"/>
        <w:ind w:firstLine="883" w:firstLineChars="200"/>
        <w:jc w:val="left"/>
        <w:textAlignment w:val="auto"/>
        <w:rPr>
          <w:rFonts w:hint="eastAsia" w:ascii="黑体" w:hAnsi="黑体" w:eastAsia="黑体" w:cs="黑体"/>
          <w:b/>
          <w:bCs/>
          <w:color w:val="000000"/>
          <w:kern w:val="0"/>
          <w:sz w:val="44"/>
          <w:szCs w:val="44"/>
          <w:lang w:val="en-US" w:eastAsia="zh-CN" w:bidi="ar"/>
        </w:rPr>
      </w:pPr>
    </w:p>
    <w:p w14:paraId="39DE8486">
      <w:pPr>
        <w:keepNext w:val="0"/>
        <w:keepLines w:val="0"/>
        <w:pageBreakBefore w:val="0"/>
        <w:widowControl/>
        <w:suppressLineNumbers w:val="0"/>
        <w:kinsoku/>
        <w:wordWrap/>
        <w:overflowPunct/>
        <w:topLinePunct w:val="0"/>
        <w:autoSpaceDE/>
        <w:autoSpaceDN/>
        <w:bidi w:val="0"/>
        <w:adjustRightInd/>
        <w:snapToGrid/>
        <w:spacing w:line="360" w:lineRule="auto"/>
        <w:ind w:firstLine="883" w:firstLineChars="200"/>
        <w:jc w:val="left"/>
        <w:textAlignment w:val="auto"/>
        <w:rPr>
          <w:rFonts w:hint="eastAsia" w:ascii="黑体" w:hAnsi="黑体" w:eastAsia="黑体" w:cs="黑体"/>
          <w:b/>
          <w:bCs/>
          <w:color w:val="000000"/>
          <w:kern w:val="0"/>
          <w:sz w:val="44"/>
          <w:szCs w:val="44"/>
          <w:lang w:val="en-US" w:eastAsia="zh-CN" w:bidi="ar"/>
        </w:rPr>
      </w:pPr>
    </w:p>
    <w:p w14:paraId="16073655">
      <w:pPr>
        <w:keepNext w:val="0"/>
        <w:keepLines w:val="0"/>
        <w:pageBreakBefore w:val="0"/>
        <w:widowControl/>
        <w:suppressLineNumbers w:val="0"/>
        <w:kinsoku/>
        <w:wordWrap/>
        <w:overflowPunct/>
        <w:topLinePunct w:val="0"/>
        <w:autoSpaceDE/>
        <w:autoSpaceDN/>
        <w:bidi w:val="0"/>
        <w:adjustRightInd/>
        <w:snapToGrid/>
        <w:spacing w:line="360" w:lineRule="auto"/>
        <w:ind w:firstLine="883" w:firstLineChars="200"/>
        <w:jc w:val="left"/>
        <w:textAlignment w:val="auto"/>
        <w:rPr>
          <w:rFonts w:hint="eastAsia" w:ascii="黑体" w:hAnsi="黑体" w:eastAsia="黑体" w:cs="黑体"/>
          <w:b/>
          <w:bCs/>
          <w:color w:val="000000"/>
          <w:kern w:val="0"/>
          <w:sz w:val="44"/>
          <w:szCs w:val="44"/>
          <w:lang w:val="en-US" w:eastAsia="zh-CN" w:bidi="ar"/>
        </w:rPr>
      </w:pPr>
    </w:p>
    <w:p w14:paraId="70BE5E24">
      <w:pPr>
        <w:keepNext w:val="0"/>
        <w:keepLines w:val="0"/>
        <w:pageBreakBefore w:val="0"/>
        <w:widowControl/>
        <w:suppressLineNumbers w:val="0"/>
        <w:kinsoku/>
        <w:wordWrap/>
        <w:overflowPunct/>
        <w:topLinePunct w:val="0"/>
        <w:autoSpaceDE/>
        <w:autoSpaceDN/>
        <w:bidi w:val="0"/>
        <w:adjustRightInd/>
        <w:snapToGrid/>
        <w:spacing w:line="360" w:lineRule="auto"/>
        <w:ind w:firstLine="883" w:firstLineChars="200"/>
        <w:jc w:val="left"/>
        <w:textAlignment w:val="auto"/>
        <w:rPr>
          <w:rFonts w:hint="eastAsia" w:ascii="黑体" w:hAnsi="黑体" w:eastAsia="黑体" w:cs="黑体"/>
          <w:b/>
          <w:bCs/>
          <w:color w:val="000000"/>
          <w:kern w:val="0"/>
          <w:sz w:val="44"/>
          <w:szCs w:val="44"/>
          <w:lang w:val="en-US" w:eastAsia="zh-CN" w:bidi="ar"/>
        </w:rPr>
      </w:pPr>
    </w:p>
    <w:p w14:paraId="743B07B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黑体" w:hAnsi="黑体" w:eastAsia="黑体" w:cs="黑体"/>
          <w:b/>
          <w:bCs/>
          <w:color w:val="000000"/>
          <w:kern w:val="0"/>
          <w:sz w:val="44"/>
          <w:szCs w:val="44"/>
          <w:lang w:val="en-US" w:eastAsia="zh-CN" w:bidi="ar"/>
        </w:rPr>
      </w:pPr>
    </w:p>
    <w:p w14:paraId="65BAF93E">
      <w:pPr>
        <w:keepNext w:val="0"/>
        <w:keepLines w:val="0"/>
        <w:pageBreakBefore w:val="0"/>
        <w:widowControl/>
        <w:suppressLineNumbers w:val="0"/>
        <w:kinsoku/>
        <w:wordWrap/>
        <w:overflowPunct/>
        <w:topLinePunct w:val="0"/>
        <w:autoSpaceDE/>
        <w:autoSpaceDN/>
        <w:bidi w:val="0"/>
        <w:adjustRightInd/>
        <w:snapToGrid/>
        <w:spacing w:line="360" w:lineRule="auto"/>
        <w:ind w:firstLine="883" w:firstLineChars="200"/>
        <w:jc w:val="left"/>
        <w:textAlignment w:val="auto"/>
        <w:rPr>
          <w:rFonts w:hint="eastAsia" w:ascii="黑体" w:hAnsi="黑体" w:eastAsia="黑体" w:cs="黑体"/>
          <w:b/>
          <w:bCs/>
          <w:color w:val="000000"/>
          <w:kern w:val="0"/>
          <w:sz w:val="44"/>
          <w:szCs w:val="44"/>
          <w:lang w:val="en-US" w:eastAsia="zh-CN" w:bidi="ar"/>
        </w:rPr>
      </w:pPr>
    </w:p>
    <w:p w14:paraId="15D206DB">
      <w:pPr>
        <w:keepNext w:val="0"/>
        <w:keepLines w:val="0"/>
        <w:pageBreakBefore w:val="0"/>
        <w:widowControl/>
        <w:suppressLineNumbers w:val="0"/>
        <w:kinsoku/>
        <w:wordWrap/>
        <w:overflowPunct/>
        <w:topLinePunct w:val="0"/>
        <w:autoSpaceDE/>
        <w:autoSpaceDN/>
        <w:bidi w:val="0"/>
        <w:adjustRightInd/>
        <w:snapToGrid/>
        <w:spacing w:line="360" w:lineRule="auto"/>
        <w:ind w:firstLine="883" w:firstLineChars="200"/>
        <w:jc w:val="left"/>
        <w:textAlignment w:val="auto"/>
        <w:rPr>
          <w:rFonts w:hint="eastAsia" w:ascii="黑体" w:hAnsi="黑体" w:eastAsia="黑体" w:cs="黑体"/>
          <w:b/>
          <w:bCs/>
          <w:color w:val="000000"/>
          <w:kern w:val="0"/>
          <w:sz w:val="44"/>
          <w:szCs w:val="44"/>
          <w:lang w:val="en-US" w:eastAsia="zh-CN" w:bidi="ar"/>
        </w:rPr>
      </w:pPr>
    </w:p>
    <w:p w14:paraId="6F1F643D">
      <w:pPr>
        <w:keepNext w:val="0"/>
        <w:keepLines w:val="0"/>
        <w:pageBreakBefore w:val="0"/>
        <w:widowControl/>
        <w:suppressLineNumbers w:val="0"/>
        <w:kinsoku/>
        <w:wordWrap/>
        <w:overflowPunct/>
        <w:topLinePunct w:val="0"/>
        <w:autoSpaceDE/>
        <w:autoSpaceDN/>
        <w:bidi w:val="0"/>
        <w:adjustRightInd/>
        <w:snapToGrid/>
        <w:spacing w:line="360" w:lineRule="auto"/>
        <w:ind w:firstLine="562" w:firstLineChars="200"/>
        <w:jc w:val="left"/>
        <w:textAlignment w:val="auto"/>
        <w:rPr>
          <w:rFonts w:hint="eastAsia" w:ascii="黑体" w:hAnsi="黑体" w:eastAsia="黑体" w:cs="黑体"/>
          <w:sz w:val="28"/>
          <w:szCs w:val="28"/>
          <w:u w:val="single"/>
          <w:lang w:val="en-US"/>
        </w:rPr>
      </w:pPr>
      <w:r>
        <w:rPr>
          <w:rFonts w:hint="eastAsia" w:ascii="黑体" w:hAnsi="黑体" w:eastAsia="黑体" w:cs="黑体"/>
          <w:b/>
          <w:bCs/>
          <w:color w:val="000000"/>
          <w:kern w:val="0"/>
          <w:sz w:val="28"/>
          <w:szCs w:val="28"/>
          <w:lang w:val="en-US" w:eastAsia="zh-CN" w:bidi="ar"/>
        </w:rPr>
        <w:t>甲方(采购人)：</w:t>
      </w:r>
      <w:r>
        <w:rPr>
          <w:rFonts w:hint="eastAsia" w:ascii="黑体" w:hAnsi="黑体" w:eastAsia="黑体" w:cs="黑体"/>
          <w:b/>
          <w:bCs/>
          <w:color w:val="000000"/>
          <w:kern w:val="0"/>
          <w:sz w:val="28"/>
          <w:szCs w:val="28"/>
          <w:u w:val="single"/>
          <w:lang w:val="en-US" w:eastAsia="zh-CN" w:bidi="ar"/>
        </w:rPr>
        <w:t xml:space="preserve">                 </w:t>
      </w:r>
    </w:p>
    <w:p w14:paraId="39C74D4B">
      <w:pPr>
        <w:keepNext w:val="0"/>
        <w:keepLines w:val="0"/>
        <w:pageBreakBefore w:val="0"/>
        <w:widowControl/>
        <w:suppressLineNumbers w:val="0"/>
        <w:kinsoku/>
        <w:wordWrap/>
        <w:overflowPunct/>
        <w:topLinePunct w:val="0"/>
        <w:autoSpaceDE/>
        <w:autoSpaceDN/>
        <w:bidi w:val="0"/>
        <w:adjustRightInd/>
        <w:snapToGrid/>
        <w:spacing w:line="360" w:lineRule="auto"/>
        <w:ind w:firstLine="562" w:firstLineChars="200"/>
        <w:jc w:val="left"/>
        <w:textAlignment w:val="auto"/>
        <w:rPr>
          <w:rFonts w:hint="eastAsia" w:ascii="黑体" w:hAnsi="黑体" w:eastAsia="黑体" w:cs="黑体"/>
          <w:sz w:val="28"/>
          <w:szCs w:val="28"/>
          <w:u w:val="single"/>
          <w:lang w:val="en-US"/>
        </w:rPr>
      </w:pPr>
      <w:r>
        <w:rPr>
          <w:rFonts w:hint="eastAsia" w:ascii="黑体" w:hAnsi="黑体" w:eastAsia="黑体" w:cs="黑体"/>
          <w:b/>
          <w:bCs/>
          <w:color w:val="000000"/>
          <w:kern w:val="0"/>
          <w:sz w:val="28"/>
          <w:szCs w:val="28"/>
          <w:lang w:val="en-US" w:eastAsia="zh-CN" w:bidi="ar"/>
        </w:rPr>
        <w:t>乙方(供应商)：</w:t>
      </w:r>
      <w:r>
        <w:rPr>
          <w:rFonts w:hint="eastAsia" w:ascii="黑体" w:hAnsi="黑体" w:eastAsia="黑体" w:cs="黑体"/>
          <w:b/>
          <w:bCs/>
          <w:color w:val="000000"/>
          <w:kern w:val="0"/>
          <w:sz w:val="28"/>
          <w:szCs w:val="28"/>
          <w:u w:val="single"/>
          <w:lang w:val="en-US" w:eastAsia="zh-CN" w:bidi="ar"/>
        </w:rPr>
        <w:t xml:space="preserve">                 </w:t>
      </w:r>
    </w:p>
    <w:p w14:paraId="52001D58">
      <w:pPr>
        <w:keepNext w:val="0"/>
        <w:keepLines w:val="0"/>
        <w:pageBreakBefore w:val="0"/>
        <w:widowControl/>
        <w:suppressLineNumbers w:val="0"/>
        <w:kinsoku/>
        <w:wordWrap/>
        <w:overflowPunct/>
        <w:topLinePunct w:val="0"/>
        <w:autoSpaceDE/>
        <w:autoSpaceDN/>
        <w:bidi w:val="0"/>
        <w:adjustRightInd/>
        <w:snapToGrid/>
        <w:spacing w:line="360" w:lineRule="auto"/>
        <w:ind w:firstLine="562" w:firstLineChars="200"/>
        <w:jc w:val="left"/>
        <w:textAlignment w:val="auto"/>
        <w:rPr>
          <w:rFonts w:hint="eastAsia" w:ascii="黑体" w:hAnsi="黑体" w:eastAsia="黑体" w:cs="黑体"/>
          <w:b/>
          <w:bCs/>
          <w:color w:val="000000"/>
          <w:kern w:val="0"/>
          <w:sz w:val="28"/>
          <w:szCs w:val="28"/>
          <w:lang w:val="en-US" w:eastAsia="zh-CN" w:bidi="ar"/>
        </w:rPr>
      </w:pPr>
      <w:r>
        <w:rPr>
          <w:rFonts w:hint="eastAsia" w:ascii="黑体" w:hAnsi="黑体" w:eastAsia="黑体" w:cs="黑体"/>
          <w:b/>
          <w:bCs/>
          <w:color w:val="000000"/>
          <w:kern w:val="0"/>
          <w:sz w:val="28"/>
          <w:szCs w:val="28"/>
          <w:lang w:val="en-US" w:eastAsia="zh-CN" w:bidi="ar"/>
        </w:rPr>
        <w:t>签订时间：</w:t>
      </w:r>
      <w:r>
        <w:rPr>
          <w:rFonts w:hint="eastAsia" w:ascii="黑体" w:hAnsi="黑体" w:eastAsia="黑体" w:cs="黑体"/>
          <w:b/>
          <w:bCs/>
          <w:color w:val="000000"/>
          <w:kern w:val="0"/>
          <w:sz w:val="28"/>
          <w:szCs w:val="28"/>
          <w:u w:val="single"/>
          <w:lang w:val="en-US" w:eastAsia="zh-CN" w:bidi="ar"/>
        </w:rPr>
        <w:t xml:space="preserve">      </w:t>
      </w:r>
      <w:r>
        <w:rPr>
          <w:rFonts w:hint="eastAsia" w:ascii="黑体" w:hAnsi="黑体" w:eastAsia="黑体" w:cs="黑体"/>
          <w:b/>
          <w:bCs/>
          <w:color w:val="000000"/>
          <w:kern w:val="0"/>
          <w:sz w:val="28"/>
          <w:szCs w:val="28"/>
          <w:lang w:val="en-US" w:eastAsia="zh-CN" w:bidi="ar"/>
        </w:rPr>
        <w:t>年</w:t>
      </w:r>
      <w:r>
        <w:rPr>
          <w:rFonts w:hint="eastAsia" w:ascii="黑体" w:hAnsi="黑体" w:eastAsia="黑体" w:cs="黑体"/>
          <w:b/>
          <w:bCs/>
          <w:color w:val="000000"/>
          <w:kern w:val="0"/>
          <w:sz w:val="28"/>
          <w:szCs w:val="28"/>
          <w:u w:val="single"/>
          <w:lang w:val="en-US" w:eastAsia="zh-CN" w:bidi="ar"/>
        </w:rPr>
        <w:t xml:space="preserve">      </w:t>
      </w:r>
      <w:r>
        <w:rPr>
          <w:rFonts w:hint="eastAsia" w:ascii="黑体" w:hAnsi="黑体" w:eastAsia="黑体" w:cs="黑体"/>
          <w:b/>
          <w:bCs/>
          <w:color w:val="000000"/>
          <w:kern w:val="0"/>
          <w:sz w:val="28"/>
          <w:szCs w:val="28"/>
          <w:lang w:val="en-US" w:eastAsia="zh-CN" w:bidi="ar"/>
        </w:rPr>
        <w:t>月</w:t>
      </w:r>
      <w:r>
        <w:rPr>
          <w:rFonts w:hint="eastAsia" w:ascii="黑体" w:hAnsi="黑体" w:eastAsia="黑体" w:cs="黑体"/>
          <w:b/>
          <w:bCs/>
          <w:color w:val="000000"/>
          <w:kern w:val="0"/>
          <w:sz w:val="28"/>
          <w:szCs w:val="28"/>
          <w:u w:val="single"/>
          <w:lang w:val="en-US" w:eastAsia="zh-CN" w:bidi="ar"/>
        </w:rPr>
        <w:t xml:space="preserve">     </w:t>
      </w:r>
      <w:r>
        <w:rPr>
          <w:rFonts w:hint="eastAsia" w:ascii="黑体" w:hAnsi="黑体" w:eastAsia="黑体" w:cs="黑体"/>
          <w:b/>
          <w:bCs/>
          <w:color w:val="000000"/>
          <w:kern w:val="0"/>
          <w:sz w:val="28"/>
          <w:szCs w:val="28"/>
          <w:lang w:val="en-US" w:eastAsia="zh-CN" w:bidi="ar"/>
        </w:rPr>
        <w:t>日</w:t>
      </w:r>
    </w:p>
    <w:p w14:paraId="39258FD7">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br w:type="page"/>
      </w:r>
    </w:p>
    <w:p w14:paraId="20C4144B">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采购人（以下简称甲方）： </w:t>
      </w:r>
    </w:p>
    <w:p w14:paraId="42EE575E">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供应商（以下简称乙方）： </w:t>
      </w:r>
    </w:p>
    <w:p w14:paraId="221424DC">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根据《中华人民共和国民法典》《中华人民共和国政府采购法》和《中华人民共和国建筑法》及其他有关法律、行政法规，为明确双方在施工过程中的权利、义务，经双方协商自愿签订本合同。</w:t>
      </w:r>
    </w:p>
    <w:p w14:paraId="3805C796">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第一条 工程项目</w:t>
      </w:r>
      <w:r>
        <w:rPr>
          <w:rFonts w:hint="eastAsia" w:ascii="仿宋" w:hAnsi="仿宋" w:eastAsia="仿宋" w:cs="仿宋"/>
          <w:sz w:val="24"/>
          <w:szCs w:val="24"/>
          <w:lang w:val="en-US" w:eastAsia="zh-CN"/>
        </w:rPr>
        <w:t xml:space="preserve"> </w:t>
      </w:r>
    </w:p>
    <w:p w14:paraId="6C4C705A">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一、项目名称：2025年国防学院社区嵌入式服务设施建设项目</w:t>
      </w:r>
    </w:p>
    <w:p w14:paraId="440C9D36">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二、项目地点：</w:t>
      </w:r>
      <w:r>
        <w:rPr>
          <w:rFonts w:hint="eastAsia" w:ascii="仿宋" w:hAnsi="仿宋" w:eastAsia="仿宋" w:cs="仿宋"/>
          <w:sz w:val="24"/>
          <w:szCs w:val="24"/>
          <w:highlight w:val="none"/>
          <w:lang w:val="en-US" w:eastAsia="zh-CN"/>
        </w:rPr>
        <w:t xml:space="preserve">甲方指定地点 </w:t>
      </w:r>
    </w:p>
    <w:p w14:paraId="62EE16F8">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三、工程内容：南区：1.新建凉亭一座，布</w:t>
      </w:r>
      <w:bookmarkStart w:id="0" w:name="_GoBack"/>
      <w:bookmarkEnd w:id="0"/>
      <w:r>
        <w:rPr>
          <w:rFonts w:hint="eastAsia" w:ascii="仿宋" w:hAnsi="仿宋" w:eastAsia="仿宋" w:cs="仿宋"/>
          <w:sz w:val="24"/>
          <w:szCs w:val="24"/>
          <w:lang w:val="en-US" w:eastAsia="zh-CN"/>
        </w:rPr>
        <w:t>置老年活动器材、石桌等。</w:t>
      </w:r>
    </w:p>
    <w:p w14:paraId="12B26A3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2.阅览室改造包含内容：墙面翻新刷白，吊顶，更换线路开关，添置书柜、沙发、办公桌、室外广告屏等设施。</w:t>
      </w:r>
    </w:p>
    <w:p w14:paraId="2AABB14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3.二层活动室改造包含内容：墙面翻新刷白，添置棋牌桌、乒乓球桌、柜子，儿童娱乐设施等。</w:t>
      </w:r>
    </w:p>
    <w:p w14:paraId="11FFAC7A">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4.楼栋门口新增电子广告屏，方便社区信息传递。</w:t>
      </w:r>
    </w:p>
    <w:p w14:paraId="3095C111">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北区：1.门房改造包含内容：添置2套装饰柜、一套便民工具箱</w:t>
      </w:r>
    </w:p>
    <w:p w14:paraId="37F586E6">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2.道路改造塑胶地面540m2。</w:t>
      </w:r>
    </w:p>
    <w:p w14:paraId="27D56E49">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3.东西南北4个休息区改造塑胶地面，添置桌椅，儿童娱乐设施、老年健身器材等</w:t>
      </w:r>
    </w:p>
    <w:p w14:paraId="18E65D44">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4.办公楼二楼布置党建区域，添置沙发等。</w:t>
      </w:r>
    </w:p>
    <w:p w14:paraId="3A542145">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5.办公楼二楼改造儿童活动室一间包含墙面软板，添置儿童娱乐设施。</w:t>
      </w:r>
    </w:p>
    <w:p w14:paraId="7E1C6A00">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6.添置中医四诊仪一套方便群众观察身体健康情况。</w:t>
      </w:r>
    </w:p>
    <w:p w14:paraId="4B814937">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7.楼栋广告屏安装、布线共16套。</w:t>
      </w:r>
    </w:p>
    <w:p w14:paraId="4E1323DE">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具体详见本项目工程量清单。</w:t>
      </w:r>
    </w:p>
    <w:p w14:paraId="0D1B7F22">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第二条 施工依据</w:t>
      </w:r>
      <w:r>
        <w:rPr>
          <w:rFonts w:hint="eastAsia" w:ascii="仿宋" w:hAnsi="仿宋" w:eastAsia="仿宋" w:cs="仿宋"/>
          <w:sz w:val="24"/>
          <w:szCs w:val="24"/>
          <w:lang w:val="en-US" w:eastAsia="zh-CN"/>
        </w:rPr>
        <w:t xml:space="preserve"> </w:t>
      </w:r>
    </w:p>
    <w:p w14:paraId="7BFB3358">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一、施工合同； </w:t>
      </w:r>
    </w:p>
    <w:p w14:paraId="1DD61681">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二、成交通知书； </w:t>
      </w:r>
    </w:p>
    <w:p w14:paraId="7E64717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三、响应文件及其附件； </w:t>
      </w:r>
    </w:p>
    <w:p w14:paraId="3D6BF011">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四、标准、规范及有关技术文件； </w:t>
      </w:r>
    </w:p>
    <w:p w14:paraId="08D68B43">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五、工程量清单； </w:t>
      </w:r>
    </w:p>
    <w:p w14:paraId="35CACCE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六、工程报价单；</w:t>
      </w:r>
    </w:p>
    <w:p w14:paraId="5865FB11">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七、设计图纸；</w:t>
      </w:r>
    </w:p>
    <w:p w14:paraId="5A993C76">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八、双方有关工程的洽商、变更等书面协议或文件视为施工合同的组成部分。 </w:t>
      </w:r>
    </w:p>
    <w:p w14:paraId="6172357D">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 xml:space="preserve">第三条 工程期限 </w:t>
      </w:r>
    </w:p>
    <w:p w14:paraId="409058DF">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一、工期：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 xml:space="preserve">天。 </w:t>
      </w:r>
    </w:p>
    <w:p w14:paraId="0AB678BC">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二、如遇下列情况，经甲方现场代表签证后，工期可相应顺延（顺延工期应由甲、乙双方共同签字确认） </w:t>
      </w:r>
    </w:p>
    <w:p w14:paraId="496A559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1.在施工中如因停电、停水8小时以上或连续间歇性停水、停电3天以上（每次连续４小时以上），影响正常施工；停水停电2天以上； </w:t>
      </w:r>
    </w:p>
    <w:p w14:paraId="695D10C6">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2.不可抗力因素以及非中标人施工因素影响； </w:t>
      </w:r>
    </w:p>
    <w:p w14:paraId="67F0FE49">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3.因人力不可抗拒的其他因素而延误工期。 </w:t>
      </w:r>
    </w:p>
    <w:p w14:paraId="65A25EA2">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第四条 合同价款及付款方式</w:t>
      </w:r>
      <w:r>
        <w:rPr>
          <w:rFonts w:hint="eastAsia" w:ascii="仿宋" w:hAnsi="仿宋" w:eastAsia="仿宋" w:cs="仿宋"/>
          <w:sz w:val="24"/>
          <w:szCs w:val="24"/>
          <w:lang w:val="en-US" w:eastAsia="zh-CN"/>
        </w:rPr>
        <w:t xml:space="preserve"> </w:t>
      </w:r>
    </w:p>
    <w:p w14:paraId="17A755AA">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1.合同总价：大写人民币____________元； 小写¥___________元；工程量清单报价表详见附件。 </w:t>
      </w:r>
    </w:p>
    <w:p w14:paraId="5911C8C8">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2.合同价款支付方式：</w:t>
      </w:r>
    </w:p>
    <w:p w14:paraId="68974F8B">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（1）合同签订后10个工作日内支付合同总价款40%作为预付款；</w:t>
      </w:r>
    </w:p>
    <w:p w14:paraId="66A009F6">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（2）工程竣工、验收合格后15个工作日内支付合同总价款的60%。</w:t>
      </w:r>
    </w:p>
    <w:p w14:paraId="370E0D5C">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甲方验证乙方开具的增值税专用发票成功后通过银行转账支付费用（发票上应清楚列明其中各项收费内容、增值税金额等相关的金额）。该价款已包含了甲方订立、履行本协议所须支付的税项（包括但不限于增值税或其他任何因履行合同需由乙方承担相关税费），除非双方另有书面文件约定，甲方不再支付任何其他费用。</w:t>
      </w:r>
    </w:p>
    <w:p w14:paraId="4DAE7068">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乙方开具的增值税专用发票，应派遣专人或使用挂号信或者具有良好信誉的特快专递在发票开具后及时送达甲方，甲方签收日期即为送达日期。如逾期送达导致甲方损失的，乙方承担直接经济损失及违约责任。</w:t>
      </w:r>
    </w:p>
    <w:p w14:paraId="7A4ECB33">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如乙方开具的发票不规范、不合法或涉嫌虚开，应承担因此造成甲方的损失赔偿责任，并补充提供合规的发票。其损失赔偿责任不因合同履行完毕而终止。</w:t>
      </w:r>
    </w:p>
    <w:p w14:paraId="7E4B8EEC">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4.甲方开票信息及乙方账户信息：</w:t>
      </w:r>
    </w:p>
    <w:p w14:paraId="567C73E3">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（1）甲方开票信息：</w:t>
      </w:r>
    </w:p>
    <w:p w14:paraId="7E532A97">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纳税人名称：</w:t>
      </w:r>
    </w:p>
    <w:p w14:paraId="23E670AB">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税 号：</w:t>
      </w:r>
    </w:p>
    <w:p w14:paraId="704E1AA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地 址：</w:t>
      </w:r>
    </w:p>
    <w:p w14:paraId="5BA9BAA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开户银行名称：</w:t>
      </w:r>
    </w:p>
    <w:p w14:paraId="1E7E58B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开户行账号：</w:t>
      </w:r>
    </w:p>
    <w:p w14:paraId="33ABFAF1">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联系电话：</w:t>
      </w:r>
    </w:p>
    <w:p w14:paraId="77B8DCFC">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（2）乙方账户信息</w:t>
      </w:r>
    </w:p>
    <w:p w14:paraId="5CCCA8FF">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户 名：</w:t>
      </w:r>
    </w:p>
    <w:p w14:paraId="71778FAC">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开户行：</w:t>
      </w:r>
    </w:p>
    <w:p w14:paraId="5101912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账 号：</w:t>
      </w:r>
    </w:p>
    <w:p w14:paraId="42F91C61">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付款依据：合同、竞争性磋商文件、竞争性磋商响应文件、工程量确认单、供应商提供的等额发票、甲方出具的验收报告。 </w:t>
      </w:r>
    </w:p>
    <w:p w14:paraId="04B4EAA3">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 xml:space="preserve">第五条 建筑材料、设备的供应和采购 </w:t>
      </w:r>
    </w:p>
    <w:p w14:paraId="37DD011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一、工程材料、设备由乙方采购。 </w:t>
      </w:r>
    </w:p>
    <w:p w14:paraId="3931E0D4">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二、乙方采购的材料、设备，必须附有产品合格证和试验报告才能用于工程，甲方认为乙方提供的材料需要复验的，乙方应按要求提供复验报告。经复验符合质量要求的，方可用于工程；复验不符合质量要求的，应退货处理，其复验费和 退货损失由乙方承担。  </w:t>
      </w:r>
    </w:p>
    <w:p w14:paraId="20F8BC62">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第六条 拟派人员</w:t>
      </w:r>
      <w:r>
        <w:rPr>
          <w:rFonts w:hint="eastAsia" w:ascii="仿宋" w:hAnsi="仿宋" w:eastAsia="仿宋" w:cs="仿宋"/>
          <w:sz w:val="24"/>
          <w:szCs w:val="24"/>
          <w:lang w:val="en-US" w:eastAsia="zh-CN"/>
        </w:rPr>
        <w:t xml:space="preserve"> </w:t>
      </w:r>
    </w:p>
    <w:p w14:paraId="153468ED">
      <w:pPr>
        <w:keepNext w:val="0"/>
        <w:keepLines w:val="0"/>
        <w:pageBreakBefore w:val="0"/>
        <w:kinsoku/>
        <w:wordWrap/>
        <w:overflowPunct/>
        <w:topLinePunct w:val="0"/>
        <w:autoSpaceDE/>
        <w:autoSpaceDN/>
        <w:bidi w:val="0"/>
        <w:adjustRightInd/>
        <w:snapToGrid/>
        <w:spacing w:line="360" w:lineRule="auto"/>
        <w:ind w:firstLine="720" w:firstLineChars="3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本项目拟派</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为项目经理，证书编号：</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联系电话：</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，身份证号：</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 xml:space="preserve">； </w:t>
      </w:r>
    </w:p>
    <w:p w14:paraId="7F05BC24">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一、工程具备隐蔽条件，乙方先进行自检，并在验收前 48小时以书面形式通知甲方验收。验收合格，甲方代表在验收记录上签字后，乙方可继续施工。验收不合格，乙方予以整改后再交由甲方重新验收。</w:t>
      </w:r>
    </w:p>
    <w:p w14:paraId="08598525">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二、工程具备竣工验收条件，乙方按国家工程竣工验收有关规定，向甲方提供完整竣工资料及竣工验收报告，甲方组织乙方及相关单位完成竣工验收。</w:t>
      </w:r>
    </w:p>
    <w:p w14:paraId="1A09EACB">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三、符合磋商文件和国家及行业规定的建筑工程质量检验评定“合格”标准。</w:t>
      </w:r>
    </w:p>
    <w:p w14:paraId="5C53D86F">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 xml:space="preserve">第七条 工程质量管理及验收 </w:t>
      </w:r>
    </w:p>
    <w:p w14:paraId="1CC819D7">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1.工程质量标准、规范 </w:t>
      </w:r>
    </w:p>
    <w:p w14:paraId="40840D89">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执行国家、省、市现行的相关规定及标准文件。具体技术要求包括但不限于以下规定、标准、规范：《中华人民共和国安全生产法》中华人民共和国主席令第十三号、《建设工程质量管理条例》中华人民共和国国务院令第 279 号)、《建设工程安全生产管理条例》中华人民共和国国务院令第 393 号、《中华人民共和国建筑法》全国人民代表大会常务委员会第二十八次会议</w:t>
      </w:r>
    </w:p>
    <w:p w14:paraId="00D32F0B">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以上规范、标准如遇调整或最新规范时，以调整后或最新规范内容为准。</w:t>
      </w:r>
    </w:p>
    <w:p w14:paraId="3F1F630A">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2.验收： </w:t>
      </w:r>
    </w:p>
    <w:p w14:paraId="284C60CA">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（1）本工程应按要求完成工程全部内容。 </w:t>
      </w:r>
    </w:p>
    <w:p w14:paraId="7B78A140">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（2）本工程验收标准应符合国家相关工程管理规定及行业标准要求。 </w:t>
      </w:r>
    </w:p>
    <w:p w14:paraId="7ECF7F7F">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（3）乙方提出验收申请，甲方及时组织验收，验收合格后出具验收报告。 </w:t>
      </w:r>
    </w:p>
    <w:p w14:paraId="736B3652">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 xml:space="preserve">第八条 安全施工 </w:t>
      </w:r>
    </w:p>
    <w:p w14:paraId="3DD28060">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乙方应遵守工程建设安全生产有关管理规定，严格按安全标准组织施工，采取必要的安全防护措施，消除事故隐患。由于乙方安全措施不力造成事故的责任和因此发生的费用，由乙方承担，与甲方无关。</w:t>
      </w:r>
    </w:p>
    <w:p w14:paraId="34A24C1B">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第九条 质量保修</w:t>
      </w:r>
      <w:r>
        <w:rPr>
          <w:rFonts w:hint="eastAsia" w:ascii="仿宋" w:hAnsi="仿宋" w:eastAsia="仿宋" w:cs="仿宋"/>
          <w:sz w:val="24"/>
          <w:szCs w:val="24"/>
          <w:lang w:val="en-US" w:eastAsia="zh-CN"/>
        </w:rPr>
        <w:t xml:space="preserve"> </w:t>
      </w:r>
    </w:p>
    <w:p w14:paraId="79C6D16F">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一、本工程质保期自工程竣工验收合格起算。</w:t>
      </w:r>
    </w:p>
    <w:p w14:paraId="7AC1CFB1">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lang w:val="en-US" w:eastAsia="zh-CN"/>
        </w:rPr>
        <w:t>二、工程质保</w:t>
      </w:r>
      <w:r>
        <w:rPr>
          <w:rFonts w:hint="eastAsia" w:ascii="仿宋" w:hAnsi="仿宋" w:eastAsia="仿宋" w:cs="仿宋"/>
          <w:sz w:val="24"/>
          <w:szCs w:val="24"/>
          <w:highlight w:val="none"/>
          <w:lang w:val="en-US" w:eastAsia="zh-CN"/>
        </w:rPr>
        <w:t>期：1年</w:t>
      </w:r>
    </w:p>
    <w:p w14:paraId="0D5AC1FF">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在质保期内因质量问题伤人及伤物等问题由乙方负责维修并承担相关责任及费用；</w:t>
      </w:r>
    </w:p>
    <w:p w14:paraId="41B6813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三、在免费保修期内，乙方应保证通信畅通，令甲方能够随时同乙方取得联系。乙方在接到甲方维修通知后 24 小时内到达现场并及时处理。如乙方更换保 修人员或联系电话，应及时通知甲方。若因乙方通讯不畅或故意不接，拖延推诿， </w:t>
      </w:r>
    </w:p>
    <w:p w14:paraId="7C7E19D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甲方将视为乙方放弃保修责任，有权自行解决，由乙方承担所有费用并加收 3% 的劳务费。 乙方保修联系电话：</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；乙方保修联系人：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w:t>
      </w:r>
    </w:p>
    <w:p w14:paraId="6A7FDF0A">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第十条 双方的权利和义务</w:t>
      </w:r>
      <w:r>
        <w:rPr>
          <w:rFonts w:hint="eastAsia" w:ascii="仿宋" w:hAnsi="仿宋" w:eastAsia="仿宋" w:cs="仿宋"/>
          <w:sz w:val="24"/>
          <w:szCs w:val="24"/>
          <w:lang w:val="en-US" w:eastAsia="zh-CN"/>
        </w:rPr>
        <w:t xml:space="preserve"> </w:t>
      </w:r>
    </w:p>
    <w:p w14:paraId="179EFAB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一、甲方的权利与义务 </w:t>
      </w:r>
    </w:p>
    <w:p w14:paraId="1C42361C">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1）协助提供施工所需水、电、但具体费用由乙方承担； </w:t>
      </w:r>
    </w:p>
    <w:p w14:paraId="1F6799C6">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2）协调处理施工现场地下管线的改造，绿化挖移； </w:t>
      </w:r>
    </w:p>
    <w:p w14:paraId="408165CA">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3）协助违法建筑的水、电源、为乙方创造必要的施工条件； </w:t>
      </w:r>
    </w:p>
    <w:p w14:paraId="167642F6">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4）按照安全文明施工的规定，督促乙方落实安全施工、文明施工措施； </w:t>
      </w:r>
    </w:p>
    <w:p w14:paraId="0E2702BB">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5）对施工工作提出指导性建议或意见、监督、检查，促使施工顺利进行； </w:t>
      </w:r>
    </w:p>
    <w:p w14:paraId="323F1F2E">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6）负责组织相关力量对本工程工作进行验收； </w:t>
      </w:r>
    </w:p>
    <w:p w14:paraId="6683DFF9">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7）做好公安、城管、工商等相关部门的协调工作，保证施工顺利进行； </w:t>
      </w:r>
    </w:p>
    <w:p w14:paraId="06E460AB">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8）按约定支付工程款并索取相应的发票； </w:t>
      </w:r>
    </w:p>
    <w:p w14:paraId="4ABCA561">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9）根据工程范围内工作的具体要求，安排乙方完成与上述工作有关的临时性任务。 </w:t>
      </w:r>
    </w:p>
    <w:p w14:paraId="051F8FDA">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二、乙方的权利与义务 </w:t>
      </w:r>
    </w:p>
    <w:p w14:paraId="3601D9F7">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1）乙方应设置实施过程中必要的办公场所，并保证所有参与上述工作的人员必须统一着装，佩挂“工作人员”胸牌； </w:t>
      </w:r>
    </w:p>
    <w:p w14:paraId="7B9EAD84">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2）每日向甲方提供进度计划，统计报表和工程事故报告，遵守有关部门对施工场地、交通、噪声等的管理规定； </w:t>
      </w:r>
    </w:p>
    <w:p w14:paraId="1510BA2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3）保证施工现场清洁，负责人行道路维护工作； </w:t>
      </w:r>
    </w:p>
    <w:p w14:paraId="7D054034">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4）按照国家及省市政策、法规及甲方确认的施工组织设计或施工方案进行文明动员、文明拆除、文明清运； </w:t>
      </w:r>
    </w:p>
    <w:p w14:paraId="414B0B2C">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5）遵守安全防护和文明施工的规定，建立健全安全防护和文明施工的制度，设专职安全员，负责维护施工现场安全，做到安全文明施工等；</w:t>
      </w:r>
    </w:p>
    <w:p w14:paraId="76E7FB7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6）完善安全防护和文明施工条件，施工机械、设备须附检验报告,严格按照安全防护和文明施工的规定组织施工，采取必要的安全防护措施，消除安全事故隐患； </w:t>
      </w:r>
    </w:p>
    <w:p w14:paraId="66FB6A29">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7)在工程实施期间，乙方应做好施工现场的安全警示标志、安全通道的合理布置、材料与设备的存放与保管、消防设施的安全有效、施工现场的照明与防护 以及政府有关部门关于安全防护、文明施工规定的其他工作； </w:t>
      </w:r>
    </w:p>
    <w:p w14:paraId="50194BF0">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8）按约定收取工程款并出具相应的发票；</w:t>
      </w:r>
    </w:p>
    <w:p w14:paraId="3354B5F6">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9）工作人员应服从甲方的领导、监督和管理，遵守工作制度和纪律，依法完成工作内容；</w:t>
      </w:r>
    </w:p>
    <w:p w14:paraId="242057B0">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10）项目实施中发生的各种安全事故或人员伤亡和各类纠纷等问题，造成的责任、费用等由乙方完全承担；</w:t>
      </w:r>
    </w:p>
    <w:p w14:paraId="289B3B6F">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11）指派专职项目经理负责联系和处理工作的有关事项，参加协调会，协调合同执行过程中遇到的问题，并配备专职安全员每日巡视现场，安全员必须持证上岗； </w:t>
      </w:r>
    </w:p>
    <w:p w14:paraId="7CA01C2A">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12）乙方应严格执行市建尘治发〔2017〕3号文，西安市建设工地扬尘污染防治专项工作组关于印发西安市建设工地和两类企业扬尘污染防治措施的通知，扬尘污染防治应达到文件要求的达到 6 个百分百，7 个到位。如不能达到相关标准则甲方付款时将对相应的相关费用予以扣除； </w:t>
      </w:r>
    </w:p>
    <w:p w14:paraId="384698F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13）乙方应按时发放农民工工资，甲方有权监督乙方在支付当期进度款中发放农民工工资。如乙方未按时发放农民工工资，影响到本工程的质量和进度，甲方有权从未支付款项中按乙方所拟的工资额度直接发放农民工的工资，并按发放金额的50%从乙方的未支付款项中扣除予以处罚； </w:t>
      </w:r>
    </w:p>
    <w:p w14:paraId="7DD814A0">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14)及时向甲方以书面形式汇报工程量及安全情况； </w:t>
      </w:r>
    </w:p>
    <w:p w14:paraId="47EADFC8">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15）完成甲方交办的与工程范围内有关的其他临时性工作。 </w:t>
      </w:r>
    </w:p>
    <w:p w14:paraId="637D6B4C">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 xml:space="preserve">第十一条 违约责任 </w:t>
      </w:r>
    </w:p>
    <w:p w14:paraId="60DE78C5">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1、乙方未能按时竣工的，每延期一日应按总价款的 3‰/天向甲方支付违约金（甲方有权从未支付款项中扣除）；无故延期 15 日以上视为根本性违约， 甲方有权解除本合同，乙方除应全额退还甲方已支付的工程款外，还应向甲方支付违约金。</w:t>
      </w:r>
    </w:p>
    <w:p w14:paraId="771AB441">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2、工程出现质量问题视为乙方严重违约，视情节轻重乙方应按工程款的10%～30%向甲方支付违约金（甲方有权从未支付款项中扣除），此外应赔偿因此给甲方造成的损失。 </w:t>
      </w:r>
    </w:p>
    <w:p w14:paraId="2A6530C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3、乙方擅自解除或终止本合同的，乙方应按合同总价的 20%向甲方支付违约金。 </w:t>
      </w:r>
    </w:p>
    <w:p w14:paraId="5C339E54">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 xml:space="preserve">第十二条 不可抗力 </w:t>
      </w:r>
    </w:p>
    <w:p w14:paraId="2708E644">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 </w:t>
      </w:r>
    </w:p>
    <w:p w14:paraId="493AF2DF">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 xml:space="preserve">第十三条 纠纷解决办法 </w:t>
      </w:r>
    </w:p>
    <w:p w14:paraId="720853B7">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因本合同产生纠纷，如协商无法解决，双方均有权向甲方所在地人民法院提起诉讼。</w:t>
      </w:r>
    </w:p>
    <w:p w14:paraId="5E6CE2F3">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p>
    <w:p w14:paraId="20B3E258">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本合同一式陆份，甲乙双方各执两份，采购代理机构两份，自双方代表签字，加盖双方公章或合同专用章后生效。</w:t>
      </w:r>
    </w:p>
    <w:p w14:paraId="28EF3A2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p>
    <w:p w14:paraId="16BB24E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采购人：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（公章）    供应商：</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（公章） </w:t>
      </w:r>
    </w:p>
    <w:p w14:paraId="772915B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地 址：</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 xml:space="preserve">    </w:t>
      </w:r>
      <w:r>
        <w:rPr>
          <w:rFonts w:hint="eastAsia" w:ascii="仿宋" w:hAnsi="仿宋" w:eastAsia="仿宋" w:cs="仿宋"/>
          <w:sz w:val="24"/>
          <w:szCs w:val="24"/>
          <w:lang w:val="en-US" w:eastAsia="zh-CN"/>
        </w:rPr>
        <w:t>地 址：</w:t>
      </w:r>
      <w:r>
        <w:rPr>
          <w:rFonts w:hint="eastAsia" w:ascii="仿宋" w:hAnsi="仿宋" w:eastAsia="仿宋" w:cs="仿宋"/>
          <w:sz w:val="24"/>
          <w:szCs w:val="24"/>
          <w:u w:val="single"/>
          <w:lang w:val="en-US" w:eastAsia="zh-CN"/>
        </w:rPr>
        <w:t xml:space="preserve">              </w:t>
      </w:r>
    </w:p>
    <w:p w14:paraId="3D8039C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邮政编码：</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邮政编码：</w:t>
      </w:r>
      <w:r>
        <w:rPr>
          <w:rFonts w:hint="eastAsia" w:ascii="仿宋" w:hAnsi="仿宋" w:eastAsia="仿宋" w:cs="仿宋"/>
          <w:sz w:val="24"/>
          <w:szCs w:val="24"/>
          <w:u w:val="single"/>
          <w:lang w:val="en-US" w:eastAsia="zh-CN"/>
        </w:rPr>
        <w:t xml:space="preserve">           </w:t>
      </w:r>
    </w:p>
    <w:p w14:paraId="35A1FF1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法定代表人：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法定代表人：</w:t>
      </w:r>
      <w:r>
        <w:rPr>
          <w:rFonts w:hint="eastAsia" w:ascii="仿宋" w:hAnsi="仿宋" w:eastAsia="仿宋" w:cs="仿宋"/>
          <w:sz w:val="24"/>
          <w:szCs w:val="24"/>
          <w:u w:val="single"/>
          <w:lang w:val="en-US" w:eastAsia="zh-CN"/>
        </w:rPr>
        <w:t xml:space="preserve">         </w:t>
      </w:r>
    </w:p>
    <w:p w14:paraId="404B68E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委托代理人：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委托代理人：</w:t>
      </w:r>
      <w:r>
        <w:rPr>
          <w:rFonts w:hint="eastAsia" w:ascii="仿宋" w:hAnsi="仿宋" w:eastAsia="仿宋" w:cs="仿宋"/>
          <w:sz w:val="24"/>
          <w:szCs w:val="24"/>
          <w:u w:val="single"/>
          <w:lang w:val="en-US" w:eastAsia="zh-CN"/>
        </w:rPr>
        <w:t xml:space="preserve">         </w:t>
      </w:r>
    </w:p>
    <w:p w14:paraId="30BD95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电 话：</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电 话：</w:t>
      </w:r>
      <w:r>
        <w:rPr>
          <w:rFonts w:hint="eastAsia" w:ascii="仿宋" w:hAnsi="仿宋" w:eastAsia="仿宋" w:cs="仿宋"/>
          <w:sz w:val="24"/>
          <w:szCs w:val="24"/>
          <w:u w:val="single"/>
          <w:lang w:val="en-US" w:eastAsia="zh-CN"/>
        </w:rPr>
        <w:t xml:space="preserve">             </w:t>
      </w:r>
    </w:p>
    <w:p w14:paraId="4177181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传 真：</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传 真：</w:t>
      </w:r>
      <w:r>
        <w:rPr>
          <w:rFonts w:hint="eastAsia" w:ascii="仿宋" w:hAnsi="仿宋" w:eastAsia="仿宋" w:cs="仿宋"/>
          <w:sz w:val="24"/>
          <w:szCs w:val="24"/>
          <w:u w:val="single"/>
          <w:lang w:val="en-US" w:eastAsia="zh-CN"/>
        </w:rPr>
        <w:t xml:space="preserve">              </w:t>
      </w:r>
    </w:p>
    <w:p w14:paraId="287471E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开户银行：</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开户银行：</w:t>
      </w:r>
      <w:r>
        <w:rPr>
          <w:rFonts w:hint="eastAsia" w:ascii="仿宋" w:hAnsi="仿宋" w:eastAsia="仿宋" w:cs="仿宋"/>
          <w:sz w:val="24"/>
          <w:szCs w:val="24"/>
          <w:u w:val="single"/>
          <w:lang w:val="en-US" w:eastAsia="zh-CN"/>
        </w:rPr>
        <w:t xml:space="preserve">           </w:t>
      </w:r>
    </w:p>
    <w:p w14:paraId="7DF13C4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账 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账 号：</w:t>
      </w:r>
      <w:r>
        <w:rPr>
          <w:rFonts w:hint="eastAsia" w:ascii="仿宋" w:hAnsi="仿宋" w:eastAsia="仿宋" w:cs="仿宋"/>
          <w:sz w:val="24"/>
          <w:szCs w:val="24"/>
          <w:u w:val="single"/>
          <w:lang w:val="en-US" w:eastAsia="zh-CN"/>
        </w:rPr>
        <w:t xml:space="preserve">              </w:t>
      </w:r>
    </w:p>
    <w:p w14:paraId="041BC26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附件：工程量清单报价表 </w:t>
      </w:r>
    </w:p>
    <w:p w14:paraId="40FF6919">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2NTAwMmZhOGY3YjFmM2JhNTVlZjJiNTk5MTBjMzEifQ=="/>
  </w:docVars>
  <w:rsids>
    <w:rsidRoot w:val="548304CA"/>
    <w:rsid w:val="21B6498A"/>
    <w:rsid w:val="50CD2AC4"/>
    <w:rsid w:val="510C29CE"/>
    <w:rsid w:val="548304CA"/>
    <w:rsid w:val="57EC2F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3942</Words>
  <Characters>4007</Characters>
  <Lines>0</Lines>
  <Paragraphs>0</Paragraphs>
  <TotalTime>3</TotalTime>
  <ScaleCrop>false</ScaleCrop>
  <LinksUpToDate>false</LinksUpToDate>
  <CharactersWithSpaces>4492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2024-12-28T07:44:00Z</dcterms:created>
  <dc:creator>Nuyoah</dc:creator>
  <cp:lastModifiedBy>Administrator</cp:lastModifiedBy>
  <dcterms:modified xsi:type="dcterms:W3CDTF">2026-04-13T09:05:35Z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637BD23B95034A55A59AD202B22F459D_13</vt:lpwstr>
  </property>
  <property fmtid="{D5CDD505-2E9C-101B-9397-08002B2CF9AE}" pid="4" name="KSOTemplateDocerSaveRecord">
    <vt:lpwstr>eyJoZGlkIjoiMjMwMTQ2MjFmOGM3MTNkNTIwNzM4N2YwYjgyYjcxM2YiLCJ1c2VySWQiOiIyMzY2MjkxODgifQ==</vt:lpwstr>
  </property>
</Properties>
</file>