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版本号：HYRZ-2026-01120260506001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镇级控制性详细规划编制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HYRZ-2026-011</w:t>
      </w:r>
      <w:r>
        <w:br/>
      </w:r>
      <w:r>
        <w:br/>
      </w:r>
      <w:r>
        <w:br/>
      </w:r>
    </w:p>
    <w:p>
      <w:pPr>
        <w:pStyle w:val="null3"/>
        <w:jc w:val="center"/>
        <w:outlineLvl w:val="2"/>
      </w:pPr>
      <w:r>
        <w:rPr>
          <w:rFonts w:ascii="仿宋_GB2312" w:hAnsi="仿宋_GB2312" w:cs="仿宋_GB2312" w:eastAsia="仿宋_GB2312"/>
          <w:sz w:val="28"/>
          <w:b/>
        </w:rPr>
        <w:t>留坝县自然资源局</w:t>
      </w:r>
    </w:p>
    <w:p>
      <w:pPr>
        <w:pStyle w:val="null3"/>
        <w:jc w:val="center"/>
        <w:outlineLvl w:val="2"/>
      </w:pPr>
      <w:r>
        <w:rPr>
          <w:rFonts w:ascii="仿宋_GB2312" w:hAnsi="仿宋_GB2312" w:cs="仿宋_GB2312" w:eastAsia="仿宋_GB2312"/>
          <w:sz w:val="28"/>
          <w:b/>
        </w:rPr>
        <w:t>陕西鸿运锐志项目管理有限公司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陕西鸿运锐志项目管理有限公司</w:t>
      </w:r>
      <w:r>
        <w:rPr>
          <w:rFonts w:ascii="仿宋_GB2312" w:hAnsi="仿宋_GB2312" w:cs="仿宋_GB2312" w:eastAsia="仿宋_GB2312"/>
        </w:rPr>
        <w:t>（以下简称“代理机构”）受</w:t>
      </w:r>
      <w:r>
        <w:rPr>
          <w:rFonts w:ascii="仿宋_GB2312" w:hAnsi="仿宋_GB2312" w:cs="仿宋_GB2312" w:eastAsia="仿宋_GB2312"/>
        </w:rPr>
        <w:t>留坝县自然资源局</w:t>
      </w:r>
      <w:r>
        <w:rPr>
          <w:rFonts w:ascii="仿宋_GB2312" w:hAnsi="仿宋_GB2312" w:cs="仿宋_GB2312" w:eastAsia="仿宋_GB2312"/>
        </w:rPr>
        <w:t>委托，拟对</w:t>
      </w:r>
      <w:r>
        <w:rPr>
          <w:rFonts w:ascii="仿宋_GB2312" w:hAnsi="仿宋_GB2312" w:cs="仿宋_GB2312" w:eastAsia="仿宋_GB2312"/>
        </w:rPr>
        <w:t>镇级控制性详细规划编制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HYRZ-2026-011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镇级控制性详细规划编制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本项目为留坝县 7 个乡镇城镇开发边界内详细规划编制项目，核心目的是落实上位国土空间规划及相关专项规划要求，规范乡镇国土空间开发建设秩序，为乡镇各类建设项目实施管理提供科学依据。项目主要工作内容包括：编制 7 个乡镇的单元层面详细规划和实施层面详细规划（可根据实际需求合并编制至实施详规深度），明确乡镇单元主导功能、用地类型、基础设施、公共服务设施及防灾减灾设施布局，细化地块容积率、建筑密度、建筑高度等核心管控指标；同步完成规划文本（含附表）、说明书、图集（现状图、规划图、单元 / 地块图则等）的编制工作，并按照《陕西省城镇开发边界内详细规划数据库标准（试行）》要求，建设 7 个乡镇规划数据库，确保成果规范、数据准确。项目成果需符合《陕西省城镇开发边界内详细规划编制指南（试行）》要求，顺利通过自然资源主管部门合规性审查及备案，为留坝县乡镇国土空间精细化管理、乡村振兴、生态保护等工作提供技术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采购包1（镇级控制性详细规划编制）：属于专门面向中小企业采购。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2、法定代表人证明书及授权书：法定代表人授权书(附法定代表人身份证复印件)及被授权人身份证(法定代表人直 接参加投标只须提供法定代表人身份证);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p>
      <w:pPr>
        <w:pStyle w:val="null3"/>
      </w:pPr>
      <w:r>
        <w:rPr>
          <w:rFonts w:ascii="仿宋_GB2312" w:hAnsi="仿宋_GB2312" w:cs="仿宋_GB2312" w:eastAsia="仿宋_GB2312"/>
        </w:rPr>
        <w:t>4、供应商资质要求：供应商具有行政主管部门颁发的且在有效期内的城乡规划（国土空间规划）编制乙级及以上资质；</w:t>
      </w:r>
    </w:p>
    <w:p>
      <w:pPr>
        <w:pStyle w:val="null3"/>
      </w:pPr>
      <w:r>
        <w:rPr>
          <w:rFonts w:ascii="仿宋_GB2312" w:hAnsi="仿宋_GB2312" w:cs="仿宋_GB2312" w:eastAsia="仿宋_GB2312"/>
        </w:rPr>
        <w:t>5、本项目不接受联合体投标。：供应商需提供非联合体书面声明。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刘利斌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19591248667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陕西鸿运锐志项目管理有限公司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汉中市汉台区东关街道办盛世国际2号写字楼808室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郭利国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0916-2616812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开户名称：陕西鸿运锐志项自管理有限公司</w:t>
            </w:r>
          </w:p>
          <w:p>
            <w:pPr>
              <w:pStyle w:val="null3"/>
            </w:pPr>
            <w:r>
              <w:rPr>
                <w:rFonts w:ascii="仿宋_GB2312" w:hAnsi="仿宋_GB2312" w:cs="仿宋_GB2312" w:eastAsia="仿宋_GB2312"/>
              </w:rPr>
              <w:t>开户银行：中国农业银行陕西省汉中天台路支行</w:t>
            </w:r>
          </w:p>
          <w:p>
            <w:pPr>
              <w:pStyle w:val="null3"/>
            </w:pPr>
            <w:r>
              <w:rPr>
                <w:rFonts w:ascii="仿宋_GB2312" w:hAnsi="仿宋_GB2312" w:cs="仿宋_GB2312" w:eastAsia="仿宋_GB2312"/>
              </w:rPr>
              <w:t>银行账号：26650301040003480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参照《国家计委关于印发&lt;招标代理服务收费管理暂行办法&gt;的通知》（计价格[2002]1980号）和发展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留坝县自然资源局</w:t>
      </w:r>
      <w:r>
        <w:rPr>
          <w:rFonts w:ascii="仿宋_GB2312" w:hAnsi="仿宋_GB2312" w:cs="仿宋_GB2312" w:eastAsia="仿宋_GB2312"/>
        </w:rPr>
        <w:t>和</w:t>
      </w:r>
      <w:r>
        <w:rPr>
          <w:rFonts w:ascii="仿宋_GB2312" w:hAnsi="仿宋_GB2312" w:cs="仿宋_GB2312" w:eastAsia="仿宋_GB2312"/>
        </w:rPr>
        <w:t>陕西鸿运锐志项目管理有限公司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陕西鸿运锐志项目管理有限公司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陕西鸿运锐志项目管理有限公司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满足采购需求，达到国家及行业合格验收标准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陕西鸿运锐志项目管理有限公司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联系人：郭先生</w:t>
      </w:r>
    </w:p>
    <w:p>
      <w:pPr>
        <w:pStyle w:val="null3"/>
      </w:pPr>
      <w:r>
        <w:rPr>
          <w:rFonts w:ascii="仿宋_GB2312" w:hAnsi="仿宋_GB2312" w:cs="仿宋_GB2312" w:eastAsia="仿宋_GB2312"/>
        </w:rPr>
        <w:t>联系电话：09162616812</w:t>
      </w:r>
    </w:p>
    <w:p>
      <w:pPr>
        <w:pStyle w:val="null3"/>
      </w:pPr>
      <w:r>
        <w:rPr>
          <w:rFonts w:ascii="仿宋_GB2312" w:hAnsi="仿宋_GB2312" w:cs="仿宋_GB2312" w:eastAsia="仿宋_GB2312"/>
        </w:rPr>
        <w:t>地址：汉中市汉台区盛世国际2号写字楼808室</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本项目为留坝县 7 个乡镇城镇开发边界内详细规划编制项目，核心目的是落实上位国土空间规划及相关专项规划要求，规范乡镇国土空间开发建设秩序，为乡镇各类建设项目实施管理提供科学依据。项目主要工作内容包括：编制 7 个乡镇的单元层面详细规划和实施层面详细规划（可根据实际需求合并编制至实施详规深度），明确乡镇单元主导功能、用地类型、基础设施、公共服务设施及防灾减灾设施布局，细化地块容积率、建筑密度、建筑高度等核心管控指标；同步完成规划文本（含附表）、说明书、图集（现状图、规划图、单元 / 地块图则等）的编制工作，并按照《陕西省城镇开发边界内详细规划数据库标准（试行）》要求，建设 7 个乡镇规划数据库，确保成果规范、数据准确。项目成果需符合《陕西省城镇开发边界内详细规划编制指南（试行）》要求，顺利通过自然资源主管部门合规性审查及备案，为留坝县乡镇国土空间精细化管理、乡村振兴、生态保护等工作提供技术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镇级控制性详细规划编制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标的名称：镇级控制性详细规划编制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rPr>
              <w:t>一、服务内容与技术要求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单元层面详细规划编制</w:t>
            </w:r>
          </w:p>
          <w:p>
            <w:pPr>
              <w:pStyle w:val="null3"/>
              <w:ind w:firstLine="420"/>
              <w:jc w:val="both"/>
            </w:pPr>
            <w:r>
              <w:rPr>
                <w:rFonts w:ascii="仿宋_GB2312" w:hAnsi="仿宋_GB2312" w:cs="仿宋_GB2312" w:eastAsia="仿宋_GB2312"/>
                <w:sz w:val="28"/>
              </w:rPr>
              <w:t>单元层面详细规划是开展国土空间详细规划编制管理和实施监督的重要空间载体和基础。单元层面详细规划应严格落实上位国土空间规划传导要求，并纳入相关专项规划空间管控内容，明确单元主导功能，细化用地类型，确定基础设施、公共服务设施和防灾减灾设施等相关内容。</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实施层面详细规划编制</w:t>
            </w:r>
          </w:p>
          <w:p>
            <w:pPr>
              <w:pStyle w:val="null3"/>
              <w:ind w:firstLine="420"/>
              <w:jc w:val="both"/>
            </w:pPr>
            <w:r>
              <w:rPr>
                <w:rFonts w:ascii="仿宋_GB2312" w:hAnsi="仿宋_GB2312" w:cs="仿宋_GB2312" w:eastAsia="仿宋_GB2312"/>
                <w:sz w:val="28"/>
              </w:rPr>
              <w:t>实施层面详细规划是建设项目实施管理的基本依据。编制实施层面详细规划，应在落实详细规划单元各项管控要求的基础上，细化城镇建设具体内容，明确用地性质、容积率、建筑密度、建筑高度、绿地率等管控指标和要求。</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、根据《</w:t>
            </w:r>
            <w:r>
              <w:rPr>
                <w:rFonts w:ascii="仿宋_GB2312" w:hAnsi="仿宋_GB2312" w:cs="仿宋_GB2312" w:eastAsia="仿宋_GB2312"/>
                <w:sz w:val="28"/>
              </w:rPr>
              <w:t>陕西省城镇开发边界内详细规划编制指南（试行）</w:t>
            </w:r>
            <w:r>
              <w:rPr>
                <w:rFonts w:ascii="仿宋_GB2312" w:hAnsi="仿宋_GB2312" w:cs="仿宋_GB2312" w:eastAsia="仿宋_GB2312"/>
                <w:sz w:val="28"/>
              </w:rPr>
              <w:t>》</w:t>
            </w:r>
            <w:r>
              <w:rPr>
                <w:rFonts w:ascii="仿宋_GB2312" w:hAnsi="仿宋_GB2312" w:cs="仿宋_GB2312" w:eastAsia="仿宋_GB2312"/>
                <w:sz w:val="28"/>
              </w:rPr>
              <w:t>也可根据实际需要将两个层次合并编制，并表达至实施详规深度。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8"/>
              </w:rPr>
              <w:t>二、成果要求</w:t>
            </w:r>
          </w:p>
          <w:p>
            <w:pPr>
              <w:pStyle w:val="null3"/>
              <w:ind w:firstLine="420"/>
              <w:jc w:val="both"/>
            </w:pPr>
            <w:r>
              <w:rPr>
                <w:rFonts w:ascii="仿宋_GB2312" w:hAnsi="仿宋_GB2312" w:cs="仿宋_GB2312" w:eastAsia="仿宋_GB2312"/>
                <w:sz w:val="28"/>
              </w:rPr>
              <w:t>（一）成果类型与格式要求</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单元层面详细规划编制</w:t>
            </w:r>
            <w:r>
              <w:rPr>
                <w:rFonts w:ascii="仿宋_GB2312" w:hAnsi="仿宋_GB2312" w:cs="仿宋_GB2312" w:eastAsia="仿宋_GB2312"/>
                <w:sz w:val="28"/>
              </w:rPr>
              <w:t>成果</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单元详规文本（含附表）</w:t>
            </w:r>
          </w:p>
          <w:p>
            <w:pPr>
              <w:pStyle w:val="null3"/>
              <w:ind w:firstLine="420"/>
              <w:jc w:val="both"/>
            </w:pPr>
            <w:r>
              <w:rPr>
                <w:rFonts w:ascii="仿宋_GB2312" w:hAnsi="仿宋_GB2312" w:cs="仿宋_GB2312" w:eastAsia="仿宋_GB2312"/>
                <w:sz w:val="28"/>
              </w:rPr>
              <w:t>规划文本应规范、清晰、简洁。文本成果需同时提供</w:t>
            </w:r>
            <w:r>
              <w:rPr>
                <w:rFonts w:ascii="仿宋_GB2312" w:hAnsi="仿宋_GB2312" w:cs="仿宋_GB2312" w:eastAsia="仿宋_GB2312"/>
                <w:sz w:val="28"/>
              </w:rPr>
              <w:t>word</w:t>
            </w:r>
            <w:r>
              <w:rPr>
                <w:rFonts w:ascii="仿宋_GB2312" w:hAnsi="仿宋_GB2312" w:cs="仿宋_GB2312" w:eastAsia="仿宋_GB2312"/>
                <w:sz w:val="28"/>
              </w:rPr>
              <w:t>和</w:t>
            </w:r>
            <w:r>
              <w:rPr>
                <w:rFonts w:ascii="仿宋_GB2312" w:hAnsi="仿宋_GB2312" w:cs="仿宋_GB2312" w:eastAsia="仿宋_GB2312"/>
                <w:sz w:val="28"/>
              </w:rPr>
              <w:t>PDF</w:t>
            </w:r>
            <w:r>
              <w:rPr>
                <w:rFonts w:ascii="仿宋_GB2312" w:hAnsi="仿宋_GB2312" w:cs="仿宋_GB2312" w:eastAsia="仿宋_GB2312"/>
                <w:sz w:val="28"/>
              </w:rPr>
              <w:t>两种格式，采用</w:t>
            </w:r>
            <w:r>
              <w:rPr>
                <w:rFonts w:ascii="仿宋_GB2312" w:hAnsi="仿宋_GB2312" w:cs="仿宋_GB2312" w:eastAsia="仿宋_GB2312"/>
                <w:sz w:val="28"/>
              </w:rPr>
              <w:t>A4</w:t>
            </w:r>
            <w:r>
              <w:rPr>
                <w:rFonts w:ascii="仿宋_GB2312" w:hAnsi="仿宋_GB2312" w:cs="仿宋_GB2312" w:eastAsia="仿宋_GB2312"/>
                <w:sz w:val="28"/>
              </w:rPr>
              <w:t>纸张规格，页码、目录齐全，排版规范统一。</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单元详规编制说明</w:t>
            </w:r>
          </w:p>
          <w:p>
            <w:pPr>
              <w:pStyle w:val="null3"/>
              <w:ind w:firstLine="420"/>
              <w:jc w:val="both"/>
            </w:pPr>
            <w:r>
              <w:rPr>
                <w:rFonts w:ascii="仿宋_GB2312" w:hAnsi="仿宋_GB2312" w:cs="仿宋_GB2312" w:eastAsia="仿宋_GB2312"/>
                <w:sz w:val="28"/>
              </w:rPr>
              <w:t>规划说明应针对文本中的关键问题进行解释说明。说明成果提供</w:t>
            </w:r>
            <w:r>
              <w:rPr>
                <w:rFonts w:ascii="仿宋_GB2312" w:hAnsi="仿宋_GB2312" w:cs="仿宋_GB2312" w:eastAsia="仿宋_GB2312"/>
                <w:sz w:val="28"/>
              </w:rPr>
              <w:t>PDF</w:t>
            </w:r>
            <w:r>
              <w:rPr>
                <w:rFonts w:ascii="仿宋_GB2312" w:hAnsi="仿宋_GB2312" w:cs="仿宋_GB2312" w:eastAsia="仿宋_GB2312"/>
                <w:sz w:val="28"/>
              </w:rPr>
              <w:t>格式，采用</w:t>
            </w:r>
            <w:r>
              <w:rPr>
                <w:rFonts w:ascii="仿宋_GB2312" w:hAnsi="仿宋_GB2312" w:cs="仿宋_GB2312" w:eastAsia="仿宋_GB2312"/>
                <w:sz w:val="28"/>
              </w:rPr>
              <w:t>A4</w:t>
            </w:r>
            <w:r>
              <w:rPr>
                <w:rFonts w:ascii="仿宋_GB2312" w:hAnsi="仿宋_GB2312" w:cs="仿宋_GB2312" w:eastAsia="仿宋_GB2312"/>
                <w:sz w:val="28"/>
              </w:rPr>
              <w:t>纸张规格，页码、目录齐全，排版规范统一。</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单元详规图纸</w:t>
            </w:r>
          </w:p>
          <w:p>
            <w:pPr>
              <w:pStyle w:val="null3"/>
              <w:ind w:firstLine="420"/>
              <w:jc w:val="both"/>
            </w:pPr>
            <w:r>
              <w:rPr>
                <w:rFonts w:ascii="仿宋_GB2312" w:hAnsi="仿宋_GB2312" w:cs="仿宋_GB2312" w:eastAsia="仿宋_GB2312"/>
                <w:sz w:val="28"/>
              </w:rPr>
              <w:t>单元规划图纸包括现状图、规划图和单元图则三部分，各地可以结合实际情况合并或增补图纸。</w:t>
            </w:r>
          </w:p>
          <w:p>
            <w:pPr>
              <w:pStyle w:val="null3"/>
              <w:ind w:firstLine="420"/>
              <w:jc w:val="both"/>
            </w:pPr>
            <w:r>
              <w:rPr>
                <w:rFonts w:ascii="仿宋_GB2312" w:hAnsi="仿宋_GB2312" w:cs="仿宋_GB2312" w:eastAsia="仿宋_GB2312"/>
                <w:sz w:val="28"/>
              </w:rPr>
              <w:t>现状图纸：区位关系图、国土空间现状图、土地权属现状图、用地资源现状分布图。</w:t>
            </w:r>
          </w:p>
          <w:p>
            <w:pPr>
              <w:pStyle w:val="null3"/>
              <w:ind w:firstLine="420"/>
              <w:jc w:val="both"/>
            </w:pPr>
            <w:r>
              <w:rPr>
                <w:rFonts w:ascii="仿宋_GB2312" w:hAnsi="仿宋_GB2312" w:cs="仿宋_GB2312" w:eastAsia="仿宋_GB2312"/>
                <w:sz w:val="28"/>
              </w:rPr>
              <w:t>规划图纸：单元控制线规划图、单元空间结构规划图、单元土地使用规划图、单元开发强度图</w:t>
            </w:r>
            <w:r>
              <w:rPr>
                <w:rFonts w:ascii="仿宋_GB2312" w:hAnsi="仿宋_GB2312" w:cs="仿宋_GB2312" w:eastAsia="仿宋_GB2312"/>
                <w:sz w:val="28"/>
              </w:rPr>
              <w:t>等</w:t>
            </w:r>
          </w:p>
          <w:p>
            <w:pPr>
              <w:pStyle w:val="null3"/>
              <w:ind w:firstLine="420"/>
              <w:jc w:val="both"/>
            </w:pPr>
            <w:r>
              <w:rPr>
                <w:rFonts w:ascii="仿宋_GB2312" w:hAnsi="仿宋_GB2312" w:cs="仿宋_GB2312" w:eastAsia="仿宋_GB2312"/>
                <w:sz w:val="28"/>
              </w:rPr>
              <w:t>单元图则（</w:t>
            </w:r>
            <w:r>
              <w:rPr>
                <w:rFonts w:ascii="仿宋_GB2312" w:hAnsi="仿宋_GB2312" w:cs="仿宋_GB2312" w:eastAsia="仿宋_GB2312"/>
                <w:sz w:val="28"/>
              </w:rPr>
              <w:t>1+N</w:t>
            </w:r>
            <w:r>
              <w:rPr>
                <w:rFonts w:ascii="仿宋_GB2312" w:hAnsi="仿宋_GB2312" w:cs="仿宋_GB2312" w:eastAsia="仿宋_GB2312"/>
                <w:sz w:val="28"/>
              </w:rPr>
              <w:t>）：普适图则（必做）和附加图则（可根据城市设计、地下空间规划、海绵城市规划等要求，结合实际需要增加）。</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数据库</w:t>
            </w:r>
          </w:p>
          <w:p>
            <w:pPr>
              <w:pStyle w:val="null3"/>
              <w:ind w:firstLine="420"/>
              <w:jc w:val="both"/>
            </w:pPr>
            <w:r>
              <w:rPr>
                <w:rFonts w:ascii="仿宋_GB2312" w:hAnsi="仿宋_GB2312" w:cs="仿宋_GB2312" w:eastAsia="仿宋_GB2312"/>
                <w:sz w:val="28"/>
              </w:rPr>
              <w:t>按照《陕西省城镇开发边界内详细规划数据库标准（试行）》有关要求，建设单元详规数据库。</w:t>
            </w:r>
          </w:p>
          <w:p>
            <w:pPr>
              <w:pStyle w:val="null3"/>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实施层面详细规划编制</w:t>
            </w:r>
            <w:r>
              <w:rPr>
                <w:rFonts w:ascii="仿宋_GB2312" w:hAnsi="仿宋_GB2312" w:cs="仿宋_GB2312" w:eastAsia="仿宋_GB2312"/>
                <w:sz w:val="28"/>
              </w:rPr>
              <w:t>成果</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实施详规编制说明</w:t>
            </w:r>
          </w:p>
          <w:p>
            <w:pPr>
              <w:pStyle w:val="null3"/>
              <w:ind w:firstLine="420"/>
              <w:jc w:val="both"/>
            </w:pPr>
            <w:r>
              <w:rPr>
                <w:rFonts w:ascii="仿宋_GB2312" w:hAnsi="仿宋_GB2312" w:cs="仿宋_GB2312" w:eastAsia="仿宋_GB2312"/>
                <w:sz w:val="28"/>
              </w:rPr>
              <w:t>规划编制说明应阐述规划背景、目的、依据等，单元层面传导指标分解落实、细化情况</w:t>
            </w:r>
            <w:r>
              <w:rPr>
                <w:rFonts w:ascii="仿宋_GB2312" w:hAnsi="仿宋_GB2312" w:cs="仿宋_GB2312" w:eastAsia="仿宋_GB2312"/>
                <w:sz w:val="28"/>
              </w:rPr>
              <w:t>及其相关内容</w:t>
            </w:r>
            <w:r>
              <w:rPr>
                <w:rFonts w:ascii="仿宋_GB2312" w:hAnsi="仿宋_GB2312" w:cs="仿宋_GB2312" w:eastAsia="仿宋_GB2312"/>
                <w:sz w:val="28"/>
              </w:rPr>
              <w:t>。说明成果提供</w:t>
            </w:r>
            <w:r>
              <w:rPr>
                <w:rFonts w:ascii="仿宋_GB2312" w:hAnsi="仿宋_GB2312" w:cs="仿宋_GB2312" w:eastAsia="仿宋_GB2312"/>
                <w:sz w:val="28"/>
              </w:rPr>
              <w:t>PDF</w:t>
            </w:r>
            <w:r>
              <w:rPr>
                <w:rFonts w:ascii="仿宋_GB2312" w:hAnsi="仿宋_GB2312" w:cs="仿宋_GB2312" w:eastAsia="仿宋_GB2312"/>
                <w:sz w:val="28"/>
              </w:rPr>
              <w:t>格式，采用</w:t>
            </w:r>
            <w:r>
              <w:rPr>
                <w:rFonts w:ascii="仿宋_GB2312" w:hAnsi="仿宋_GB2312" w:cs="仿宋_GB2312" w:eastAsia="仿宋_GB2312"/>
                <w:sz w:val="28"/>
              </w:rPr>
              <w:t>A4</w:t>
            </w:r>
            <w:r>
              <w:rPr>
                <w:rFonts w:ascii="仿宋_GB2312" w:hAnsi="仿宋_GB2312" w:cs="仿宋_GB2312" w:eastAsia="仿宋_GB2312"/>
                <w:sz w:val="28"/>
              </w:rPr>
              <w:t>纸张规格，页码、目录齐全，排版规范统一。</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实施详规图纸</w:t>
            </w:r>
          </w:p>
          <w:p>
            <w:pPr>
              <w:pStyle w:val="null3"/>
              <w:ind w:firstLine="420"/>
              <w:jc w:val="both"/>
            </w:pPr>
            <w:r>
              <w:rPr>
                <w:rFonts w:ascii="仿宋_GB2312" w:hAnsi="仿宋_GB2312" w:cs="仿宋_GB2312" w:eastAsia="仿宋_GB2312"/>
                <w:sz w:val="28"/>
              </w:rPr>
              <w:t>实施详规图纸为地块图则，各地可以结合实际情况合并或增补图纸。</w:t>
            </w:r>
          </w:p>
          <w:p>
            <w:pPr>
              <w:pStyle w:val="null3"/>
              <w:ind w:firstLine="420"/>
              <w:jc w:val="both"/>
            </w:pPr>
            <w:r>
              <w:rPr>
                <w:rFonts w:ascii="仿宋_GB2312" w:hAnsi="仿宋_GB2312" w:cs="仿宋_GB2312" w:eastAsia="仿宋_GB2312"/>
                <w:sz w:val="28"/>
              </w:rPr>
              <w:t>地块图则（</w:t>
            </w:r>
            <w:r>
              <w:rPr>
                <w:rFonts w:ascii="仿宋_GB2312" w:hAnsi="仿宋_GB2312" w:cs="仿宋_GB2312" w:eastAsia="仿宋_GB2312"/>
                <w:sz w:val="28"/>
              </w:rPr>
              <w:t>1+N</w:t>
            </w:r>
            <w:r>
              <w:rPr>
                <w:rFonts w:ascii="仿宋_GB2312" w:hAnsi="仿宋_GB2312" w:cs="仿宋_GB2312" w:eastAsia="仿宋_GB2312"/>
                <w:sz w:val="28"/>
              </w:rPr>
              <w:t>）：普适图则（必做）和附加图则（可根据城市设计、地下空间规划、海绵城市规划等要求，结合实际需要增加）。</w:t>
            </w:r>
          </w:p>
          <w:p>
            <w:pPr>
              <w:pStyle w:val="null3"/>
              <w:ind w:firstLine="42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数据库</w:t>
            </w:r>
          </w:p>
          <w:p>
            <w:pPr>
              <w:pStyle w:val="null3"/>
              <w:ind w:firstLine="420"/>
              <w:jc w:val="both"/>
            </w:pPr>
            <w:r>
              <w:rPr>
                <w:rFonts w:ascii="仿宋_GB2312" w:hAnsi="仿宋_GB2312" w:cs="仿宋_GB2312" w:eastAsia="仿宋_GB2312"/>
                <w:sz w:val="28"/>
              </w:rPr>
              <w:t>按照《陕西省城镇开发边界内详细规划数据库标准（试行）》有关要求，建设实施详规数据库。</w:t>
            </w:r>
          </w:p>
          <w:p>
            <w:pPr>
              <w:pStyle w:val="null3"/>
              <w:numPr>
                <w:ilvl w:val="0"/>
                <w:numId w:val="1"/>
              </w:numPr>
              <w:jc w:val="both"/>
            </w:pPr>
            <w:r>
              <w:rPr>
                <w:rFonts w:ascii="仿宋_GB2312" w:hAnsi="仿宋_GB2312" w:cs="仿宋_GB2312" w:eastAsia="仿宋_GB2312"/>
                <w:sz w:val="28"/>
              </w:rPr>
              <w:t>成果质量标准</w:t>
            </w:r>
          </w:p>
          <w:p>
            <w:pPr>
              <w:pStyle w:val="null3"/>
              <w:ind w:firstLine="420"/>
              <w:jc w:val="both"/>
            </w:pPr>
            <w:r>
              <w:rPr>
                <w:rFonts w:ascii="仿宋_GB2312" w:hAnsi="仿宋_GB2312" w:cs="仿宋_GB2312" w:eastAsia="仿宋_GB2312"/>
                <w:sz w:val="28"/>
              </w:rPr>
              <w:t>成果符合《</w:t>
            </w:r>
            <w:r>
              <w:rPr>
                <w:rFonts w:ascii="仿宋_GB2312" w:hAnsi="仿宋_GB2312" w:cs="仿宋_GB2312" w:eastAsia="仿宋_GB2312"/>
                <w:sz w:val="28"/>
              </w:rPr>
              <w:t>陕西省城镇开发边界内详细规划编制指南（试行）</w:t>
            </w:r>
            <w:r>
              <w:rPr>
                <w:rFonts w:ascii="仿宋_GB2312" w:hAnsi="仿宋_GB2312" w:cs="仿宋_GB2312" w:eastAsia="仿宋_GB2312"/>
                <w:sz w:val="28"/>
              </w:rPr>
              <w:t>》要求，</w:t>
            </w:r>
            <w:r>
              <w:rPr>
                <w:rFonts w:ascii="仿宋_GB2312" w:hAnsi="仿宋_GB2312" w:cs="仿宋_GB2312" w:eastAsia="仿宋_GB2312"/>
                <w:sz w:val="28"/>
              </w:rPr>
              <w:t>顺利通过自然资源主管部门合规性审查及备案。</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7"/>
              </w:rPr>
              <w:t>三、保密要求</w:t>
            </w:r>
          </w:p>
          <w:p>
            <w:pPr>
              <w:pStyle w:val="null3"/>
            </w:pPr>
            <w:r>
              <w:rPr>
                <w:rFonts w:ascii="仿宋_GB2312" w:hAnsi="仿宋_GB2312" w:cs="仿宋_GB2312" w:eastAsia="仿宋_GB2312"/>
                <w:sz w:val="28"/>
              </w:rPr>
              <w:t>1</w:t>
            </w:r>
            <w:r>
              <w:rPr>
                <w:rFonts w:ascii="仿宋_GB2312" w:hAnsi="仿宋_GB2312" w:cs="仿宋_GB2312" w:eastAsia="仿宋_GB2312"/>
                <w:sz w:val="28"/>
              </w:rPr>
              <w:t>、</w:t>
            </w:r>
            <w:r>
              <w:rPr>
                <w:rFonts w:ascii="仿宋_GB2312" w:hAnsi="仿宋_GB2312" w:cs="仿宋_GB2312" w:eastAsia="仿宋_GB2312"/>
                <w:sz w:val="28"/>
              </w:rPr>
              <w:t>保密范围</w:t>
            </w:r>
          </w:p>
          <w:p>
            <w:pPr>
              <w:pStyle w:val="null3"/>
              <w:ind w:firstLine="420"/>
              <w:jc w:val="both"/>
            </w:pPr>
            <w:r>
              <w:rPr>
                <w:rFonts w:ascii="仿宋_GB2312" w:hAnsi="仿宋_GB2312" w:cs="仿宋_GB2312" w:eastAsia="仿宋_GB2312"/>
                <w:sz w:val="28"/>
              </w:rPr>
              <w:t>供应商应对项目全过程中获取的所有资料承担保密义务，包括但不限于：国土空间现状数据、土地权属信息、规划成果文本</w:t>
            </w:r>
            <w:r>
              <w:rPr>
                <w:rFonts w:ascii="仿宋_GB2312" w:hAnsi="仿宋_GB2312" w:cs="仿宋_GB2312" w:eastAsia="仿宋_GB2312"/>
                <w:sz w:val="28"/>
              </w:rPr>
              <w:t xml:space="preserve"> / </w:t>
            </w:r>
            <w:r>
              <w:rPr>
                <w:rFonts w:ascii="仿宋_GB2312" w:hAnsi="仿宋_GB2312" w:cs="仿宋_GB2312" w:eastAsia="仿宋_GB2312"/>
                <w:sz w:val="28"/>
              </w:rPr>
              <w:t xml:space="preserve">图纸 </w:t>
            </w:r>
            <w:r>
              <w:rPr>
                <w:rFonts w:ascii="仿宋_GB2312" w:hAnsi="仿宋_GB2312" w:cs="仿宋_GB2312" w:eastAsia="仿宋_GB2312"/>
                <w:sz w:val="28"/>
              </w:rPr>
              <w:t xml:space="preserve">/ </w:t>
            </w:r>
            <w:r>
              <w:rPr>
                <w:rFonts w:ascii="仿宋_GB2312" w:hAnsi="仿宋_GB2312" w:cs="仿宋_GB2312" w:eastAsia="仿宋_GB2312"/>
                <w:sz w:val="28"/>
              </w:rPr>
              <w:t>数据库、内部审查意见、未公开规划信息、采购人内部文件、涉密测绘成果、敏感地理信息及其他依法不予公开的信息。</w:t>
            </w:r>
          </w:p>
          <w:p>
            <w:pPr>
              <w:pStyle w:val="null3"/>
              <w:ind w:firstLine="42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保密期限</w:t>
            </w:r>
          </w:p>
          <w:p>
            <w:pPr>
              <w:pStyle w:val="null3"/>
              <w:ind w:firstLine="420"/>
              <w:jc w:val="both"/>
            </w:pPr>
            <w:r>
              <w:rPr>
                <w:rFonts w:ascii="仿宋_GB2312" w:hAnsi="仿宋_GB2312" w:cs="仿宋_GB2312" w:eastAsia="仿宋_GB2312"/>
                <w:sz w:val="28"/>
              </w:rPr>
              <w:t>保密义务为永久保密，不因合同终止、解除、验收完成而失效。</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人员管理要求</w:t>
            </w:r>
          </w:p>
          <w:p>
            <w:pPr>
              <w:pStyle w:val="null3"/>
              <w:ind w:firstLine="420"/>
              <w:jc w:val="both"/>
            </w:pPr>
            <w:r>
              <w:rPr>
                <w:rFonts w:ascii="仿宋_GB2312" w:hAnsi="仿宋_GB2312" w:cs="仿宋_GB2312" w:eastAsia="仿宋_GB2312"/>
                <w:sz w:val="28"/>
              </w:rPr>
              <w:t>仅限项目组成员接触保密资料，不得向无关人员扩散；</w:t>
            </w:r>
          </w:p>
          <w:p>
            <w:pPr>
              <w:pStyle w:val="null3"/>
              <w:ind w:firstLine="420"/>
              <w:jc w:val="both"/>
            </w:pPr>
            <w:r>
              <w:rPr>
                <w:rFonts w:ascii="仿宋_GB2312" w:hAnsi="仿宋_GB2312" w:cs="仿宋_GB2312" w:eastAsia="仿宋_GB2312"/>
                <w:sz w:val="28"/>
              </w:rPr>
              <w:t>所有参与人员必须签署个人保密承诺书；</w:t>
            </w:r>
          </w:p>
          <w:p>
            <w:pPr>
              <w:pStyle w:val="null3"/>
              <w:ind w:firstLine="420"/>
              <w:jc w:val="both"/>
            </w:pPr>
            <w:r>
              <w:rPr>
                <w:rFonts w:ascii="仿宋_GB2312" w:hAnsi="仿宋_GB2312" w:cs="仿宋_GB2312" w:eastAsia="仿宋_GB2312"/>
                <w:sz w:val="28"/>
              </w:rPr>
              <w:t>人员变动、离职必须办理资料交接并重申保密责任。</w:t>
            </w:r>
          </w:p>
          <w:p>
            <w:pPr>
              <w:pStyle w:val="null3"/>
              <w:ind w:firstLine="420"/>
              <w:jc w:val="both"/>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资料与设备管理</w:t>
            </w:r>
          </w:p>
          <w:p>
            <w:pPr>
              <w:pStyle w:val="null3"/>
              <w:ind w:firstLine="420"/>
              <w:jc w:val="both"/>
            </w:pPr>
            <w:r>
              <w:rPr>
                <w:rFonts w:ascii="仿宋_GB2312" w:hAnsi="仿宋_GB2312" w:cs="仿宋_GB2312" w:eastAsia="仿宋_GB2312"/>
                <w:sz w:val="28"/>
              </w:rPr>
              <w:t>涉密资料实行专人保管、登记领用、用完归还；</w:t>
            </w:r>
          </w:p>
          <w:p>
            <w:pPr>
              <w:pStyle w:val="null3"/>
              <w:ind w:firstLine="420"/>
              <w:jc w:val="both"/>
            </w:pPr>
            <w:r>
              <w:rPr>
                <w:rFonts w:ascii="仿宋_GB2312" w:hAnsi="仿宋_GB2312" w:cs="仿宋_GB2312" w:eastAsia="仿宋_GB2312"/>
                <w:sz w:val="28"/>
              </w:rPr>
              <w:t>工作电脑与存储介质专用、加密、内外网物理隔离；</w:t>
            </w:r>
          </w:p>
          <w:p>
            <w:pPr>
              <w:pStyle w:val="null3"/>
              <w:ind w:firstLine="420"/>
              <w:jc w:val="both"/>
            </w:pPr>
            <w:r>
              <w:rPr>
                <w:rFonts w:ascii="仿宋_GB2312" w:hAnsi="仿宋_GB2312" w:cs="仿宋_GB2312" w:eastAsia="仿宋_GB2312"/>
                <w:sz w:val="28"/>
              </w:rPr>
              <w:t>禁止使用私人</w:t>
            </w:r>
            <w:r>
              <w:rPr>
                <w:rFonts w:ascii="仿宋_GB2312" w:hAnsi="仿宋_GB2312" w:cs="仿宋_GB2312" w:eastAsia="仿宋_GB2312"/>
                <w:sz w:val="28"/>
              </w:rPr>
              <w:t xml:space="preserve"> U </w:t>
            </w:r>
            <w:r>
              <w:rPr>
                <w:rFonts w:ascii="仿宋_GB2312" w:hAnsi="仿宋_GB2312" w:cs="仿宋_GB2312" w:eastAsia="仿宋_GB2312"/>
                <w:sz w:val="28"/>
              </w:rPr>
              <w:t xml:space="preserve">盘、手机、云盘存储 </w:t>
            </w:r>
            <w:r>
              <w:rPr>
                <w:rFonts w:ascii="仿宋_GB2312" w:hAnsi="仿宋_GB2312" w:cs="仿宋_GB2312" w:eastAsia="仿宋_GB2312"/>
                <w:sz w:val="28"/>
              </w:rPr>
              <w:t xml:space="preserve">/ </w:t>
            </w:r>
            <w:r>
              <w:rPr>
                <w:rFonts w:ascii="仿宋_GB2312" w:hAnsi="仿宋_GB2312" w:cs="仿宋_GB2312" w:eastAsia="仿宋_GB2312"/>
                <w:sz w:val="28"/>
              </w:rPr>
              <w:t>传输项目资料；</w:t>
            </w:r>
          </w:p>
          <w:p>
            <w:pPr>
              <w:pStyle w:val="null3"/>
              <w:ind w:firstLine="420"/>
              <w:jc w:val="both"/>
            </w:pPr>
            <w:r>
              <w:rPr>
                <w:rFonts w:ascii="仿宋_GB2312" w:hAnsi="仿宋_GB2312" w:cs="仿宋_GB2312" w:eastAsia="仿宋_GB2312"/>
                <w:sz w:val="28"/>
              </w:rPr>
              <w:t>禁止私自复印、扫描、拍照、转发保密资料。</w:t>
            </w:r>
          </w:p>
          <w:p>
            <w:pPr>
              <w:pStyle w:val="null3"/>
              <w:ind w:firstLine="420"/>
              <w:jc w:val="both"/>
            </w:pP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成果与数据管理</w:t>
            </w:r>
          </w:p>
          <w:p>
            <w:pPr>
              <w:pStyle w:val="null3"/>
              <w:ind w:firstLine="420"/>
              <w:jc w:val="both"/>
            </w:pPr>
            <w:r>
              <w:rPr>
                <w:rFonts w:ascii="仿宋_GB2312" w:hAnsi="仿宋_GB2312" w:cs="仿宋_GB2312" w:eastAsia="仿宋_GB2312"/>
                <w:sz w:val="28"/>
              </w:rPr>
              <w:t>规划成果、数据库、原始资料、过程文件仅限本项目使用；</w:t>
            </w:r>
          </w:p>
          <w:p>
            <w:pPr>
              <w:pStyle w:val="null3"/>
              <w:ind w:firstLine="420"/>
              <w:jc w:val="both"/>
            </w:pPr>
            <w:r>
              <w:rPr>
                <w:rFonts w:ascii="仿宋_GB2312" w:hAnsi="仿宋_GB2312" w:cs="仿宋_GB2312" w:eastAsia="仿宋_GB2312"/>
                <w:sz w:val="28"/>
              </w:rPr>
              <w:t>验收后全部移交采购人，不保留任何备份、拷贝、电子版；</w:t>
            </w:r>
          </w:p>
          <w:p>
            <w:pPr>
              <w:pStyle w:val="null3"/>
              <w:ind w:firstLine="420"/>
              <w:jc w:val="both"/>
            </w:pPr>
            <w:r>
              <w:rPr>
                <w:rFonts w:ascii="仿宋_GB2312" w:hAnsi="仿宋_GB2312" w:cs="仿宋_GB2312" w:eastAsia="仿宋_GB2312"/>
                <w:sz w:val="28"/>
              </w:rPr>
              <w:t>未经采购人书面同意，不得用于其他项目、宣传、发表、出版、转让、出借或向第三方提供。</w:t>
            </w:r>
          </w:p>
          <w:p>
            <w:pPr>
              <w:pStyle w:val="null3"/>
              <w:ind w:firstLine="42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保密责任</w:t>
            </w:r>
          </w:p>
          <w:p>
            <w:pPr>
              <w:pStyle w:val="null3"/>
              <w:ind w:firstLine="420"/>
              <w:jc w:val="both"/>
            </w:pPr>
            <w:r>
              <w:rPr>
                <w:rFonts w:ascii="仿宋_GB2312" w:hAnsi="仿宋_GB2312" w:cs="仿宋_GB2312" w:eastAsia="仿宋_GB2312"/>
                <w:sz w:val="28"/>
              </w:rPr>
              <w:t>因泄密造成的损失、行政处罚、法律纠纷，由供应商承担全部责任；</w:t>
            </w:r>
            <w:r>
              <w:rPr>
                <w:rFonts w:ascii="仿宋_GB2312" w:hAnsi="仿宋_GB2312" w:cs="仿宋_GB2312" w:eastAsia="仿宋_GB2312"/>
                <w:sz w:val="28"/>
              </w:rPr>
              <w:t>泄密行为一经发现，采购人有权拒付尾款、终止合同、追究违约责任，并上报行业主管部门与政府采购监管部门。</w:t>
            </w:r>
          </w:p>
          <w:p>
            <w:pPr>
              <w:pStyle w:val="null3"/>
              <w:ind w:firstLine="420"/>
              <w:jc w:val="both"/>
            </w:pPr>
            <w:r>
              <w:rPr>
                <w:rFonts w:ascii="仿宋_GB2312" w:hAnsi="仿宋_GB2312" w:cs="仿宋_GB2312" w:eastAsia="仿宋_GB2312"/>
                <w:sz w:val="28"/>
              </w:rPr>
              <w:t>7</w:t>
            </w:r>
            <w:r>
              <w:rPr>
                <w:rFonts w:ascii="仿宋_GB2312" w:hAnsi="仿宋_GB2312" w:cs="仿宋_GB2312" w:eastAsia="仿宋_GB2312"/>
                <w:sz w:val="28"/>
              </w:rPr>
              <w:t>、</w:t>
            </w:r>
            <w:r>
              <w:rPr>
                <w:rFonts w:ascii="仿宋_GB2312" w:hAnsi="仿宋_GB2312" w:cs="仿宋_GB2312" w:eastAsia="仿宋_GB2312"/>
                <w:sz w:val="28"/>
              </w:rPr>
              <w:t>知识产权与保密并行</w:t>
            </w:r>
          </w:p>
          <w:p>
            <w:pPr>
              <w:pStyle w:val="null3"/>
              <w:ind w:firstLine="420"/>
              <w:jc w:val="both"/>
            </w:pPr>
            <w:r>
              <w:rPr>
                <w:rFonts w:ascii="仿宋_GB2312" w:hAnsi="仿宋_GB2312" w:cs="仿宋_GB2312" w:eastAsia="仿宋_GB2312"/>
                <w:sz w:val="28"/>
              </w:rPr>
              <w:t>项目全部成果知识产权归采购人所有，供应商仅享有署名权，不得擅自使用。</w:t>
            </w:r>
          </w:p>
          <w:p>
            <w:pPr>
              <w:pStyle w:val="null3"/>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 日历天内完成全部规划编制、评审修改、数据库建库、成果汇交及验收交付。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验收小组由采购人牵头，联合自然资源、住建、农业农村、文旅、交通、水利等部门及专家组成，不少于 3 人单数。 2. 验收标准：成果完整率 100%、指标准确率≥99%、数据库汇交成功、100% 符合上位规划、程序资料齐全、通过专家评审与部门审查。 3. 验收合格出具最终验收报告；不合格限期整改，整改仍不合格不予支付尾款并追究违约责任。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初步提交成果文件后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成果文件经采购人及其他相关部门审查合格后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移交所有资料后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 接参加投标只须提供法定代表人身份证);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供应商具有行政主管部门颁发的且在有效期内的城乡规划（国土空间规划）编制乙级及以上资质；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供应商需提供非联合体书面声明。</w:t>
            </w:r>
          </w:p>
        </w:tc>
        <w:tc>
          <w:tcPr>
            <w:tcW w:type="dxa" w:w="1661"/>
          </w:tcPr>
          <w:p>
            <w:pPr>
              <w:pStyle w:val="null3"/>
            </w:pPr>
            <w:r>
              <w:rPr>
                <w:rFonts w:ascii="仿宋_GB2312" w:hAnsi="仿宋_GB2312" w:cs="仿宋_GB2312" w:eastAsia="仿宋_GB2312"/>
              </w:rPr>
              <w:t>非联合体承诺书.docx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响应文件是否按磋商文件要求签署、盖章</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供应商应提交的相关资格证明材料.docx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响应文件报价唯一，且没有高于项目预算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供应商类似项目业绩一览表.docx 中小企业声明函 商务应答表 报价表 汉中市政府采购供应商资格承诺函.docx 响应文件封面 非联合体承诺书.docx 供应商应提交的相关资格证明材料.docx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根据供应商提供的技术服务方案（包括但不限于①技术服务方案总体思路②各专项思路③工作计划及流程④技术路线及技术方法等）进行评审：</w:t>
            </w:r>
          </w:p>
        </w:tc>
        <w:tc>
          <w:tcPr>
            <w:tcW w:type="dxa" w:w="2492"/>
          </w:tcPr>
          <w:p>
            <w:pPr>
              <w:pStyle w:val="null3"/>
            </w:pPr>
            <w:r>
              <w:rPr>
                <w:rFonts w:ascii="仿宋_GB2312" w:hAnsi="仿宋_GB2312" w:cs="仿宋_GB2312" w:eastAsia="仿宋_GB2312"/>
              </w:rPr>
              <w:t>根据技术服务方案的完整性、内容表述清晰程度，各项内容的准确性、针对性及可操作性等角度考量，方案齐全且满足项目实际需求的得20分，每有一项内容缺失的扣5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根据供应商提供针对本项目需求提供项目重点难点分析及合理化建议（包括但不限于①工作的重点、难点的认识②对关键环节的分析③采取的针对性措施④合理化建议等）进行评审：</w:t>
            </w:r>
          </w:p>
        </w:tc>
        <w:tc>
          <w:tcPr>
            <w:tcW w:type="dxa" w:w="2492"/>
          </w:tcPr>
          <w:p>
            <w:pPr>
              <w:pStyle w:val="null3"/>
            </w:pPr>
            <w:r>
              <w:rPr>
                <w:rFonts w:ascii="仿宋_GB2312" w:hAnsi="仿宋_GB2312" w:cs="仿宋_GB2312" w:eastAsia="仿宋_GB2312"/>
              </w:rPr>
              <w:t>根据项目重点难点分析及合理化建议的合理性、内容表述清晰程度、针对性及全面性等角度考量，方案齐全且满足项目实际需求的得10分，每有一项内容缺失的扣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供应商应针对可能接触到的内部信息，包括但不限于照片、文字材料、未公开的或依法不公开内部文件等重要信息，制定完善的保密措施</w:t>
            </w:r>
          </w:p>
        </w:tc>
        <w:tc>
          <w:tcPr>
            <w:tcW w:type="dxa" w:w="2492"/>
          </w:tcPr>
          <w:p>
            <w:pPr>
              <w:pStyle w:val="null3"/>
            </w:pPr>
            <w:r>
              <w:rPr>
                <w:rFonts w:ascii="仿宋_GB2312" w:hAnsi="仿宋_GB2312" w:cs="仿宋_GB2312" w:eastAsia="仿宋_GB2312"/>
              </w:rPr>
              <w:t>1、组织与人员保密管理（2分）：明确保密管理架构、项目负责人为第一保密责任人、专人负责资料管理；包含人员准入、保密培训、个人保密承诺、离岗交接与追责，缺一项核心内容不得分；内容不完整、针对性不足的扣1分。2、资料与数据安全管理（2分）：包含存储加密、访问权限、介质管理、传输安全、禁止私人设备使用，缺一项核心内容不得分；内容不完整、针对性不足的扣1分。3、成果管理与泄密追责（2分）：包含成果使用限制、验收后完整移交、不留备份、禁止外传，以及泄密上报流程、应急处置、损失赔偿、违约责任，缺一项核心内容不得分；内容不完整、针对性不足的扣1分。缺一项扣对应分值，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拟任项目负责人</w:t>
            </w:r>
          </w:p>
        </w:tc>
        <w:tc>
          <w:tcPr>
            <w:tcW w:type="dxa" w:w="2492"/>
          </w:tcPr>
          <w:p>
            <w:pPr>
              <w:pStyle w:val="null3"/>
            </w:pPr>
            <w:r>
              <w:rPr>
                <w:rFonts w:ascii="仿宋_GB2312" w:hAnsi="仿宋_GB2312" w:cs="仿宋_GB2312" w:eastAsia="仿宋_GB2312"/>
              </w:rPr>
              <w:t>具有注册城市（乡）规划师注册证书的得4分，具有规划相关专业高级及以上职称的得2分，本项满分6分。（拟任项目负责人不在参与项目组主要成员及其他成员得分计算）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项目组其他成员</w:t>
            </w:r>
          </w:p>
        </w:tc>
        <w:tc>
          <w:tcPr>
            <w:tcW w:type="dxa" w:w="2492"/>
          </w:tcPr>
          <w:p>
            <w:pPr>
              <w:pStyle w:val="null3"/>
            </w:pPr>
            <w:r>
              <w:rPr>
                <w:rFonts w:ascii="仿宋_GB2312" w:hAnsi="仿宋_GB2312" w:cs="仿宋_GB2312" w:eastAsia="仿宋_GB2312"/>
              </w:rPr>
              <w:t>每有一名具有规划类、测绘类、建筑类、市政类等相关专业中级及以上职称证书的，每提供一个得2分（专业相同的不累计计分），本项满分6分。（项目组其他成员不在参与拟任项目负责人及项目组主要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根据供应商提供针对本项目质量和进度保证措施（内容包括：①质量保证措施②提供成果时间节点等进度计划③进度保证措施等 ）进行评审：</w:t>
            </w:r>
          </w:p>
        </w:tc>
        <w:tc>
          <w:tcPr>
            <w:tcW w:type="dxa" w:w="2492"/>
          </w:tcPr>
          <w:p>
            <w:pPr>
              <w:pStyle w:val="null3"/>
            </w:pPr>
            <w:r>
              <w:rPr>
                <w:rFonts w:ascii="仿宋_GB2312" w:hAnsi="仿宋_GB2312" w:cs="仿宋_GB2312" w:eastAsia="仿宋_GB2312"/>
              </w:rPr>
              <w:t>根据质量保证措施各项内容的准确性、针对性及可操作性等角度考量，方案齐全且满足项目实际需求的得16分，每有一项内容缺失的扣5分；若上述内容存在缺陷，每出现一处缺陷扣1分，扣完为止。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根据供应商提供拟投入本项目的设备配置情况（包含但不限于①专业工具；②基础设备；③作业中所需耗材配备清单）进行评审：</w:t>
            </w:r>
          </w:p>
        </w:tc>
        <w:tc>
          <w:tcPr>
            <w:tcW w:type="dxa" w:w="2492"/>
          </w:tcPr>
          <w:p>
            <w:pPr>
              <w:pStyle w:val="null3"/>
            </w:pPr>
            <w:r>
              <w:rPr>
                <w:rFonts w:ascii="仿宋_GB2312" w:hAnsi="仿宋_GB2312" w:cs="仿宋_GB2312" w:eastAsia="仿宋_GB2312"/>
              </w:rPr>
              <w:t>根据供应商提供的设备配置情况的完整性、准确性以及是否满足项目所需等角度考量，最高得6分，每缺少一个大项，扣2分，扣完为止；若上述内容存在缺陷，每出现一处缺陷扣1分，扣完为止。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根据供应商提供针对本项目的后续服务响应和服务质量承诺。</w:t>
            </w:r>
          </w:p>
        </w:tc>
        <w:tc>
          <w:tcPr>
            <w:tcW w:type="dxa" w:w="2492"/>
          </w:tcPr>
          <w:p>
            <w:pPr>
              <w:pStyle w:val="null3"/>
            </w:pPr>
            <w:r>
              <w:rPr>
                <w:rFonts w:ascii="仿宋_GB2312" w:hAnsi="仿宋_GB2312" w:cs="仿宋_GB2312" w:eastAsia="仿宋_GB2312"/>
              </w:rPr>
              <w:t>根据供应商提供的后续服务方案进行评审，方案需包含以下内容，缺一项扣对应分值，扣完为止： 1、服务响应机制（2 分）：明确日常咨询、紧急问题响应时限，提供固定对接人与联系方式。 2、成果修改与配合审查（2 分）：承诺全程配合专家评审、部门审查、公示听证，按意见及时修改完善。 3、数据库汇交与入库保障（2 分）：负责成果汇交、数据入库、格式转换、问题整改直至验收通过。 4、质保期服务（2 分）：明确质保期内免费技术支持、答疑、成果维护、因编制质量问题的修改完善。 5、增值服务（2 分）：提供规划培训、资料归档指导、后期规划动态更新建议等增值服务内容。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项目组主要成员</w:t>
            </w:r>
          </w:p>
        </w:tc>
        <w:tc>
          <w:tcPr>
            <w:tcW w:type="dxa" w:w="2492"/>
          </w:tcPr>
          <w:p>
            <w:pPr>
              <w:pStyle w:val="null3"/>
            </w:pPr>
            <w:r>
              <w:rPr>
                <w:rFonts w:ascii="仿宋_GB2312" w:hAnsi="仿宋_GB2312" w:cs="仿宋_GB2312" w:eastAsia="仿宋_GB2312"/>
              </w:rPr>
              <w:t>每有一名具有注册城市(乡)规划师或注册建筑师或注册造价工程师或注册结构工程师的得2分，本项满分6分。（项目组主要成员不在参与拟任项目负责人及项目组其他成员得分计算）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供应商提供自2021 年 1 月 1 日至本项目响应文件递交截止时间前，独立完成的国土空间规划、控制性详细规划、乡镇总体规划 / 详细规划等类似规划编制业绩。 每提供 1 项有效业绩得2 分，满分4分。 须提供合同复印件或扫描件加盖公章，时间以合同签订时间为准。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磋商报价采用低价优先法计算，即满足竞争性磋商文件要求且最后磋商总报价最低的报价为评审基准价，其价格分为满分。其他供应商的价格分统一按照下列公式计算： 磋商报价得分=（评审基准价/最后磋商总报价）×10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