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wordWrap/>
        <w:bidi w:val="0"/>
        <w:spacing w:line="30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3、税收缴纳证明：提供已缴纳的2025年4月1日以来任意时间段的纳税证明或完税证明，纳税证明或完税证明上应有代收机构或税务机关的公章或业务专用章。</w:t>
      </w:r>
      <w:r>
        <w:rPr>
          <w:rFonts w:hint="eastAsia" w:ascii="仿宋" w:hAnsi="仿宋" w:eastAsia="仿宋" w:cs="仿宋"/>
          <w:sz w:val="24"/>
          <w:highlight w:val="none"/>
          <w:lang w:eastAsia="zh-CN"/>
        </w:rPr>
        <w:t>依法免税的供应商应提供相关文件证明</w:t>
      </w:r>
      <w:r>
        <w:rPr>
          <w:rFonts w:hint="eastAsia" w:ascii="仿宋" w:hAnsi="仿宋" w:eastAsia="仿宋" w:cs="仿宋"/>
          <w:sz w:val="24"/>
          <w:highlight w:val="none"/>
        </w:rPr>
        <w:t>。</w:t>
      </w:r>
    </w:p>
    <w:p w14:paraId="64E69DBE">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4、社保缴纳证明：提供已缴存的2025年4月1日以来任意时间段的社会保障资金缴存单据或社保机构开具的社会保险参保缴费情况证明。</w:t>
      </w:r>
      <w:r>
        <w:rPr>
          <w:rFonts w:hint="eastAsia" w:ascii="仿宋" w:hAnsi="仿宋" w:eastAsia="仿宋" w:cs="仿宋"/>
          <w:sz w:val="24"/>
          <w:highlight w:val="none"/>
          <w:lang w:eastAsia="zh-CN"/>
        </w:rPr>
        <w:t>成立时间至提交响应文件</w:t>
      </w:r>
      <w:r>
        <w:rPr>
          <w:rFonts w:hint="eastAsia" w:ascii="仿宋" w:hAnsi="仿宋" w:eastAsia="仿宋" w:cs="仿宋"/>
          <w:sz w:val="24"/>
          <w:highlight w:val="none"/>
        </w:rPr>
        <w:t>截止时间不足一个月或依法不需要缴纳社会</w:t>
      </w:r>
      <w:r>
        <w:rPr>
          <w:rFonts w:hint="eastAsia" w:ascii="仿宋" w:hAnsi="仿宋" w:eastAsia="仿宋" w:cs="仿宋"/>
          <w:sz w:val="24"/>
          <w:highlight w:val="none"/>
          <w:lang w:eastAsia="zh-CN"/>
        </w:rPr>
        <w:t>保障资金的供应商</w:t>
      </w:r>
      <w:r>
        <w:rPr>
          <w:rFonts w:hint="eastAsia" w:ascii="仿宋" w:hAnsi="仿宋" w:eastAsia="仿宋" w:cs="仿宋"/>
          <w:sz w:val="24"/>
          <w:highlight w:val="none"/>
        </w:rPr>
        <w:t>应提供相关文件证明。</w:t>
      </w:r>
    </w:p>
    <w:p w14:paraId="556A3298">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058F87C0">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p>
    <w:p w14:paraId="65E24D97">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 </w:t>
      </w:r>
    </w:p>
    <w:p w14:paraId="0D9D58CE">
      <w:pPr>
        <w:bidi w:val="0"/>
        <w:spacing w:line="300" w:lineRule="auto"/>
        <w:rPr>
          <w:rFonts w:hint="eastAsia" w:ascii="仿宋" w:hAnsi="仿宋" w:eastAsia="仿宋" w:cs="仿宋"/>
          <w:highlight w:val="none"/>
          <w:lang w:val="en-US" w:eastAsia="zh-CN"/>
        </w:rPr>
      </w:pPr>
    </w:p>
    <w:p w14:paraId="09BC16AE">
      <w:pPr>
        <w:bidi w:val="0"/>
        <w:spacing w:line="300" w:lineRule="auto"/>
        <w:rPr>
          <w:rFonts w:hint="eastAsia" w:ascii="仿宋" w:hAnsi="仿宋" w:eastAsia="仿宋" w:cs="仿宋"/>
          <w:highlight w:val="none"/>
        </w:rPr>
      </w:pPr>
    </w:p>
    <w:p w14:paraId="3DEB010F">
      <w:pPr>
        <w:pStyle w:val="4"/>
        <w:wordWrap/>
        <w:bidi w:val="0"/>
        <w:spacing w:line="300" w:lineRule="auto"/>
        <w:textAlignment w:val="auto"/>
        <w:rPr>
          <w:rFonts w:hint="eastAsia" w:ascii="仿宋" w:hAnsi="仿宋" w:eastAsia="仿宋" w:cs="仿宋"/>
          <w:highlight w:val="none"/>
          <w:lang w:val="en-US" w:eastAsia="zh-CN"/>
        </w:rPr>
      </w:pPr>
    </w:p>
    <w:p w14:paraId="5E2A3271">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5"/>
        <w:bidi w:val="0"/>
        <w:spacing w:line="300" w:lineRule="auto"/>
        <w:jc w:val="center"/>
        <w:rPr>
          <w:rFonts w:hint="eastAsia" w:ascii="仿宋" w:hAnsi="仿宋" w:eastAsia="仿宋" w:cs="仿宋"/>
          <w:color w:val="auto"/>
          <w:sz w:val="24"/>
          <w:szCs w:val="24"/>
          <w:highlight w:val="none"/>
        </w:rPr>
      </w:pPr>
    </w:p>
    <w:p w14:paraId="5A16292B">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5"/>
        <w:bidi w:val="0"/>
        <w:spacing w:line="300" w:lineRule="auto"/>
        <w:jc w:val="center"/>
        <w:rPr>
          <w:rFonts w:hint="eastAsia" w:ascii="仿宋" w:hAnsi="仿宋" w:eastAsia="仿宋" w:cs="仿宋"/>
          <w:color w:val="auto"/>
          <w:sz w:val="24"/>
          <w:szCs w:val="24"/>
          <w:highlight w:val="none"/>
        </w:rPr>
      </w:pPr>
    </w:p>
    <w:p w14:paraId="2AF4BEA0">
      <w:pPr>
        <w:pStyle w:val="5"/>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5"/>
        <w:bidi w:val="0"/>
        <w:spacing w:line="300" w:lineRule="auto"/>
        <w:rPr>
          <w:rFonts w:hint="eastAsia" w:ascii="仿宋" w:hAnsi="仿宋" w:eastAsia="仿宋" w:cs="仿宋"/>
          <w:color w:val="auto"/>
          <w:highlight w:val="none"/>
        </w:rPr>
      </w:pPr>
    </w:p>
    <w:p w14:paraId="29412DC8">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5"/>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1C217AE6">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00" w:lineRule="auto"/>
        <w:rPr>
          <w:rFonts w:hint="eastAsia" w:ascii="仿宋" w:hAnsi="仿宋" w:eastAsia="仿宋" w:cs="仿宋"/>
          <w:bCs/>
          <w:color w:val="auto"/>
          <w:sz w:val="24"/>
          <w:szCs w:val="24"/>
          <w:highlight w:val="none"/>
        </w:rPr>
      </w:pPr>
    </w:p>
    <w:p w14:paraId="6378A320">
      <w:pPr>
        <w:bidi w:val="0"/>
        <w:spacing w:line="300" w:lineRule="auto"/>
        <w:rPr>
          <w:rFonts w:hint="eastAsia" w:ascii="仿宋" w:hAnsi="仿宋" w:eastAsia="仿宋" w:cs="仿宋"/>
          <w:color w:val="auto"/>
          <w:highlight w:val="none"/>
        </w:rPr>
      </w:pPr>
      <w:bookmarkStart w:id="11" w:name="_Toc1093"/>
      <w:bookmarkStart w:id="12" w:name="_Toc19749"/>
      <w:bookmarkStart w:id="13" w:name="_Toc13657"/>
      <w:r>
        <w:rPr>
          <w:rFonts w:hint="eastAsia" w:ascii="仿宋" w:hAnsi="仿宋" w:eastAsia="仿宋" w:cs="仿宋"/>
          <w:color w:val="auto"/>
          <w:highlight w:val="none"/>
        </w:rPr>
        <w:br w:type="page"/>
      </w:r>
    </w:p>
    <w:p w14:paraId="39C73800">
      <w:pPr>
        <w:pStyle w:val="3"/>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76F28E6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76027F08">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3"/>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533"/>
      <w:bookmarkStart w:id="17" w:name="_Toc1610"/>
      <w:bookmarkStart w:id="18" w:name="_Toc495681252"/>
      <w:bookmarkStart w:id="19" w:name="_Toc495681406"/>
      <w:bookmarkStart w:id="20" w:name="_Toc495671263"/>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495681534"/>
      <w:bookmarkStart w:id="24" w:name="_Toc18921"/>
      <w:bookmarkStart w:id="25" w:name="_Toc495681407"/>
      <w:bookmarkStart w:id="26" w:name="_Toc495908049"/>
      <w:bookmarkStart w:id="27" w:name="_Toc495681253"/>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pStyle w:val="3"/>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（八）特定资格：提供有效的《食品经营许可证》</w:t>
      </w:r>
    </w:p>
    <w:p w14:paraId="100AEE02">
      <w:pPr>
        <w:bidi w:val="0"/>
        <w:spacing w:line="300" w:lineRule="auto"/>
        <w:jc w:val="center"/>
        <w:rPr>
          <w:rFonts w:hint="eastAsia" w:ascii="仿宋" w:hAnsi="仿宋" w:eastAsia="仿宋" w:cs="仿宋"/>
          <w:sz w:val="22"/>
          <w:szCs w:val="28"/>
          <w:highlight w:val="none"/>
          <w:lang w:val="en-US" w:eastAsia="zh-CN"/>
        </w:rPr>
      </w:pPr>
    </w:p>
    <w:p w14:paraId="33EA42E9">
      <w:pPr>
        <w:jc w:val="center"/>
      </w:pPr>
      <w:r>
        <w:rPr>
          <w:rFonts w:hint="eastAsia" w:ascii="仿宋" w:hAnsi="仿宋" w:eastAsia="仿宋" w:cs="仿宋"/>
          <w:highlight w:val="none"/>
          <w:lang w:val="en-US" w:eastAsia="zh-CN"/>
        </w:rPr>
        <w:t>扫描件或复印件加盖单位公章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B29EA"/>
    <w:rsid w:val="4CC02586"/>
    <w:rsid w:val="4ED04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2026-05-12T03:13:44Z</dcterms:created>
  <dc:creator>Administrator</dc:creator>
  <cp:lastModifiedBy>陕西笃信招标有限公司</cp:lastModifiedBy>
  <dcterms:modified xsi:type="dcterms:W3CDTF">2026-05-12T03:15:21Z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FF16693C0E154552BA7402069F2EE4AB_13</vt:lpwstr>
  </property>
</Properties>
</file>