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852902">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仿宋" w:hAnsi="仿宋" w:eastAsia="仿宋" w:cs="仿宋"/>
          <w:b/>
          <w:sz w:val="30"/>
          <w:szCs w:val="30"/>
          <w:highlight w:val="none"/>
        </w:rPr>
      </w:pPr>
      <w:r>
        <w:rPr>
          <w:rFonts w:hint="eastAsia" w:ascii="仿宋" w:hAnsi="仿宋" w:eastAsia="仿宋" w:cs="仿宋"/>
          <w:b/>
          <w:sz w:val="30"/>
          <w:szCs w:val="30"/>
          <w:highlight w:val="none"/>
        </w:rPr>
        <w:t>西安航天城第十二幼儿园餐厅运转保障项目承包合同</w:t>
      </w:r>
    </w:p>
    <w:p w14:paraId="192ADB3E">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rPr>
      </w:pPr>
      <w:r>
        <w:rPr>
          <w:rFonts w:hint="eastAsia" w:ascii="仿宋" w:hAnsi="仿宋" w:eastAsia="仿宋" w:cs="仿宋"/>
          <w:sz w:val="24"/>
          <w:highlight w:val="none"/>
        </w:rPr>
        <w:t>甲方（采购人名称全称）：西安航天城第十二幼儿园</w:t>
      </w:r>
    </w:p>
    <w:p w14:paraId="7AA8E2B9">
      <w:pPr>
        <w:keepNext w:val="0"/>
        <w:keepLines w:val="0"/>
        <w:pageBreakBefore w:val="0"/>
        <w:widowControl w:val="0"/>
        <w:kinsoku/>
        <w:wordWrap/>
        <w:overflowPunct/>
        <w:topLinePunct w:val="0"/>
        <w:autoSpaceDE/>
        <w:autoSpaceDN/>
        <w:bidi w:val="0"/>
        <w:adjustRightInd/>
        <w:snapToGrid w:val="0"/>
        <w:spacing w:line="360" w:lineRule="auto"/>
        <w:ind w:firstLine="480"/>
        <w:jc w:val="left"/>
        <w:textAlignment w:val="auto"/>
        <w:rPr>
          <w:rFonts w:hint="eastAsia" w:ascii="仿宋" w:hAnsi="仿宋" w:eastAsia="仿宋" w:cs="仿宋"/>
          <w:sz w:val="24"/>
          <w:highlight w:val="none"/>
          <w:lang w:val="en-US" w:eastAsia="zh-CN"/>
        </w:rPr>
      </w:pPr>
      <w:r>
        <w:rPr>
          <w:rFonts w:hint="eastAsia" w:ascii="仿宋" w:hAnsi="仿宋" w:eastAsia="仿宋" w:cs="仿宋"/>
          <w:sz w:val="24"/>
          <w:highlight w:val="none"/>
        </w:rPr>
        <w:t>乙方（供应商名称全称）：</w:t>
      </w:r>
    </w:p>
    <w:p w14:paraId="102DE717">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sz w:val="24"/>
          <w:highlight w:val="none"/>
        </w:rPr>
      </w:pPr>
      <w:r>
        <w:rPr>
          <w:rFonts w:hint="eastAsia" w:ascii="仿宋" w:hAnsi="仿宋" w:eastAsia="仿宋" w:cs="仿宋"/>
          <w:sz w:val="24"/>
          <w:highlight w:val="none"/>
          <w:lang w:eastAsia="zh-CN"/>
        </w:rPr>
        <w:t>陕西笃信招标有限公司</w:t>
      </w:r>
      <w:r>
        <w:rPr>
          <w:rFonts w:hint="eastAsia" w:ascii="仿宋" w:hAnsi="仿宋" w:eastAsia="仿宋" w:cs="仿宋"/>
          <w:sz w:val="24"/>
          <w:highlight w:val="none"/>
        </w:rPr>
        <w:t>就甲方所需服务，在西安国家民用航天产业基地管委会财政局的监督管理下，按照政府采购程序组织竞争性磋商，确定乙方为西安航天城第十二幼儿园餐厅运转保障项目（项目编号：</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eastAsia="zh-CN"/>
        </w:rPr>
        <w:t>成交</w:t>
      </w:r>
      <w:r>
        <w:rPr>
          <w:rFonts w:hint="eastAsia" w:ascii="仿宋" w:hAnsi="仿宋" w:eastAsia="仿宋" w:cs="仿宋"/>
          <w:sz w:val="24"/>
          <w:highlight w:val="none"/>
        </w:rPr>
        <w:t>供应商。依据《中华人民共和国政府采购法》、《中华人民共和国民法典》、磋商文件、成交通知书，经甲、乙双方协商，达成如下合同条款。</w:t>
      </w:r>
    </w:p>
    <w:p w14:paraId="4751024E">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一、合同标的物内容及数量（以响应文件正本和澄清表（函）为准）</w:t>
      </w:r>
    </w:p>
    <w:tbl>
      <w:tblPr>
        <w:tblStyle w:val="10"/>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716"/>
        <w:gridCol w:w="1179"/>
        <w:gridCol w:w="1179"/>
        <w:gridCol w:w="1208"/>
        <w:gridCol w:w="1179"/>
        <w:gridCol w:w="921"/>
        <w:gridCol w:w="1019"/>
        <w:gridCol w:w="925"/>
      </w:tblGrid>
      <w:tr w14:paraId="0C5AE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7D5691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序号</w:t>
            </w:r>
          </w:p>
        </w:tc>
        <w:tc>
          <w:tcPr>
            <w:tcW w:w="1316" w:type="dxa"/>
            <w:noWrap w:val="0"/>
            <w:vAlign w:val="center"/>
          </w:tcPr>
          <w:p w14:paraId="295A0F9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服务名称</w:t>
            </w:r>
          </w:p>
        </w:tc>
        <w:tc>
          <w:tcPr>
            <w:tcW w:w="1316" w:type="dxa"/>
            <w:noWrap w:val="0"/>
            <w:vAlign w:val="center"/>
          </w:tcPr>
          <w:p w14:paraId="7D7B432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服务内容</w:t>
            </w:r>
          </w:p>
        </w:tc>
        <w:tc>
          <w:tcPr>
            <w:tcW w:w="1328" w:type="dxa"/>
            <w:noWrap w:val="0"/>
            <w:vAlign w:val="center"/>
          </w:tcPr>
          <w:p w14:paraId="6A0C53F8">
            <w:pPr>
              <w:keepNext w:val="0"/>
              <w:keepLines w:val="0"/>
              <w:pageBreakBefore w:val="0"/>
              <w:widowControl w:val="0"/>
              <w:kinsoku/>
              <w:wordWrap/>
              <w:overflowPunct/>
              <w:topLinePunct w:val="0"/>
              <w:autoSpaceDE/>
              <w:autoSpaceDN/>
              <w:bidi w:val="0"/>
              <w:adjustRightInd/>
              <w:snapToGrid w:val="0"/>
              <w:spacing w:line="240" w:lineRule="auto"/>
              <w:ind w:left="14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计量单位</w:t>
            </w:r>
          </w:p>
        </w:tc>
        <w:tc>
          <w:tcPr>
            <w:tcW w:w="1316" w:type="dxa"/>
            <w:noWrap w:val="0"/>
            <w:vAlign w:val="center"/>
          </w:tcPr>
          <w:p w14:paraId="50F3BF3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服务时间</w:t>
            </w:r>
          </w:p>
        </w:tc>
        <w:tc>
          <w:tcPr>
            <w:tcW w:w="1019" w:type="dxa"/>
            <w:noWrap w:val="0"/>
            <w:vAlign w:val="center"/>
          </w:tcPr>
          <w:p w14:paraId="71FCE5B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数量</w:t>
            </w:r>
          </w:p>
        </w:tc>
        <w:tc>
          <w:tcPr>
            <w:tcW w:w="1060" w:type="dxa"/>
            <w:noWrap w:val="0"/>
            <w:vAlign w:val="center"/>
          </w:tcPr>
          <w:p w14:paraId="49F9235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单价</w:t>
            </w:r>
          </w:p>
          <w:p w14:paraId="3D8EF52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c>
          <w:tcPr>
            <w:tcW w:w="952" w:type="dxa"/>
            <w:noWrap w:val="0"/>
            <w:vAlign w:val="center"/>
          </w:tcPr>
          <w:p w14:paraId="724CB93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总价</w:t>
            </w:r>
          </w:p>
          <w:p w14:paraId="00462E5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（元）</w:t>
            </w:r>
          </w:p>
        </w:tc>
      </w:tr>
      <w:tr w14:paraId="73454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5C45E25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1</w:t>
            </w:r>
          </w:p>
        </w:tc>
        <w:tc>
          <w:tcPr>
            <w:tcW w:w="1316" w:type="dxa"/>
            <w:noWrap w:val="0"/>
            <w:vAlign w:val="center"/>
          </w:tcPr>
          <w:p w14:paraId="77D8395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6F504E5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130D0AA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0FBE7BD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5EAB6A4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19A98A4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7C4712E0">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7CC98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3D7FEC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2</w:t>
            </w:r>
          </w:p>
        </w:tc>
        <w:tc>
          <w:tcPr>
            <w:tcW w:w="1316" w:type="dxa"/>
            <w:noWrap w:val="0"/>
            <w:vAlign w:val="center"/>
          </w:tcPr>
          <w:p w14:paraId="6BBD2B1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0CD6A81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3BC65E2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4C796BA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3CCA345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7F29139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75A93B4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4911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1870E1D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3</w:t>
            </w:r>
          </w:p>
        </w:tc>
        <w:tc>
          <w:tcPr>
            <w:tcW w:w="1316" w:type="dxa"/>
            <w:noWrap w:val="0"/>
            <w:vAlign w:val="center"/>
          </w:tcPr>
          <w:p w14:paraId="4C29A0B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17DC921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48682F9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331D736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1D0E22A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7C03DDD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45FE0FE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2B8E25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75C2CF6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4</w:t>
            </w:r>
          </w:p>
        </w:tc>
        <w:tc>
          <w:tcPr>
            <w:tcW w:w="1316" w:type="dxa"/>
            <w:noWrap w:val="0"/>
            <w:vAlign w:val="center"/>
          </w:tcPr>
          <w:p w14:paraId="160CA9F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37F0273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15B3B43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4186359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197AB1B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68BD007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2F5C8B6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1E4A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09D699E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5</w:t>
            </w:r>
          </w:p>
        </w:tc>
        <w:tc>
          <w:tcPr>
            <w:tcW w:w="1316" w:type="dxa"/>
            <w:noWrap w:val="0"/>
            <w:vAlign w:val="center"/>
          </w:tcPr>
          <w:p w14:paraId="67AFBBD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7C72962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1A36988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3F77CA3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2AD93D2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0DA1C2DC">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5A0B804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1A64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741AB22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6</w:t>
            </w:r>
          </w:p>
        </w:tc>
        <w:tc>
          <w:tcPr>
            <w:tcW w:w="1316" w:type="dxa"/>
            <w:noWrap w:val="0"/>
            <w:vAlign w:val="center"/>
          </w:tcPr>
          <w:p w14:paraId="6DD5B4E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71A3D8E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7F9AE596">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7B39204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1F2C3A8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1B6BB44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4DD936CE">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4492F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50021D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7</w:t>
            </w:r>
          </w:p>
        </w:tc>
        <w:tc>
          <w:tcPr>
            <w:tcW w:w="1316" w:type="dxa"/>
            <w:noWrap w:val="0"/>
            <w:vAlign w:val="center"/>
          </w:tcPr>
          <w:p w14:paraId="4194632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623E185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05BE82B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22E0449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1D4DFE1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4BE715A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45138571">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1F7AA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B72808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8</w:t>
            </w:r>
          </w:p>
        </w:tc>
        <w:tc>
          <w:tcPr>
            <w:tcW w:w="1316" w:type="dxa"/>
            <w:noWrap w:val="0"/>
            <w:vAlign w:val="center"/>
          </w:tcPr>
          <w:p w14:paraId="082825DB">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247AF04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5828F05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31CD3EF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0206AA2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06EBCB73">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301B5BD7">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22B09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099FB5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9</w:t>
            </w:r>
          </w:p>
        </w:tc>
        <w:tc>
          <w:tcPr>
            <w:tcW w:w="1316" w:type="dxa"/>
            <w:noWrap w:val="0"/>
            <w:vAlign w:val="center"/>
          </w:tcPr>
          <w:p w14:paraId="3957AB9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752F60CF">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28" w:type="dxa"/>
            <w:noWrap w:val="0"/>
            <w:vAlign w:val="center"/>
          </w:tcPr>
          <w:p w14:paraId="3D22C728">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316" w:type="dxa"/>
            <w:noWrap w:val="0"/>
            <w:vAlign w:val="center"/>
          </w:tcPr>
          <w:p w14:paraId="6CD51F0A">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19" w:type="dxa"/>
            <w:noWrap w:val="0"/>
            <w:vAlign w:val="center"/>
          </w:tcPr>
          <w:p w14:paraId="0A97EBE5">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1060" w:type="dxa"/>
            <w:noWrap w:val="0"/>
            <w:vAlign w:val="center"/>
          </w:tcPr>
          <w:p w14:paraId="7AA4EFA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c>
          <w:tcPr>
            <w:tcW w:w="952" w:type="dxa"/>
            <w:noWrap w:val="0"/>
            <w:vAlign w:val="center"/>
          </w:tcPr>
          <w:p w14:paraId="7B760809">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1D33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32909A6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合计</w:t>
            </w:r>
          </w:p>
        </w:tc>
        <w:tc>
          <w:tcPr>
            <w:tcW w:w="8307" w:type="dxa"/>
            <w:gridSpan w:val="7"/>
            <w:noWrap w:val="0"/>
            <w:vAlign w:val="center"/>
          </w:tcPr>
          <w:p w14:paraId="084C624D">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r w14:paraId="1862F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340" w:hRule="atLeast"/>
        </w:trPr>
        <w:tc>
          <w:tcPr>
            <w:tcW w:w="785" w:type="dxa"/>
            <w:noWrap w:val="0"/>
            <w:vAlign w:val="center"/>
          </w:tcPr>
          <w:p w14:paraId="4B2CC9D2">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备注</w:t>
            </w:r>
          </w:p>
        </w:tc>
        <w:tc>
          <w:tcPr>
            <w:tcW w:w="8307" w:type="dxa"/>
            <w:gridSpan w:val="7"/>
            <w:noWrap w:val="0"/>
            <w:vAlign w:val="center"/>
          </w:tcPr>
          <w:p w14:paraId="4D9FEF14">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4"/>
                <w:highlight w:val="none"/>
              </w:rPr>
            </w:pPr>
          </w:p>
        </w:tc>
      </w:tr>
    </w:tbl>
    <w:p w14:paraId="19D3356D">
      <w:pPr>
        <w:keepNext w:val="0"/>
        <w:keepLines w:val="0"/>
        <w:pageBreakBefore w:val="0"/>
        <w:widowControl w:val="0"/>
        <w:kinsoku/>
        <w:wordWrap/>
        <w:overflowPunct/>
        <w:topLinePunct w:val="0"/>
        <w:autoSpaceDE/>
        <w:autoSpaceDN/>
        <w:bidi w:val="0"/>
        <w:adjustRightInd/>
        <w:snapToGrid w:val="0"/>
        <w:spacing w:line="360" w:lineRule="auto"/>
        <w:ind w:firstLine="480"/>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（上表仅供参考，应根据项目具体内容修改填写，详细服务内容及明细标准可附附件或详见响应文件，需说明清楚）</w:t>
      </w:r>
    </w:p>
    <w:p w14:paraId="7EAF340D">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二、合作模式</w:t>
      </w:r>
    </w:p>
    <w:p w14:paraId="4517159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1.甲方提供厨房、场地、厨具、餐具等，在合同期限内供乙方无偿使用。</w:t>
      </w:r>
    </w:p>
    <w:p w14:paraId="21B5826D">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2.食堂员工的工作服由乙方配备</w:t>
      </w:r>
      <w:r>
        <w:rPr>
          <w:rFonts w:hint="eastAsia" w:ascii="仿宋" w:hAnsi="仿宋" w:eastAsia="仿宋" w:cs="仿宋"/>
          <w:sz w:val="24"/>
          <w:highlight w:val="none"/>
          <w:lang w:eastAsia="zh-CN"/>
        </w:rPr>
        <w:t>。</w:t>
      </w:r>
    </w:p>
    <w:p w14:paraId="7258F895">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3.甲方放假期间(包括周末)，食堂不开饭，乙方员工不得在食堂加工任何食品及就餐。</w:t>
      </w:r>
    </w:p>
    <w:p w14:paraId="5C4906F6">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4.食堂工作人员由乙方聘用、指派，厨师等必须按照本协议其他条款规定的人员数量配置，乙方工作人员必须具有健康证。</w:t>
      </w:r>
    </w:p>
    <w:p w14:paraId="7DD01880">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5.乙方必须按照甲方要求遵照“科学管理、安全给养优质服务”的原则为甲方提供服务，对食堂进行管理，并提供食品烹饪、制作加工、协助甲方进行原材料的验收等相关服务，遵从甲方指派人员的管理与监督。</w:t>
      </w:r>
    </w:p>
    <w:p w14:paraId="1EF6EA18">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6.若在履行协议过程中，乙方工作人员发生工伤、工亡或受到其他伤害等事件，一切赔偿责任由乙方自行承担，甲方不承担任何责任；若乙方工作人员造成他人人身伤害或者其他财产损失,也由乙方自行解决赔偿问题，甲方不承担任何责任。</w:t>
      </w:r>
    </w:p>
    <w:p w14:paraId="21D96E5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仿宋" w:hAnsi="仿宋" w:eastAsia="仿宋" w:cs="仿宋"/>
          <w:b/>
          <w:bCs/>
          <w:sz w:val="24"/>
          <w:highlight w:val="none"/>
        </w:rPr>
      </w:pPr>
      <w:r>
        <w:rPr>
          <w:rFonts w:hint="eastAsia" w:ascii="仿宋" w:hAnsi="仿宋" w:eastAsia="仿宋" w:cs="仿宋"/>
          <w:b/>
          <w:bCs/>
          <w:sz w:val="24"/>
          <w:highlight w:val="none"/>
        </w:rPr>
        <w:t>三、采购内容、期限及费用</w:t>
      </w:r>
    </w:p>
    <w:p w14:paraId="0802482B">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 xml:space="preserve">1.采购项目内容: </w:t>
      </w:r>
      <w:r>
        <w:rPr>
          <w:rFonts w:hint="eastAsia" w:ascii="仿宋" w:hAnsi="仿宋" w:eastAsia="仿宋" w:cs="仿宋"/>
          <w:sz w:val="24"/>
          <w:highlight w:val="none"/>
        </w:rPr>
        <w:t>为幼儿园配备足额厨房服务人员，岗前提供持有有效期内健康证、从业证均可上岗，为幼儿高质量提供每日三餐两点餐食，按照食品安全工作要求，保证全园师幼餐食营养、健康，保障幼儿园教育教学活动正常开展。</w:t>
      </w:r>
    </w:p>
    <w:p w14:paraId="0420F8E2">
      <w:pPr>
        <w:keepNext w:val="0"/>
        <w:keepLines w:val="0"/>
        <w:pageBreakBefore w:val="0"/>
        <w:widowControl w:val="0"/>
        <w:kinsoku/>
        <w:wordWrap/>
        <w:overflowPunct/>
        <w:topLinePunct w:val="0"/>
        <w:autoSpaceDE/>
        <w:autoSpaceDN/>
        <w:bidi w:val="0"/>
        <w:adjustRightInd/>
        <w:snapToGrid w:val="0"/>
        <w:spacing w:line="360" w:lineRule="auto"/>
        <w:ind w:firstLine="470" w:firstLineChars="200"/>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2.服务期限</w:t>
      </w:r>
      <w:r>
        <w:rPr>
          <w:rFonts w:hint="eastAsia" w:ascii="仿宋" w:hAnsi="仿宋" w:eastAsia="仿宋" w:cs="仿宋"/>
          <w:snapToGrid w:val="0"/>
          <w:color w:val="000000"/>
          <w:spacing w:val="-3"/>
          <w:kern w:val="0"/>
          <w:sz w:val="24"/>
          <w:highlight w:val="none"/>
        </w:rPr>
        <w:t>：</w:t>
      </w:r>
      <w:r>
        <w:rPr>
          <w:rFonts w:hint="eastAsia" w:ascii="仿宋" w:hAnsi="仿宋" w:eastAsia="仿宋" w:cs="仿宋"/>
          <w:snapToGrid w:val="0"/>
          <w:color w:val="000000"/>
          <w:spacing w:val="-3"/>
          <w:kern w:val="0"/>
          <w:sz w:val="24"/>
          <w:highlight w:val="none"/>
          <w:lang w:eastAsia="zh-CN"/>
        </w:rPr>
        <w:t>2026年7月1日至2027年6月30日</w:t>
      </w:r>
      <w:r>
        <w:rPr>
          <w:rFonts w:hint="eastAsia" w:ascii="仿宋" w:hAnsi="仿宋" w:eastAsia="仿宋" w:cs="仿宋"/>
          <w:snapToGrid w:val="0"/>
          <w:color w:val="000000"/>
          <w:spacing w:val="-3"/>
          <w:kern w:val="0"/>
          <w:sz w:val="24"/>
          <w:highlight w:val="none"/>
        </w:rPr>
        <w:t>。（服务期限合计不少于10个月，寒暑假期间如采购人需要供应商提供餐饮服务，供应商应无条件配合，费用包含在报价中。具体以采购人实际情况为准。）</w:t>
      </w:r>
    </w:p>
    <w:p w14:paraId="639AE816">
      <w:pPr>
        <w:keepNext w:val="0"/>
        <w:keepLines w:val="0"/>
        <w:pageBreakBefore w:val="0"/>
        <w:widowControl w:val="0"/>
        <w:kinsoku/>
        <w:wordWrap/>
        <w:overflowPunct/>
        <w:topLinePunct w:val="0"/>
        <w:autoSpaceDE/>
        <w:autoSpaceDN/>
        <w:bidi w:val="0"/>
        <w:adjustRightInd/>
        <w:snapToGrid w:val="0"/>
        <w:spacing w:line="360" w:lineRule="auto"/>
        <w:ind w:firstLine="470" w:firstLineChars="200"/>
        <w:textAlignment w:val="auto"/>
        <w:rPr>
          <w:rFonts w:hint="eastAsia" w:ascii="仿宋" w:hAnsi="仿宋" w:eastAsia="仿宋" w:cs="仿宋"/>
          <w:sz w:val="24"/>
          <w:highlight w:val="none"/>
        </w:rPr>
      </w:pPr>
      <w:r>
        <w:rPr>
          <w:rFonts w:hint="eastAsia" w:ascii="仿宋" w:hAnsi="仿宋" w:eastAsia="仿宋" w:cs="仿宋"/>
          <w:b/>
          <w:bCs/>
          <w:snapToGrid w:val="0"/>
          <w:color w:val="000000"/>
          <w:spacing w:val="-3"/>
          <w:kern w:val="0"/>
          <w:sz w:val="24"/>
          <w:highlight w:val="none"/>
        </w:rPr>
        <w:t>3.就餐标准：</w:t>
      </w:r>
      <w:r>
        <w:rPr>
          <w:rFonts w:hint="eastAsia" w:ascii="仿宋" w:hAnsi="仿宋" w:eastAsia="仿宋" w:cs="仿宋"/>
          <w:b/>
          <w:bCs/>
          <w:snapToGrid w:val="0"/>
          <w:color w:val="000000"/>
          <w:spacing w:val="-3"/>
          <w:kern w:val="0"/>
          <w:sz w:val="24"/>
          <w:highlight w:val="none"/>
          <w:lang w:val="en-US" w:eastAsia="zh-CN"/>
        </w:rPr>
        <w:t>餐厅运转保障项目（幼儿餐食服务）</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w:t>
      </w:r>
      <w:r>
        <w:rPr>
          <w:rFonts w:hint="eastAsia" w:ascii="仿宋" w:hAnsi="仿宋" w:eastAsia="仿宋" w:cs="仿宋"/>
          <w:snapToGrid w:val="0"/>
          <w:color w:val="000000"/>
          <w:spacing w:val="-3"/>
          <w:kern w:val="0"/>
          <w:sz w:val="24"/>
          <w:highlight w:val="none"/>
        </w:rPr>
        <w:t>餐</w:t>
      </w:r>
      <w:r>
        <w:rPr>
          <w:rFonts w:hint="eastAsia" w:ascii="仿宋" w:hAnsi="仿宋" w:eastAsia="仿宋" w:cs="仿宋"/>
          <w:snapToGrid w:val="0"/>
          <w:color w:val="000000"/>
          <w:spacing w:val="-3"/>
          <w:kern w:val="0"/>
          <w:sz w:val="24"/>
          <w:highlight w:val="none"/>
          <w:lang w:val="en-US" w:eastAsia="zh-CN"/>
        </w:rPr>
        <w:t>两点制，</w:t>
      </w:r>
      <w:r>
        <w:rPr>
          <w:rFonts w:hint="eastAsia" w:ascii="仿宋" w:hAnsi="仿宋" w:eastAsia="仿宋" w:cs="仿宋"/>
          <w:b/>
          <w:bCs/>
          <w:snapToGrid w:val="0"/>
          <w:color w:val="000000"/>
          <w:spacing w:val="-3"/>
          <w:kern w:val="0"/>
          <w:sz w:val="24"/>
          <w:highlight w:val="none"/>
          <w:lang w:val="en-US" w:eastAsia="zh-CN"/>
        </w:rPr>
        <w:t>餐厅运转保障项目（教职工餐食服务）</w:t>
      </w:r>
      <w:r>
        <w:rPr>
          <w:rFonts w:hint="eastAsia" w:ascii="仿宋" w:hAnsi="仿宋" w:eastAsia="仿宋" w:cs="仿宋"/>
          <w:snapToGrid w:val="0"/>
          <w:color w:val="000000"/>
          <w:spacing w:val="-3"/>
          <w:kern w:val="0"/>
          <w:sz w:val="24"/>
          <w:highlight w:val="none"/>
          <w:lang w:eastAsia="zh-CN"/>
        </w:rPr>
        <w:t>：</w:t>
      </w:r>
      <w:r>
        <w:rPr>
          <w:rFonts w:hint="eastAsia" w:ascii="仿宋" w:hAnsi="仿宋" w:eastAsia="仿宋" w:cs="仿宋"/>
          <w:snapToGrid w:val="0"/>
          <w:color w:val="000000"/>
          <w:spacing w:val="-3"/>
          <w:kern w:val="0"/>
          <w:sz w:val="24"/>
          <w:highlight w:val="none"/>
          <w:lang w:val="en-US" w:eastAsia="zh-CN"/>
        </w:rPr>
        <w:t>三餐制，</w:t>
      </w:r>
      <w:r>
        <w:rPr>
          <w:rFonts w:hint="eastAsia" w:ascii="仿宋" w:hAnsi="仿宋" w:eastAsia="仿宋" w:cs="仿宋"/>
          <w:snapToGrid w:val="0"/>
          <w:color w:val="000000"/>
          <w:spacing w:val="-3"/>
          <w:kern w:val="0"/>
          <w:sz w:val="24"/>
          <w:highlight w:val="none"/>
        </w:rPr>
        <w:t>具体以采购人实际情况为准。</w:t>
      </w:r>
    </w:p>
    <w:p w14:paraId="3E5F2E79">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4.本协议签订后，乙方不得把业务转由其他单位或个人承接。</w:t>
      </w:r>
    </w:p>
    <w:p w14:paraId="779A54AD">
      <w:pPr>
        <w:keepNext w:val="0"/>
        <w:keepLines w:val="0"/>
        <w:pageBreakBefore w:val="0"/>
        <w:widowControl w:val="0"/>
        <w:kinsoku/>
        <w:wordWrap/>
        <w:overflowPunct/>
        <w:topLinePunct w:val="0"/>
        <w:autoSpaceDE/>
        <w:autoSpaceDN/>
        <w:bidi w:val="0"/>
        <w:adjustRightInd/>
        <w:snapToGrid w:val="0"/>
        <w:spacing w:line="360" w:lineRule="auto"/>
        <w:jc w:val="left"/>
        <w:textAlignment w:val="auto"/>
        <w:rPr>
          <w:rFonts w:hint="eastAsia" w:ascii="仿宋" w:hAnsi="仿宋" w:eastAsia="仿宋" w:cs="仿宋"/>
          <w:snapToGrid w:val="0"/>
          <w:color w:val="000000"/>
          <w:spacing w:val="-3"/>
          <w:kern w:val="0"/>
          <w:sz w:val="24"/>
          <w:highlight w:val="none"/>
        </w:rPr>
      </w:pPr>
      <w:r>
        <w:rPr>
          <w:rFonts w:hint="eastAsia" w:ascii="仿宋" w:hAnsi="仿宋" w:eastAsia="仿宋" w:cs="仿宋"/>
          <w:b/>
          <w:bCs/>
          <w:snapToGrid w:val="0"/>
          <w:color w:val="000000"/>
          <w:spacing w:val="-3"/>
          <w:kern w:val="0"/>
          <w:sz w:val="24"/>
          <w:highlight w:val="none"/>
        </w:rPr>
        <w:t>四、款项结算</w:t>
      </w:r>
    </w:p>
    <w:p w14:paraId="691ED2D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pacing w:val="3"/>
          <w:sz w:val="24"/>
          <w:highlight w:val="none"/>
        </w:rPr>
        <w:t>（一）</w:t>
      </w:r>
      <w:r>
        <w:rPr>
          <w:rFonts w:hint="eastAsia" w:ascii="仿宋" w:hAnsi="仿宋" w:eastAsia="仿宋" w:cs="仿宋"/>
          <w:sz w:val="24"/>
          <w:highlight w:val="none"/>
        </w:rPr>
        <w:t>合同总价款为人民币（大写）</w:t>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u w:val="single"/>
        </w:rPr>
        <w:tab/>
      </w:r>
      <w:r>
        <w:rPr>
          <w:rFonts w:hint="eastAsia" w:ascii="仿宋" w:hAnsi="仿宋" w:eastAsia="仿宋" w:cs="仿宋"/>
          <w:sz w:val="24"/>
          <w:highlight w:val="none"/>
        </w:rPr>
        <w:t>；¥</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元。该价款</w:t>
      </w:r>
      <w:r>
        <w:rPr>
          <w:rFonts w:hint="eastAsia" w:ascii="仿宋" w:hAnsi="仿宋" w:eastAsia="仿宋" w:cs="仿宋"/>
          <w:snapToGrid w:val="0"/>
          <w:color w:val="000000"/>
          <w:kern w:val="0"/>
          <w:sz w:val="24"/>
          <w:highlight w:val="none"/>
          <w:lang w:bidi="ar"/>
        </w:rPr>
        <w:t>为完成本项目全部工作内容及工作要求的总价，包括但不限于人工工资、社保</w:t>
      </w:r>
      <w:r>
        <w:rPr>
          <w:rFonts w:hint="eastAsia" w:ascii="仿宋" w:hAnsi="仿宋" w:eastAsia="仿宋" w:cs="仿宋"/>
          <w:snapToGrid w:val="0"/>
          <w:color w:val="auto"/>
          <w:kern w:val="0"/>
          <w:sz w:val="24"/>
          <w:highlight w:val="none"/>
          <w:lang w:bidi="ar"/>
        </w:rPr>
        <w:t>（五险一金）</w:t>
      </w:r>
      <w:r>
        <w:rPr>
          <w:rFonts w:hint="eastAsia" w:ascii="仿宋" w:hAnsi="仿宋" w:eastAsia="仿宋" w:cs="仿宋"/>
          <w:snapToGrid w:val="0"/>
          <w:color w:val="000000"/>
          <w:kern w:val="0"/>
          <w:sz w:val="24"/>
          <w:highlight w:val="none"/>
          <w:lang w:bidi="ar"/>
        </w:rPr>
        <w:t>、劳保、福利、工服、办公物资、保洁耗材</w:t>
      </w:r>
      <w:r>
        <w:rPr>
          <w:rFonts w:hint="eastAsia" w:ascii="仿宋" w:hAnsi="仿宋" w:eastAsia="仿宋" w:cs="仿宋"/>
          <w:snapToGrid w:val="0"/>
          <w:color w:val="000000"/>
          <w:kern w:val="0"/>
          <w:sz w:val="24"/>
          <w:highlight w:val="none"/>
          <w:lang w:eastAsia="zh-CN" w:bidi="ar"/>
        </w:rPr>
        <w:t>、</w:t>
      </w:r>
      <w:r>
        <w:rPr>
          <w:rFonts w:hint="eastAsia" w:ascii="仿宋" w:hAnsi="仿宋" w:eastAsia="仿宋" w:cs="仿宋"/>
          <w:snapToGrid w:val="0"/>
          <w:color w:val="000000"/>
          <w:kern w:val="0"/>
          <w:sz w:val="24"/>
          <w:highlight w:val="none"/>
          <w:lang w:val="en-US" w:eastAsia="zh-CN" w:bidi="ar"/>
        </w:rPr>
        <w:t>人员宿舍</w:t>
      </w:r>
      <w:r>
        <w:rPr>
          <w:rFonts w:hint="eastAsia" w:ascii="仿宋" w:hAnsi="仿宋" w:eastAsia="仿宋" w:cs="仿宋"/>
          <w:snapToGrid w:val="0"/>
          <w:color w:val="000000"/>
          <w:kern w:val="0"/>
          <w:sz w:val="24"/>
          <w:highlight w:val="none"/>
          <w:lang w:bidi="ar"/>
        </w:rPr>
        <w:t>及其他所需物资，管理运营、利润、税金及政策性文件规定的各项费用等承包计价的一切费用。</w:t>
      </w:r>
    </w:p>
    <w:p w14:paraId="7D4E28C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具体为：</w:t>
      </w:r>
      <w:r>
        <w:rPr>
          <w:rFonts w:hint="eastAsia" w:ascii="仿宋" w:hAnsi="仿宋" w:eastAsia="仿宋" w:cs="仿宋"/>
          <w:b/>
          <w:bCs/>
          <w:snapToGrid w:val="0"/>
          <w:color w:val="000000"/>
          <w:spacing w:val="-3"/>
          <w:kern w:val="0"/>
          <w:sz w:val="24"/>
          <w:highlight w:val="none"/>
          <w:lang w:val="en-US" w:eastAsia="zh-CN"/>
        </w:rPr>
        <w:t>餐厅运转保障项目（幼儿餐食服务）费用</w:t>
      </w:r>
      <w:r>
        <w:rPr>
          <w:rFonts w:hint="eastAsia" w:ascii="仿宋" w:hAnsi="仿宋" w:eastAsia="仿宋" w:cs="仿宋"/>
          <w:sz w:val="24"/>
          <w:highlight w:val="none"/>
        </w:rPr>
        <w:t>：月费用为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674957C0">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lang w:eastAsia="zh-CN"/>
        </w:rPr>
      </w:pPr>
      <w:r>
        <w:rPr>
          <w:rFonts w:hint="eastAsia" w:ascii="仿宋" w:hAnsi="仿宋" w:eastAsia="仿宋" w:cs="仿宋"/>
          <w:b/>
          <w:bCs/>
          <w:snapToGrid w:val="0"/>
          <w:color w:val="000000"/>
          <w:spacing w:val="-3"/>
          <w:kern w:val="0"/>
          <w:sz w:val="24"/>
          <w:highlight w:val="none"/>
          <w:lang w:val="en-US" w:eastAsia="zh-CN"/>
        </w:rPr>
        <w:t>餐厅运转保障项目（教职工餐食服务）费用：</w:t>
      </w:r>
      <w:r>
        <w:rPr>
          <w:rFonts w:hint="eastAsia" w:ascii="仿宋" w:hAnsi="仿宋" w:eastAsia="仿宋" w:cs="仿宋"/>
          <w:sz w:val="24"/>
          <w:highlight w:val="none"/>
        </w:rPr>
        <w:t>月费用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rPr>
        <w:t>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元，总费用</w:t>
      </w:r>
      <w:r>
        <w:rPr>
          <w:rFonts w:hint="eastAsia" w:ascii="仿宋" w:hAnsi="仿宋" w:eastAsia="仿宋" w:cs="仿宋"/>
          <w:sz w:val="24"/>
          <w:highlight w:val="none"/>
          <w:lang w:val="en-US" w:eastAsia="zh-CN"/>
        </w:rPr>
        <w:t>约</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r>
        <w:rPr>
          <w:rFonts w:hint="eastAsia" w:ascii="仿宋" w:hAnsi="仿宋" w:eastAsia="仿宋" w:cs="仿宋"/>
          <w:sz w:val="24"/>
          <w:highlight w:val="none"/>
          <w:lang w:eastAsia="zh-CN"/>
        </w:rPr>
        <w:t>（</w:t>
      </w:r>
      <w:r>
        <w:rPr>
          <w:rFonts w:hint="eastAsia" w:ascii="仿宋" w:hAnsi="仿宋" w:eastAsia="仿宋" w:cs="仿宋"/>
          <w:sz w:val="24"/>
          <w:highlight w:val="none"/>
          <w:lang w:val="en-US" w:eastAsia="zh-CN"/>
        </w:rPr>
        <w:t>根据每月教师餐厅运转保障服务实际据实结算</w:t>
      </w:r>
      <w:r>
        <w:rPr>
          <w:rFonts w:hint="eastAsia" w:ascii="仿宋" w:hAnsi="仿宋" w:eastAsia="仿宋" w:cs="仿宋"/>
          <w:sz w:val="24"/>
          <w:highlight w:val="none"/>
          <w:lang w:eastAsia="zh-CN"/>
        </w:rPr>
        <w:t>）</w:t>
      </w:r>
    </w:p>
    <w:p w14:paraId="58FA0EF2">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乙方全体服务人员数量在磋商文件规定基本数量基础上，由甲方根据需要提出是否继续增派数量，乙方及时予以增派人员，所需费用包含在合同总价中，甲方不再另外予以增加。</w:t>
      </w:r>
    </w:p>
    <w:p w14:paraId="57389067">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（二）结算方式：甲方每</w:t>
      </w:r>
      <w:r>
        <w:rPr>
          <w:rFonts w:hint="eastAsia" w:ascii="仿宋" w:hAnsi="仿宋" w:eastAsia="仿宋" w:cs="仿宋"/>
          <w:sz w:val="24"/>
          <w:highlight w:val="none"/>
          <w:lang w:val="en-US" w:eastAsia="zh-CN"/>
        </w:rPr>
        <w:t>月度</w:t>
      </w:r>
      <w:r>
        <w:rPr>
          <w:rFonts w:hint="eastAsia" w:ascii="仿宋" w:hAnsi="仿宋" w:eastAsia="仿宋" w:cs="仿宋"/>
          <w:sz w:val="24"/>
          <w:highlight w:val="none"/>
        </w:rPr>
        <w:t>验收考核一次，经综合验收合格办理结算该</w:t>
      </w:r>
      <w:r>
        <w:rPr>
          <w:rFonts w:hint="eastAsia" w:ascii="仿宋" w:hAnsi="仿宋" w:eastAsia="仿宋" w:cs="仿宋"/>
          <w:sz w:val="24"/>
          <w:highlight w:val="none"/>
          <w:lang w:val="en-US" w:eastAsia="zh-CN"/>
        </w:rPr>
        <w:t>月度</w:t>
      </w:r>
      <w:r>
        <w:rPr>
          <w:rFonts w:hint="eastAsia" w:ascii="仿宋" w:hAnsi="仿宋" w:eastAsia="仿宋" w:cs="仿宋"/>
          <w:sz w:val="24"/>
          <w:highlight w:val="none"/>
        </w:rPr>
        <w:t>付款手续，每次付款前乙方应向甲方提供合法有效的等额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发票。乙方持成交通知书、服务合同、发票，与甲方结算。</w:t>
      </w:r>
    </w:p>
    <w:p w14:paraId="6342BE7F">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（三）采购人在</w:t>
      </w:r>
      <w:r>
        <w:rPr>
          <w:rFonts w:hint="eastAsia" w:ascii="仿宋" w:hAnsi="仿宋" w:eastAsia="仿宋" w:cs="仿宋"/>
          <w:sz w:val="24"/>
          <w:highlight w:val="none"/>
          <w:lang w:val="en-US" w:eastAsia="zh-CN"/>
        </w:rPr>
        <w:t>下月度</w:t>
      </w:r>
      <w:r>
        <w:rPr>
          <w:rFonts w:hint="eastAsia" w:ascii="仿宋" w:hAnsi="仿宋" w:eastAsia="仿宋" w:cs="仿宋"/>
          <w:sz w:val="24"/>
          <w:highlight w:val="none"/>
        </w:rPr>
        <w:t>的15号之前支付上</w:t>
      </w:r>
      <w:r>
        <w:rPr>
          <w:rFonts w:hint="eastAsia" w:ascii="仿宋" w:hAnsi="仿宋" w:eastAsia="仿宋" w:cs="仿宋"/>
          <w:sz w:val="24"/>
          <w:highlight w:val="none"/>
          <w:lang w:val="en-US" w:eastAsia="zh-CN"/>
        </w:rPr>
        <w:t>月度</w:t>
      </w:r>
      <w:r>
        <w:rPr>
          <w:rFonts w:hint="eastAsia" w:ascii="仿宋" w:hAnsi="仿宋" w:eastAsia="仿宋" w:cs="仿宋"/>
          <w:sz w:val="24"/>
          <w:highlight w:val="none"/>
        </w:rPr>
        <w:t>的费用，</w:t>
      </w:r>
      <w:r>
        <w:rPr>
          <w:rFonts w:hint="eastAsia" w:ascii="仿宋" w:hAnsi="仿宋" w:eastAsia="仿宋" w:cs="仿宋"/>
          <w:sz w:val="24"/>
          <w:highlight w:val="none"/>
          <w:lang w:val="en-US" w:eastAsia="zh-CN"/>
        </w:rPr>
        <w:t>每月度</w:t>
      </w:r>
      <w:r>
        <w:rPr>
          <w:rFonts w:hint="eastAsia" w:ascii="仿宋" w:hAnsi="仿宋" w:eastAsia="仿宋" w:cs="仿宋"/>
          <w:sz w:val="24"/>
          <w:highlight w:val="none"/>
        </w:rPr>
        <w:t>考核满意率95%及以上全额支付上</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度费用。</w:t>
      </w:r>
    </w:p>
    <w:p w14:paraId="634FE19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rPr>
        <w:t>（四）考核满意率：</w:t>
      </w:r>
    </w:p>
    <w:p w14:paraId="1CF90C5D">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highlight w:val="none"/>
        </w:rPr>
      </w:pP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度的费用5%作为考核费用，如</w:t>
      </w:r>
      <w:r>
        <w:rPr>
          <w:rFonts w:hint="eastAsia" w:ascii="仿宋" w:hAnsi="仿宋" w:eastAsia="仿宋" w:cs="仿宋"/>
          <w:sz w:val="24"/>
          <w:highlight w:val="none"/>
          <w:lang w:val="en-US" w:eastAsia="zh-CN"/>
        </w:rPr>
        <w:t>月</w:t>
      </w:r>
      <w:r>
        <w:rPr>
          <w:rFonts w:hint="eastAsia" w:ascii="仿宋" w:hAnsi="仿宋" w:eastAsia="仿宋" w:cs="仿宋"/>
          <w:sz w:val="24"/>
          <w:highlight w:val="none"/>
        </w:rPr>
        <w:t>度考核满意率低于95%甲方有权按照下列标准扣款</w:t>
      </w:r>
    </w:p>
    <w:tbl>
      <w:tblPr>
        <w:tblStyle w:val="10"/>
        <w:tblW w:w="54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40"/>
        <w:gridCol w:w="5149"/>
      </w:tblGrid>
      <w:tr w14:paraId="36DE4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228" w:type="pct"/>
            <w:noWrap/>
            <w:vAlign w:val="top"/>
          </w:tcPr>
          <w:p w14:paraId="344F9821">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w:t>
            </w:r>
          </w:p>
        </w:tc>
        <w:tc>
          <w:tcPr>
            <w:tcW w:w="2771" w:type="pct"/>
            <w:noWrap/>
            <w:vAlign w:val="top"/>
          </w:tcPr>
          <w:p w14:paraId="418FAE73">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支付比例</w:t>
            </w:r>
          </w:p>
        </w:tc>
      </w:tr>
      <w:tr w14:paraId="5EDE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228" w:type="pct"/>
            <w:noWrap/>
            <w:vAlign w:val="top"/>
          </w:tcPr>
          <w:p w14:paraId="7304C414">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满意率≥95%</w:t>
            </w:r>
          </w:p>
        </w:tc>
        <w:tc>
          <w:tcPr>
            <w:tcW w:w="2771" w:type="pct"/>
            <w:noWrap/>
            <w:vAlign w:val="top"/>
          </w:tcPr>
          <w:p w14:paraId="54AB45F9">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支付100%考核费</w:t>
            </w:r>
          </w:p>
        </w:tc>
      </w:tr>
      <w:tr w14:paraId="3EAD5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228" w:type="pct"/>
            <w:noWrap/>
            <w:vAlign w:val="top"/>
          </w:tcPr>
          <w:p w14:paraId="4DC6A709">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95%＞满意率≥90%</w:t>
            </w:r>
          </w:p>
        </w:tc>
        <w:tc>
          <w:tcPr>
            <w:tcW w:w="2771" w:type="pct"/>
            <w:noWrap/>
            <w:vAlign w:val="top"/>
          </w:tcPr>
          <w:p w14:paraId="7950A33B">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支付70%考核费</w:t>
            </w:r>
          </w:p>
        </w:tc>
      </w:tr>
      <w:tr w14:paraId="78899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2228" w:type="pct"/>
            <w:noWrap/>
            <w:vAlign w:val="top"/>
          </w:tcPr>
          <w:p w14:paraId="17333F5B">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90%＞满意率≥85%</w:t>
            </w:r>
          </w:p>
        </w:tc>
        <w:tc>
          <w:tcPr>
            <w:tcW w:w="2771" w:type="pct"/>
            <w:noWrap/>
            <w:vAlign w:val="top"/>
          </w:tcPr>
          <w:p w14:paraId="235FBB6C">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支付30%考核费</w:t>
            </w:r>
          </w:p>
        </w:tc>
      </w:tr>
      <w:tr w14:paraId="15E49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2228" w:type="pct"/>
            <w:noWrap/>
            <w:vAlign w:val="top"/>
          </w:tcPr>
          <w:p w14:paraId="311A7210">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80%＞满意率</w:t>
            </w:r>
          </w:p>
        </w:tc>
        <w:tc>
          <w:tcPr>
            <w:tcW w:w="2771" w:type="pct"/>
            <w:noWrap/>
            <w:vAlign w:val="top"/>
          </w:tcPr>
          <w:p w14:paraId="2FF1CF18">
            <w:pPr>
              <w:spacing w:line="500" w:lineRule="exact"/>
              <w:jc w:val="center"/>
              <w:rPr>
                <w:rFonts w:hint="eastAsia" w:ascii="仿宋" w:hAnsi="仿宋" w:eastAsia="仿宋" w:cs="仿宋"/>
                <w:sz w:val="24"/>
                <w:highlight w:val="none"/>
              </w:rPr>
            </w:pPr>
            <w:r>
              <w:rPr>
                <w:rFonts w:hint="eastAsia" w:ascii="仿宋" w:hAnsi="仿宋" w:eastAsia="仿宋" w:cs="仿宋"/>
                <w:sz w:val="24"/>
                <w:highlight w:val="none"/>
              </w:rPr>
              <w:t>扣除全部年度考核费用。</w:t>
            </w:r>
          </w:p>
        </w:tc>
      </w:tr>
    </w:tbl>
    <w:p w14:paraId="515CBDEE">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ascii="仿宋" w:hAnsi="仿宋" w:eastAsia="仿宋" w:cs="仿宋"/>
          <w:b w:val="0"/>
          <w:bCs w:val="0"/>
          <w:sz w:val="24"/>
          <w:highlight w:val="none"/>
        </w:rPr>
      </w:pPr>
      <w:r>
        <w:rPr>
          <w:rFonts w:hint="eastAsia" w:ascii="仿宋" w:hAnsi="仿宋" w:eastAsia="仿宋" w:cs="仿宋"/>
          <w:b w:val="0"/>
          <w:bCs w:val="0"/>
          <w:sz w:val="24"/>
          <w:highlight w:val="none"/>
        </w:rPr>
        <w:t>（五）考核标准：</w:t>
      </w:r>
    </w:p>
    <w:p w14:paraId="32E3C3A8">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甲方对餐饮服务进行考核，月度定期检查，每月按照服务质量检查表，进行不少于1次的定期检查。</w:t>
      </w:r>
    </w:p>
    <w:p w14:paraId="209CE2A5">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sz w:val="24"/>
          <w:szCs w:val="22"/>
          <w:highlight w:val="none"/>
        </w:rPr>
      </w:pPr>
      <w:r>
        <w:rPr>
          <w:rFonts w:hint="eastAsia" w:ascii="仿宋" w:hAnsi="仿宋" w:eastAsia="仿宋" w:cs="仿宋"/>
          <w:sz w:val="24"/>
          <w:szCs w:val="22"/>
          <w:highlight w:val="none"/>
        </w:rPr>
        <w:t>考核表详见附表</w:t>
      </w:r>
      <w:r>
        <w:rPr>
          <w:rFonts w:hint="eastAsia" w:ascii="仿宋" w:hAnsi="仿宋" w:eastAsia="仿宋" w:cs="仿宋"/>
          <w:sz w:val="24"/>
          <w:szCs w:val="22"/>
          <w:highlight w:val="none"/>
          <w:lang w:val="en-US" w:eastAsia="zh-CN"/>
        </w:rPr>
        <w:t>1、2</w:t>
      </w:r>
      <w:r>
        <w:rPr>
          <w:rFonts w:hint="eastAsia" w:ascii="仿宋" w:hAnsi="仿宋" w:eastAsia="仿宋" w:cs="仿宋"/>
          <w:sz w:val="24"/>
          <w:szCs w:val="22"/>
          <w:highlight w:val="none"/>
        </w:rPr>
        <w:t>：</w:t>
      </w:r>
    </w:p>
    <w:p w14:paraId="6D025742">
      <w:pPr>
        <w:keepNext w:val="0"/>
        <w:keepLines w:val="0"/>
        <w:pageBreakBefore w:val="0"/>
        <w:widowControl w:val="0"/>
        <w:kinsoku/>
        <w:wordWrap/>
        <w:overflowPunct/>
        <w:topLinePunct w:val="0"/>
        <w:autoSpaceDE/>
        <w:autoSpaceDN/>
        <w:bidi w:val="0"/>
        <w:adjustRightInd/>
        <w:snapToGrid w:val="0"/>
        <w:spacing w:line="360" w:lineRule="auto"/>
        <w:ind w:firstLine="560"/>
        <w:jc w:val="left"/>
        <w:textAlignment w:val="auto"/>
        <w:rPr>
          <w:rFonts w:hint="eastAsia" w:ascii="仿宋" w:hAnsi="仿宋" w:eastAsia="仿宋" w:cs="仿宋"/>
          <w:color w:val="auto"/>
          <w:sz w:val="24"/>
          <w:szCs w:val="22"/>
          <w:highlight w:val="none"/>
          <w:lang w:val="en-US" w:eastAsia="zh-CN"/>
        </w:rPr>
      </w:pPr>
      <w:r>
        <w:rPr>
          <w:rFonts w:hint="eastAsia" w:ascii="仿宋" w:hAnsi="仿宋" w:eastAsia="仿宋" w:cs="仿宋"/>
          <w:sz w:val="24"/>
          <w:szCs w:val="22"/>
          <w:highlight w:val="none"/>
          <w:lang w:val="en-US" w:eastAsia="zh-CN"/>
        </w:rPr>
        <w:t>附件1：</w:t>
      </w:r>
    </w:p>
    <w:tbl>
      <w:tblPr>
        <w:tblStyle w:val="10"/>
        <w:tblW w:w="5455"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42"/>
        <w:gridCol w:w="6616"/>
        <w:gridCol w:w="591"/>
        <w:gridCol w:w="616"/>
        <w:gridCol w:w="633"/>
      </w:tblGrid>
      <w:tr w14:paraId="16F1E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jc w:val="center"/>
        </w:trPr>
        <w:tc>
          <w:tcPr>
            <w:tcW w:w="5000" w:type="pct"/>
            <w:gridSpan w:val="5"/>
            <w:tcBorders>
              <w:top w:val="nil"/>
              <w:left w:val="nil"/>
              <w:bottom w:val="single" w:color="auto" w:sz="4" w:space="0"/>
              <w:right w:val="nil"/>
            </w:tcBorders>
            <w:shd w:val="clear" w:color="auto" w:fill="auto"/>
            <w:noWrap/>
            <w:vAlign w:val="center"/>
          </w:tcPr>
          <w:p w14:paraId="535732B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b/>
                <w:bCs/>
                <w:i w:val="0"/>
                <w:iCs w:val="0"/>
                <w:color w:val="auto"/>
                <w:sz w:val="21"/>
                <w:szCs w:val="21"/>
                <w:highlight w:val="none"/>
                <w:u w:val="none"/>
              </w:rPr>
            </w:pPr>
            <w:r>
              <w:rPr>
                <w:rFonts w:hint="eastAsia" w:ascii="仿宋" w:hAnsi="仿宋" w:eastAsia="仿宋" w:cs="仿宋"/>
                <w:b/>
                <w:bCs/>
                <w:i w:val="0"/>
                <w:iCs w:val="0"/>
                <w:color w:val="auto"/>
                <w:kern w:val="0"/>
                <w:sz w:val="21"/>
                <w:szCs w:val="21"/>
                <w:highlight w:val="none"/>
                <w:u w:val="none"/>
                <w:lang w:val="en-US" w:eastAsia="zh-CN" w:bidi="ar"/>
              </w:rPr>
              <w:t>西安航天城第十二幼儿园</w:t>
            </w:r>
            <w:r>
              <w:rPr>
                <w:rFonts w:hint="eastAsia" w:ascii="仿宋" w:hAnsi="仿宋" w:eastAsia="仿宋" w:cs="仿宋"/>
                <w:b/>
                <w:bCs/>
                <w:color w:val="auto"/>
                <w:kern w:val="0"/>
                <w:sz w:val="21"/>
                <w:szCs w:val="21"/>
                <w:highlight w:val="none"/>
                <w:lang w:bidi="ar"/>
              </w:rPr>
              <w:t>餐厅</w:t>
            </w:r>
            <w:r>
              <w:rPr>
                <w:rFonts w:hint="eastAsia" w:ascii="仿宋" w:hAnsi="仿宋" w:eastAsia="仿宋" w:cs="仿宋"/>
                <w:b/>
                <w:bCs/>
                <w:color w:val="auto"/>
                <w:kern w:val="0"/>
                <w:sz w:val="21"/>
                <w:szCs w:val="21"/>
                <w:highlight w:val="none"/>
                <w:lang w:val="en-US" w:eastAsia="zh-CN" w:bidi="ar"/>
              </w:rPr>
              <w:t>运转</w:t>
            </w:r>
            <w:r>
              <w:rPr>
                <w:rFonts w:hint="eastAsia" w:ascii="仿宋" w:hAnsi="仿宋" w:eastAsia="仿宋" w:cs="仿宋"/>
                <w:b/>
                <w:bCs/>
                <w:color w:val="auto"/>
                <w:kern w:val="0"/>
                <w:sz w:val="21"/>
                <w:szCs w:val="21"/>
                <w:highlight w:val="none"/>
                <w:lang w:bidi="ar"/>
              </w:rPr>
              <w:t>保障项目</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color w:val="auto"/>
                <w:kern w:val="0"/>
                <w:sz w:val="21"/>
                <w:szCs w:val="21"/>
                <w:highlight w:val="none"/>
                <w:lang w:val="en-US" w:eastAsia="zh-CN" w:bidi="ar"/>
              </w:rPr>
              <w:t>幼儿餐食服务</w:t>
            </w:r>
            <w:r>
              <w:rPr>
                <w:rFonts w:hint="eastAsia" w:ascii="仿宋" w:hAnsi="仿宋" w:eastAsia="仿宋" w:cs="仿宋"/>
                <w:b/>
                <w:bCs/>
                <w:color w:val="auto"/>
                <w:kern w:val="0"/>
                <w:sz w:val="21"/>
                <w:szCs w:val="21"/>
                <w:highlight w:val="none"/>
                <w:lang w:eastAsia="zh-CN" w:bidi="ar"/>
              </w:rPr>
              <w:t>）</w:t>
            </w:r>
            <w:r>
              <w:rPr>
                <w:rFonts w:hint="eastAsia" w:ascii="仿宋" w:hAnsi="仿宋" w:eastAsia="仿宋" w:cs="仿宋"/>
                <w:b/>
                <w:bCs/>
                <w:i w:val="0"/>
                <w:iCs w:val="0"/>
                <w:color w:val="auto"/>
                <w:kern w:val="0"/>
                <w:sz w:val="21"/>
                <w:szCs w:val="21"/>
                <w:highlight w:val="none"/>
                <w:u w:val="none"/>
                <w:lang w:val="en-US" w:eastAsia="zh-CN" w:bidi="ar"/>
              </w:rPr>
              <w:t>考核评分标准</w:t>
            </w:r>
          </w:p>
        </w:tc>
      </w:tr>
      <w:tr w14:paraId="1E54BC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453" w:type="pct"/>
            <w:tcBorders>
              <w:top w:val="single" w:color="auto" w:sz="4" w:space="0"/>
              <w:left w:val="single" w:color="auto" w:sz="4" w:space="0"/>
              <w:bottom w:val="single" w:color="auto" w:sz="4" w:space="0"/>
              <w:right w:val="single" w:color="auto" w:sz="4" w:space="0"/>
            </w:tcBorders>
            <w:shd w:val="clear" w:color="auto" w:fill="auto"/>
            <w:vAlign w:val="center"/>
          </w:tcPr>
          <w:p w14:paraId="07A045D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4"/>
                <w:rFonts w:hint="eastAsia" w:ascii="仿宋" w:hAnsi="仿宋" w:eastAsia="仿宋" w:cs="仿宋"/>
                <w:color w:val="auto"/>
                <w:sz w:val="21"/>
                <w:szCs w:val="21"/>
                <w:highlight w:val="none"/>
                <w:lang w:val="en-US" w:eastAsia="zh-CN" w:bidi="ar"/>
              </w:rPr>
              <w:t>内容</w:t>
            </w: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66A293C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4"/>
                <w:rFonts w:hint="eastAsia" w:ascii="仿宋" w:hAnsi="仿宋" w:eastAsia="仿宋" w:cs="仿宋"/>
                <w:color w:val="auto"/>
                <w:sz w:val="21"/>
                <w:szCs w:val="21"/>
                <w:highlight w:val="none"/>
                <w:lang w:val="en-US" w:eastAsia="zh-CN" w:bidi="ar"/>
              </w:rPr>
              <w:t>分项指标</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4DE926E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4"/>
                <w:rFonts w:hint="eastAsia" w:ascii="仿宋" w:hAnsi="仿宋" w:eastAsia="仿宋" w:cs="仿宋"/>
                <w:color w:val="auto"/>
                <w:sz w:val="21"/>
                <w:szCs w:val="21"/>
                <w:highlight w:val="none"/>
                <w:lang w:val="en-US" w:eastAsia="zh-CN" w:bidi="ar"/>
              </w:rPr>
              <w:t>分值</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3CEAB55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4"/>
                <w:rFonts w:hint="eastAsia" w:ascii="仿宋" w:hAnsi="仿宋" w:eastAsia="仿宋" w:cs="仿宋"/>
                <w:color w:val="auto"/>
                <w:sz w:val="21"/>
                <w:szCs w:val="21"/>
                <w:highlight w:val="none"/>
                <w:lang w:val="en-US" w:eastAsia="zh-CN" w:bidi="ar"/>
              </w:rPr>
              <w:t>得分</w:t>
            </w: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2D5B2BD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Style w:val="14"/>
                <w:rFonts w:hint="eastAsia" w:ascii="仿宋" w:hAnsi="仿宋" w:eastAsia="仿宋" w:cs="仿宋"/>
                <w:color w:val="auto"/>
                <w:sz w:val="21"/>
                <w:szCs w:val="21"/>
                <w:highlight w:val="none"/>
                <w:lang w:val="en-US" w:eastAsia="zh-CN" w:bidi="ar"/>
              </w:rPr>
              <w:t>备注</w:t>
            </w:r>
          </w:p>
        </w:tc>
      </w:tr>
      <w:tr w14:paraId="39730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45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D8DFD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厨房管理（75分）</w:t>
            </w: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702E735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1、严格遵守幼儿园食堂人员上班时间，进入厨房严格按照装备要求进出；</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77E48D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75AFA6D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0886383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011F48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23D94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5D2803D1">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2、严格执行食品安全法制度，严格按照幼儿园制定食谱、时间进行供餐；</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3B902E5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r>
              <w:rPr>
                <w:rFonts w:hint="eastAsia" w:ascii="仿宋" w:hAnsi="仿宋" w:eastAsia="仿宋" w:cs="仿宋"/>
                <w:i w:val="0"/>
                <w:iCs w:val="0"/>
                <w:color w:val="auto"/>
                <w:kern w:val="0"/>
                <w:sz w:val="21"/>
                <w:szCs w:val="21"/>
                <w:highlight w:val="none"/>
                <w:u w:val="none"/>
                <w:lang w:val="en-US" w:eastAsia="zh-CN" w:bidi="ar"/>
              </w:rPr>
              <w:t>8</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162D93A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auto"/>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5F4C6479">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auto"/>
                <w:sz w:val="21"/>
                <w:szCs w:val="21"/>
                <w:highlight w:val="none"/>
                <w:u w:val="none"/>
              </w:rPr>
            </w:pPr>
          </w:p>
        </w:tc>
      </w:tr>
      <w:tr w14:paraId="0DDC9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718424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42D0116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3、严格执行幼儿园后勤管理制度，食堂管理制度，合理分配班级餐点，禁止浪费；</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2323002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2A4109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4484ABF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52F72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A163A9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6D66726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4、厨房每日设施设备及区域卫生消毒是否到位；</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6C66229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76B0256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7783268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5E834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A1BD0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654B7D7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5、厨房表格规范是否按照要求填写、上交；</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575AF96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660F20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015AB75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5B06F1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9C335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6EC9052F">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6、厨房操作流程是否合规、是否按照厨房设施设备操作规程操作；</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3B054E5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3D6F0F3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47B7ECF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3AD1BE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2B1BC9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00214746">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7、定期参加膳食部开展厨房人员培训、是否有效、并有填写培训存档</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6CAA9F0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383BE6F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1FFD7A8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694F6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165013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1D0000E8">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Style w:val="15"/>
                <w:rFonts w:hint="eastAsia" w:ascii="仿宋" w:hAnsi="仿宋" w:eastAsia="仿宋" w:cs="仿宋"/>
                <w:sz w:val="21"/>
                <w:szCs w:val="21"/>
                <w:highlight w:val="none"/>
                <w:lang w:val="en-US" w:eastAsia="zh-CN" w:bidi="ar"/>
              </w:rPr>
              <w:t>8、现场执行6S管理情况，办公环境干净、整洁，物品摆放规范、有序；</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1DE2C1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34E3602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231B4E0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1248E1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C0E46A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0866E973">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9、在幼儿园活动安排上是否正常供应餐点、食材</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253E0DB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068DC2F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59E7896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80BE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08EB90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610C7CA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10、是否在幼儿园食品食材上有浪费或者私自带走情况；</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35EFE80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5454DC3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152CEBBC">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1DB50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42FABB3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1DBFE282">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11、按照幼儿园各项规定执行、服从食品加工临时安排；</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1628033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05CB7E9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12D3B29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15347C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92074A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23F973A2">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12、按照幼儿园要求安全使用送餐电梯，餐梯轿厢保持卫生清洁；</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2D50EB9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7B26A01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45BB5D6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3E1AEC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D378966">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5E06895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13、如有厨房从业人员请假，</w:t>
            </w:r>
            <w:bookmarkStart w:id="0" w:name="_GoBack"/>
            <w:bookmarkEnd w:id="0"/>
            <w:r>
              <w:rPr>
                <w:rFonts w:hint="eastAsia" w:ascii="仿宋" w:hAnsi="仿宋" w:eastAsia="仿宋" w:cs="仿宋"/>
                <w:i w:val="0"/>
                <w:iCs w:val="0"/>
                <w:color w:val="000000"/>
                <w:kern w:val="0"/>
                <w:sz w:val="21"/>
                <w:szCs w:val="21"/>
                <w:highlight w:val="none"/>
                <w:u w:val="none"/>
                <w:lang w:val="en-US" w:eastAsia="zh-CN" w:bidi="ar"/>
              </w:rPr>
              <w:t>是否能提前告知，并及时补充岗位人员</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06CC438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47B9DB4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6F4054E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6AEE5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E5330C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5232B54A">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14、每学期能积极、有效完成膳食家长监督委员会及各项餐食准备活动</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62C63FA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781EE81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742F9B7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b/>
                <w:bCs/>
                <w:i w:val="0"/>
                <w:iCs w:val="0"/>
                <w:color w:val="000000"/>
                <w:sz w:val="21"/>
                <w:szCs w:val="21"/>
                <w:highlight w:val="none"/>
                <w:u w:val="none"/>
              </w:rPr>
            </w:pPr>
          </w:p>
        </w:tc>
      </w:tr>
      <w:tr w14:paraId="483936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5" w:hRule="atLeast"/>
          <w:jc w:val="center"/>
        </w:trPr>
        <w:tc>
          <w:tcPr>
            <w:tcW w:w="45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FE715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项目联络人管理(25分)</w:t>
            </w: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592B9F5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1.组织架构明确，分工明确，合理配备人员； 及时配足请假人员岗位，严格遵守幼儿园各项规章制度，“十统一 六到位”工作落实及情况；</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77CF1E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仿宋" w:hAnsi="仿宋" w:eastAsia="仿宋" w:cs="仿宋"/>
                <w:i w:val="0"/>
                <w:iCs w:val="0"/>
                <w:color w:val="000000"/>
                <w:sz w:val="21"/>
                <w:szCs w:val="21"/>
                <w:highlight w:val="none"/>
                <w:u w:val="none"/>
                <w:lang w:val="en-US"/>
              </w:rPr>
            </w:pPr>
            <w:r>
              <w:rPr>
                <w:rFonts w:hint="eastAsia" w:ascii="仿宋" w:hAnsi="仿宋" w:eastAsia="仿宋" w:cs="仿宋"/>
                <w:i w:val="0"/>
                <w:iCs w:val="0"/>
                <w:color w:val="000000"/>
                <w:kern w:val="0"/>
                <w:sz w:val="21"/>
                <w:szCs w:val="21"/>
                <w:highlight w:val="none"/>
                <w:u w:val="none"/>
                <w:lang w:val="en-US" w:eastAsia="zh-CN" w:bidi="ar"/>
              </w:rPr>
              <w:t>10</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6C7392C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16C06A7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28A86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B2CF75E">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2331D918">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2.穿工作服、戴工号牌，整体形象干净、整洁，使用文明用语，态度和蔼，礼貌待人，不与服务对象发生冲突；</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73A6279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default" w:ascii="仿宋" w:hAnsi="仿宋" w:eastAsia="仿宋" w:cs="仿宋"/>
                <w:i w:val="0"/>
                <w:iCs w:val="0"/>
                <w:color w:val="000000"/>
                <w:sz w:val="21"/>
                <w:szCs w:val="21"/>
                <w:highlight w:val="none"/>
                <w:u w:val="none"/>
                <w:lang w:val="en-US"/>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629F814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596F707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520AF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4684F1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1D95089C">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3.建立、健全各项规章制度（《员工管理制度》、《安全管理制度》、《检查考核制度》、《奖惩制度》、《报告制度》等）；</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020EF22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407597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6864CC0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7BC53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6" w:hRule="atLeast"/>
          <w:jc w:val="center"/>
        </w:trPr>
        <w:tc>
          <w:tcPr>
            <w:tcW w:w="453"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5E8FB98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233F1D97">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4.工作态度端正，能积极主动配合、执行幼儿园领导安排的其他工作；</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3C129D9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5</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4FAF4F9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3BC3111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3D710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5" w:hRule="atLeast"/>
          <w:jc w:val="center"/>
        </w:trPr>
        <w:tc>
          <w:tcPr>
            <w:tcW w:w="453" w:type="pct"/>
            <w:tcBorders>
              <w:top w:val="single" w:color="auto" w:sz="4" w:space="0"/>
              <w:left w:val="single" w:color="auto" w:sz="4" w:space="0"/>
              <w:bottom w:val="single" w:color="auto" w:sz="4" w:space="0"/>
              <w:right w:val="single" w:color="auto" w:sz="4" w:space="0"/>
            </w:tcBorders>
            <w:shd w:val="clear" w:color="auto" w:fill="auto"/>
            <w:vAlign w:val="center"/>
          </w:tcPr>
          <w:p w14:paraId="52F16A3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c>
          <w:tcPr>
            <w:tcW w:w="3558" w:type="pct"/>
            <w:tcBorders>
              <w:top w:val="single" w:color="auto" w:sz="4" w:space="0"/>
              <w:left w:val="single" w:color="auto" w:sz="4" w:space="0"/>
              <w:bottom w:val="single" w:color="auto" w:sz="4" w:space="0"/>
              <w:right w:val="single" w:color="auto" w:sz="4" w:space="0"/>
            </w:tcBorders>
            <w:shd w:val="clear" w:color="auto" w:fill="auto"/>
            <w:vAlign w:val="center"/>
          </w:tcPr>
          <w:p w14:paraId="6D6366FB">
            <w:pPr>
              <w:keepNext w:val="0"/>
              <w:keepLines w:val="0"/>
              <w:pageBreakBefore w:val="0"/>
              <w:widowControl/>
              <w:suppressLineNumbers w:val="0"/>
              <w:kinsoku/>
              <w:wordWrap/>
              <w:overflowPunct/>
              <w:topLinePunct w:val="0"/>
              <w:autoSpaceDE/>
              <w:autoSpaceDN/>
              <w:bidi w:val="0"/>
              <w:adjustRightInd/>
              <w:snapToGrid w:val="0"/>
              <w:spacing w:line="240" w:lineRule="auto"/>
              <w:jc w:val="both"/>
              <w:textAlignment w:val="top"/>
              <w:rPr>
                <w:rFonts w:hint="eastAsia" w:ascii="仿宋" w:hAnsi="仿宋" w:eastAsia="仿宋" w:cs="仿宋"/>
                <w:b/>
                <w:bCs/>
                <w:i w:val="0"/>
                <w:iCs w:val="0"/>
                <w:color w:val="000000"/>
                <w:sz w:val="21"/>
                <w:szCs w:val="21"/>
                <w:highlight w:val="none"/>
                <w:u w:val="none"/>
              </w:rPr>
            </w:pPr>
            <w:r>
              <w:rPr>
                <w:rStyle w:val="16"/>
                <w:rFonts w:hint="eastAsia" w:ascii="仿宋" w:hAnsi="仿宋" w:eastAsia="仿宋" w:cs="仿宋"/>
                <w:sz w:val="21"/>
                <w:szCs w:val="21"/>
                <w:highlight w:val="none"/>
                <w:lang w:val="en-US" w:eastAsia="zh-CN" w:bidi="ar"/>
              </w:rPr>
              <w:t>合计</w:t>
            </w:r>
          </w:p>
        </w:tc>
        <w:tc>
          <w:tcPr>
            <w:tcW w:w="318" w:type="pct"/>
            <w:tcBorders>
              <w:top w:val="single" w:color="auto" w:sz="4" w:space="0"/>
              <w:left w:val="single" w:color="auto" w:sz="4" w:space="0"/>
              <w:bottom w:val="single" w:color="auto" w:sz="4" w:space="0"/>
              <w:right w:val="single" w:color="auto" w:sz="4" w:space="0"/>
            </w:tcBorders>
            <w:shd w:val="clear" w:color="auto" w:fill="auto"/>
            <w:vAlign w:val="center"/>
          </w:tcPr>
          <w:p w14:paraId="4275BBE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r>
              <w:rPr>
                <w:rFonts w:hint="eastAsia" w:ascii="仿宋" w:hAnsi="仿宋" w:eastAsia="仿宋" w:cs="仿宋"/>
                <w:i w:val="0"/>
                <w:iCs w:val="0"/>
                <w:color w:val="000000"/>
                <w:kern w:val="0"/>
                <w:sz w:val="21"/>
                <w:szCs w:val="21"/>
                <w:highlight w:val="none"/>
                <w:u w:val="none"/>
                <w:lang w:val="en-US" w:eastAsia="zh-CN" w:bidi="ar"/>
              </w:rPr>
              <w:t>100</w:t>
            </w:r>
          </w:p>
        </w:tc>
        <w:tc>
          <w:tcPr>
            <w:tcW w:w="331" w:type="pct"/>
            <w:tcBorders>
              <w:top w:val="single" w:color="auto" w:sz="4" w:space="0"/>
              <w:left w:val="single" w:color="auto" w:sz="4" w:space="0"/>
              <w:bottom w:val="single" w:color="auto" w:sz="4" w:space="0"/>
              <w:right w:val="single" w:color="auto" w:sz="4" w:space="0"/>
            </w:tcBorders>
            <w:shd w:val="clear" w:color="auto" w:fill="auto"/>
            <w:vAlign w:val="center"/>
          </w:tcPr>
          <w:p w14:paraId="5C0C42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1"/>
                <w:szCs w:val="21"/>
                <w:highlight w:val="none"/>
                <w:u w:val="none"/>
              </w:rPr>
            </w:pPr>
          </w:p>
        </w:tc>
        <w:tc>
          <w:tcPr>
            <w:tcW w:w="336" w:type="pct"/>
            <w:tcBorders>
              <w:top w:val="single" w:color="auto" w:sz="4" w:space="0"/>
              <w:left w:val="single" w:color="auto" w:sz="4" w:space="0"/>
              <w:bottom w:val="single" w:color="auto" w:sz="4" w:space="0"/>
              <w:right w:val="single" w:color="auto" w:sz="4" w:space="0"/>
            </w:tcBorders>
            <w:shd w:val="clear" w:color="auto" w:fill="auto"/>
            <w:vAlign w:val="center"/>
          </w:tcPr>
          <w:p w14:paraId="232B203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1"/>
                <w:szCs w:val="21"/>
                <w:highlight w:val="none"/>
                <w:u w:val="none"/>
              </w:rPr>
            </w:pPr>
          </w:p>
        </w:tc>
      </w:tr>
      <w:tr w14:paraId="6395F1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0" w:hRule="atLeast"/>
          <w:jc w:val="center"/>
        </w:trPr>
        <w:tc>
          <w:tcPr>
            <w:tcW w:w="5000" w:type="pct"/>
            <w:gridSpan w:val="5"/>
            <w:tcBorders>
              <w:top w:val="single" w:color="auto" w:sz="4" w:space="0"/>
              <w:left w:val="nil"/>
              <w:bottom w:val="nil"/>
              <w:right w:val="nil"/>
            </w:tcBorders>
            <w:shd w:val="clear" w:color="auto" w:fill="auto"/>
            <w:noWrap/>
            <w:vAlign w:val="center"/>
          </w:tcPr>
          <w:p w14:paraId="79149307">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i w:val="0"/>
                <w:iCs w:val="0"/>
                <w:color w:val="000000"/>
                <w:kern w:val="0"/>
                <w:sz w:val="24"/>
                <w:szCs w:val="24"/>
                <w:highlight w:val="none"/>
                <w:u w:val="none"/>
                <w:lang w:val="en-US" w:eastAsia="zh-CN" w:bidi="ar"/>
              </w:rPr>
              <w:t xml:space="preserve"> 后勤部:               项目联络人:               考核日期:</w:t>
            </w:r>
          </w:p>
          <w:p w14:paraId="09360042">
            <w:pPr>
              <w:keepNext w:val="0"/>
              <w:keepLines w:val="0"/>
              <w:pageBreakBefore w:val="0"/>
              <w:widowControl/>
              <w:suppressLineNumbers w:val="0"/>
              <w:kinsoku/>
              <w:wordWrap/>
              <w:overflowPunct/>
              <w:topLinePunct w:val="0"/>
              <w:autoSpaceDE/>
              <w:autoSpaceDN/>
              <w:bidi w:val="0"/>
              <w:adjustRightInd/>
              <w:snapToGrid w:val="0"/>
              <w:spacing w:line="360" w:lineRule="auto"/>
              <w:jc w:val="left"/>
              <w:textAlignment w:val="center"/>
              <w:rPr>
                <w:rFonts w:hint="eastAsia" w:ascii="仿宋" w:hAnsi="仿宋" w:eastAsia="仿宋" w:cs="仿宋"/>
                <w:i w:val="0"/>
                <w:iCs w:val="0"/>
                <w:color w:val="000000"/>
                <w:kern w:val="0"/>
                <w:sz w:val="24"/>
                <w:szCs w:val="24"/>
                <w:highlight w:val="none"/>
                <w:u w:val="none"/>
                <w:lang w:val="en-US" w:eastAsia="zh-CN" w:bidi="ar"/>
              </w:rPr>
            </w:pPr>
            <w:r>
              <w:rPr>
                <w:rFonts w:hint="eastAsia" w:ascii="仿宋" w:hAnsi="仿宋" w:eastAsia="仿宋" w:cs="仿宋"/>
                <w:sz w:val="24"/>
                <w:szCs w:val="24"/>
                <w:highlight w:val="none"/>
              </w:rPr>
              <w:t>（具体考核内容采购人有权根据实际情况调整）</w:t>
            </w:r>
          </w:p>
        </w:tc>
      </w:tr>
    </w:tbl>
    <w:p w14:paraId="4B86B919">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附件2：</w:t>
      </w:r>
    </w:p>
    <w:tbl>
      <w:tblPr>
        <w:tblStyle w:val="10"/>
        <w:tblW w:w="937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53"/>
        <w:gridCol w:w="1931"/>
        <w:gridCol w:w="1338"/>
        <w:gridCol w:w="1023"/>
        <w:gridCol w:w="1234"/>
        <w:gridCol w:w="832"/>
        <w:gridCol w:w="787"/>
        <w:gridCol w:w="1173"/>
      </w:tblGrid>
      <w:tr w14:paraId="6FB56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2" w:hRule="atLeast"/>
          <w:jc w:val="center"/>
        </w:trPr>
        <w:tc>
          <w:tcPr>
            <w:tcW w:w="5000" w:type="pct"/>
            <w:gridSpan w:val="8"/>
            <w:tcBorders>
              <w:top w:val="nil"/>
              <w:left w:val="nil"/>
              <w:bottom w:val="nil"/>
              <w:right w:val="nil"/>
            </w:tcBorders>
            <w:shd w:val="clear" w:color="auto" w:fill="auto"/>
            <w:vAlign w:val="top"/>
          </w:tcPr>
          <w:p w14:paraId="051FE3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top"/>
              <w:rPr>
                <w:rFonts w:hint="eastAsia" w:ascii="仿宋" w:hAnsi="仿宋" w:eastAsia="仿宋" w:cs="仿宋"/>
                <w:b/>
                <w:bCs/>
                <w:i w:val="0"/>
                <w:iCs w:val="0"/>
                <w:color w:val="000000"/>
                <w:sz w:val="22"/>
                <w:szCs w:val="22"/>
                <w:highlight w:val="none"/>
                <w:u w:val="none"/>
              </w:rPr>
            </w:pPr>
            <w:r>
              <w:rPr>
                <w:rFonts w:hint="eastAsia" w:ascii="仿宋" w:hAnsi="仿宋" w:eastAsia="仿宋" w:cs="仿宋"/>
                <w:b/>
                <w:bCs/>
                <w:i w:val="0"/>
                <w:iCs w:val="0"/>
                <w:color w:val="000000"/>
                <w:kern w:val="0"/>
                <w:sz w:val="22"/>
                <w:szCs w:val="22"/>
                <w:highlight w:val="none"/>
                <w:u w:val="none"/>
                <w:lang w:val="en-US" w:eastAsia="zh-CN" w:bidi="ar"/>
              </w:rPr>
              <w:t>西安航天城第十二幼儿园餐厅运转保障项目（教职工餐食服务）评价表</w:t>
            </w:r>
          </w:p>
        </w:tc>
      </w:tr>
      <w:tr w14:paraId="168BA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2" w:hRule="atLeast"/>
          <w:jc w:val="center"/>
        </w:trPr>
        <w:tc>
          <w:tcPr>
            <w:tcW w:w="5000" w:type="pct"/>
            <w:gridSpan w:val="8"/>
            <w:tcBorders>
              <w:top w:val="nil"/>
              <w:left w:val="nil"/>
              <w:bottom w:val="nil"/>
              <w:right w:val="nil"/>
            </w:tcBorders>
            <w:shd w:val="clear" w:color="auto" w:fill="auto"/>
            <w:vAlign w:val="center"/>
          </w:tcPr>
          <w:p w14:paraId="0839BED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 xml:space="preserve">被检单位：                                        评价时间：                          </w:t>
            </w:r>
          </w:p>
        </w:tc>
      </w:tr>
      <w:tr w14:paraId="3E928E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159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7904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评价项目</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4E0C320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评价依据</w:t>
            </w:r>
          </w:p>
        </w:tc>
        <w:tc>
          <w:tcPr>
            <w:tcW w:w="120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C99C7B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评定标准</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67DD9DC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周期</w:t>
            </w: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299002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分值</w:t>
            </w: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607322C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评价结果</w:t>
            </w:r>
          </w:p>
        </w:tc>
      </w:tr>
      <w:tr w14:paraId="4DA53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5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128D7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资质</w:t>
            </w:r>
          </w:p>
          <w:p w14:paraId="3615080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（20分）</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557DCC4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1DA357B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检疫证明</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6ECE0D6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①有</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4DD93D8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②无</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215F00E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7D3B8C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7D26761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E60E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E5880C0">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2FEE729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35E78F8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检测报告</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63178B6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①有</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2489E41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②无</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26CB06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6228C6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2FC54B4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4C4E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C05C0EA">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56C4CBD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5DF37C2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索证索票</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4C481E8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①有</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335731C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②无</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186C9A4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26E2726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386DE7EE">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3A1D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E49412D">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6E28AC4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34219E5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药残检测报告</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5598B65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①有</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1C6985C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②无</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181439E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23997D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6F9447C2">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16EA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5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7DCC3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硬件设施</w:t>
            </w:r>
          </w:p>
          <w:p w14:paraId="464A09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（20分）</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2249553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车辆卫生</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4A3695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目 测</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2298B44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①合理</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5099412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②合格</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07B6DA2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52BED64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2D53B31A">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37F12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71CC7EF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2CB3E3A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车辆营运资格</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6BA18E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营运资格证</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51238AA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①有</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0D7D2A9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②无</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7B8644E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6C03E37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08CFB538">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F021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130B4FE3">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6F01257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包装材料清洁、安全</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321E0C6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目 测</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2B3495F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①是</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149B70F5">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②否</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5CC8A0A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728249B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4D900CBC">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577D7F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5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F61C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人员配置</w:t>
            </w:r>
            <w:r>
              <w:rPr>
                <w:rStyle w:val="17"/>
                <w:rFonts w:hint="eastAsia" w:ascii="仿宋" w:hAnsi="仿宋" w:eastAsia="仿宋" w:cs="仿宋"/>
                <w:sz w:val="22"/>
                <w:szCs w:val="22"/>
                <w:highlight w:val="none"/>
                <w:lang w:val="en-US" w:eastAsia="zh-CN" w:bidi="ar"/>
              </w:rPr>
              <w:br w:type="textWrapping"/>
            </w:r>
            <w:r>
              <w:rPr>
                <w:rStyle w:val="17"/>
                <w:rFonts w:hint="eastAsia" w:ascii="仿宋" w:hAnsi="仿宋" w:eastAsia="仿宋" w:cs="仿宋"/>
                <w:sz w:val="22"/>
                <w:szCs w:val="22"/>
                <w:highlight w:val="none"/>
                <w:lang w:val="en-US" w:eastAsia="zh-CN" w:bidi="ar"/>
              </w:rPr>
              <w:t>(20分)</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0CD39B5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驾驶员证件</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55681F6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驾驶证</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5C848AA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①有</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50D9AFED">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②无</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2C7C4B4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6A508D9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4CC39D65">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90419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34FB7F2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7"/>
                <w:rFonts w:hint="eastAsia" w:ascii="仿宋" w:hAnsi="仿宋" w:eastAsia="仿宋" w:cs="仿宋"/>
                <w:sz w:val="22"/>
                <w:szCs w:val="22"/>
                <w:highlight w:val="none"/>
                <w:lang w:val="en-US" w:eastAsia="zh-CN" w:bidi="ar"/>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5971273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人员配置情况</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20579BD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实际出勤</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31615DF6">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kern w:val="2"/>
                <w:sz w:val="22"/>
                <w:szCs w:val="22"/>
                <w:highlight w:val="none"/>
                <w:u w:val="none"/>
                <w:lang w:val="en-US" w:eastAsia="zh-CN" w:bidi="ar-SA"/>
              </w:rPr>
            </w:pPr>
            <w:r>
              <w:rPr>
                <w:rStyle w:val="17"/>
                <w:rFonts w:hint="eastAsia" w:ascii="仿宋" w:hAnsi="仿宋" w:eastAsia="仿宋" w:cs="仿宋"/>
                <w:sz w:val="22"/>
                <w:szCs w:val="22"/>
                <w:highlight w:val="none"/>
                <w:lang w:val="en-US" w:eastAsia="zh-CN" w:bidi="ar"/>
              </w:rPr>
              <w:t>①有</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38767DA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②无</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04029F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1BC32A1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1F71A58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D0AD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42"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CC6B88">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266F6F8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专车专人配送</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28400DC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固定车辆及司机且车辆不得运送有毒有害物质</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5D20C1B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①有</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616F76D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②无</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268639D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549E186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5246E8BD">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4DBCE1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4689C6B">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15F7D90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健康证明</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434AB80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健康证</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465ED2A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①有</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5023596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②无</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27E644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45F2180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454DBF6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0DA8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56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0DB8DAED">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食材质量</w:t>
            </w:r>
          </w:p>
          <w:p w14:paraId="5C5D979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（20分）</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4D50AEC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6AA2886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依据肉类验收标准</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32C18C6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①合格</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2F4D5B4F">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②不合格</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3ABF7E4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17EA438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3B451AA6">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381F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DDD8117">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1B916A8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708B9683">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8"/>
                <w:rFonts w:hint="eastAsia" w:ascii="仿宋" w:hAnsi="仿宋" w:eastAsia="仿宋" w:cs="仿宋"/>
                <w:sz w:val="22"/>
                <w:szCs w:val="22"/>
                <w:highlight w:val="none"/>
                <w:lang w:val="en-US" w:eastAsia="zh-CN" w:bidi="ar"/>
              </w:rPr>
              <w:br w:type="textWrapping"/>
            </w:r>
            <w:r>
              <w:rPr>
                <w:rStyle w:val="17"/>
                <w:rFonts w:hint="eastAsia" w:ascii="仿宋" w:hAnsi="仿宋" w:eastAsia="仿宋" w:cs="仿宋"/>
                <w:sz w:val="22"/>
                <w:szCs w:val="22"/>
                <w:highlight w:val="none"/>
                <w:lang w:val="en-US" w:eastAsia="zh-CN" w:bidi="ar"/>
              </w:rPr>
              <w:t>依据禽、蛋、水产类验收标准</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3063F41A">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①合格</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2515D7C8">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②不合格</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7299AFC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1828E8B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03BBFEE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414E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0FB17071">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1A3E066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2B05C11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依据预包装验收标准</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00E0431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①合格</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0231830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②不合格</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7CBDDEC9">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76089BE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37981222">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7E160F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72D4445">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399A65FF">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43C11A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依据蔬果验收标准</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5F42B7F1">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①合格</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7490DF9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②不合格</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6EE7911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595CDBA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38AE800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4FCFB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56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50097456">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食材价格</w:t>
            </w:r>
          </w:p>
          <w:p w14:paraId="266280E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（12分）</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1916648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牛、猪、羊肉类</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471176F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33232E5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①合格</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45D4831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②不合格</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0F5DBDB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5C9B3D0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7B221E9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FD1F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646410F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4A08B32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鲜禽、蛋、水产类</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54D93904">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107CBEBB">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①合格</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15D6930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②不合格</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50622BD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5FCB46F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3961BC0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058FF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79FC7C04">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0697F7E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预包装食品</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4F7F05CE">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5F042790">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①合格</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3246EC9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br w:type="textWrapping"/>
            </w:r>
            <w:r>
              <w:rPr>
                <w:rStyle w:val="17"/>
                <w:rFonts w:hint="eastAsia" w:ascii="仿宋" w:hAnsi="仿宋" w:eastAsia="仿宋" w:cs="仿宋"/>
                <w:sz w:val="22"/>
                <w:szCs w:val="22"/>
                <w:highlight w:val="none"/>
                <w:lang w:val="en-US" w:eastAsia="zh-CN" w:bidi="ar"/>
              </w:rPr>
              <w:t>②不合格</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1A1363A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2621E887">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37E0C347">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6D2EC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56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505CABBF">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673A066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蔬果类</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10C13D7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依据市场价格标准</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05AA44A2">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①合格</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0C475F27">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②不合格</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4AA3AD4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664AB22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5FA703E9">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14473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jc w:val="center"/>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2E63031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数量</w:t>
            </w:r>
          </w:p>
          <w:p w14:paraId="475F97D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（4分）</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3C4E0E71">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是否与订购数量一致（误差允许在10%）</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6AAC2AB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数量一致</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74F4DD53">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①符合</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206E34E4">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②不符合</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43D5FD25">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1E555F4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442C127B">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DEA8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1A97737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时间</w:t>
            </w:r>
          </w:p>
          <w:p w14:paraId="1C158F30">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（4分）</w:t>
            </w:r>
          </w:p>
        </w:tc>
        <w:tc>
          <w:tcPr>
            <w:tcW w:w="1030" w:type="pct"/>
            <w:tcBorders>
              <w:top w:val="single" w:color="auto" w:sz="4" w:space="0"/>
              <w:left w:val="single" w:color="auto" w:sz="4" w:space="0"/>
              <w:bottom w:val="single" w:color="auto" w:sz="4" w:space="0"/>
              <w:right w:val="single" w:color="auto" w:sz="4" w:space="0"/>
            </w:tcBorders>
            <w:shd w:val="clear" w:color="auto" w:fill="auto"/>
            <w:vAlign w:val="center"/>
          </w:tcPr>
          <w:p w14:paraId="311948F2">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是否与餐厅要求时间一致（误差允许在20分钟内）</w:t>
            </w:r>
          </w:p>
        </w:tc>
        <w:tc>
          <w:tcPr>
            <w:tcW w:w="713" w:type="pct"/>
            <w:tcBorders>
              <w:top w:val="single" w:color="auto" w:sz="4" w:space="0"/>
              <w:left w:val="single" w:color="auto" w:sz="4" w:space="0"/>
              <w:bottom w:val="single" w:color="auto" w:sz="4" w:space="0"/>
              <w:right w:val="single" w:color="auto" w:sz="4" w:space="0"/>
            </w:tcBorders>
            <w:shd w:val="clear" w:color="auto" w:fill="auto"/>
            <w:vAlign w:val="center"/>
          </w:tcPr>
          <w:p w14:paraId="46E6CF8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时间一致</w:t>
            </w:r>
          </w:p>
        </w:tc>
        <w:tc>
          <w:tcPr>
            <w:tcW w:w="545" w:type="pct"/>
            <w:tcBorders>
              <w:top w:val="single" w:color="auto" w:sz="4" w:space="0"/>
              <w:left w:val="single" w:color="auto" w:sz="4" w:space="0"/>
              <w:bottom w:val="single" w:color="auto" w:sz="4" w:space="0"/>
              <w:right w:val="single" w:color="auto" w:sz="4" w:space="0"/>
            </w:tcBorders>
            <w:shd w:val="clear" w:color="auto" w:fill="auto"/>
            <w:vAlign w:val="center"/>
          </w:tcPr>
          <w:p w14:paraId="6383CC0E">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①符合</w:t>
            </w:r>
          </w:p>
        </w:tc>
        <w:tc>
          <w:tcPr>
            <w:tcW w:w="658" w:type="pct"/>
            <w:tcBorders>
              <w:top w:val="single" w:color="auto" w:sz="4" w:space="0"/>
              <w:left w:val="single" w:color="auto" w:sz="4" w:space="0"/>
              <w:bottom w:val="single" w:color="auto" w:sz="4" w:space="0"/>
              <w:right w:val="single" w:color="auto" w:sz="4" w:space="0"/>
            </w:tcBorders>
            <w:shd w:val="clear" w:color="auto" w:fill="auto"/>
            <w:vAlign w:val="center"/>
          </w:tcPr>
          <w:p w14:paraId="0E3251BC">
            <w:pPr>
              <w:keepNext w:val="0"/>
              <w:keepLines w:val="0"/>
              <w:pageBreakBefore w:val="0"/>
              <w:widowControl/>
              <w:suppressLineNumbers w:val="0"/>
              <w:kinsoku/>
              <w:wordWrap/>
              <w:overflowPunct/>
              <w:topLinePunct w:val="0"/>
              <w:autoSpaceDE/>
              <w:autoSpaceDN/>
              <w:bidi w:val="0"/>
              <w:adjustRightInd/>
              <w:snapToGrid w:val="0"/>
              <w:spacing w:line="240" w:lineRule="auto"/>
              <w:jc w:val="left"/>
              <w:textAlignment w:val="center"/>
              <w:rPr>
                <w:rStyle w:val="17"/>
                <w:rFonts w:hint="eastAsia" w:ascii="仿宋" w:hAnsi="仿宋" w:eastAsia="仿宋" w:cs="仿宋"/>
                <w:sz w:val="22"/>
                <w:szCs w:val="22"/>
                <w:highlight w:val="none"/>
                <w:lang w:val="en-US" w:eastAsia="zh-CN" w:bidi="ar"/>
              </w:rPr>
            </w:pPr>
            <w:r>
              <w:rPr>
                <w:rStyle w:val="17"/>
                <w:rFonts w:hint="eastAsia" w:ascii="仿宋" w:hAnsi="仿宋" w:eastAsia="仿宋" w:cs="仿宋"/>
                <w:sz w:val="22"/>
                <w:szCs w:val="22"/>
                <w:highlight w:val="none"/>
                <w:lang w:val="en-US" w:eastAsia="zh-CN" w:bidi="ar"/>
              </w:rPr>
              <w:t>②不符合</w:t>
            </w:r>
          </w:p>
        </w:tc>
        <w:tc>
          <w:tcPr>
            <w:tcW w:w="443" w:type="pct"/>
            <w:tcBorders>
              <w:top w:val="single" w:color="auto" w:sz="4" w:space="0"/>
              <w:left w:val="single" w:color="auto" w:sz="4" w:space="0"/>
              <w:bottom w:val="single" w:color="auto" w:sz="4" w:space="0"/>
              <w:right w:val="single" w:color="auto" w:sz="4" w:space="0"/>
            </w:tcBorders>
            <w:shd w:val="clear" w:color="auto" w:fill="auto"/>
            <w:vAlign w:val="center"/>
          </w:tcPr>
          <w:p w14:paraId="160D8C3A">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419" w:type="pct"/>
            <w:tcBorders>
              <w:top w:val="single" w:color="auto" w:sz="4" w:space="0"/>
              <w:left w:val="single" w:color="auto" w:sz="4" w:space="0"/>
              <w:bottom w:val="single" w:color="auto" w:sz="4" w:space="0"/>
              <w:right w:val="single" w:color="auto" w:sz="4" w:space="0"/>
            </w:tcBorders>
            <w:shd w:val="clear" w:color="auto" w:fill="auto"/>
            <w:vAlign w:val="center"/>
          </w:tcPr>
          <w:p w14:paraId="02A01A1C">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p>
        </w:tc>
        <w:tc>
          <w:tcPr>
            <w:tcW w:w="625" w:type="pct"/>
            <w:tcBorders>
              <w:top w:val="single" w:color="auto" w:sz="4" w:space="0"/>
              <w:left w:val="single" w:color="auto" w:sz="4" w:space="0"/>
              <w:bottom w:val="single" w:color="auto" w:sz="4" w:space="0"/>
              <w:right w:val="single" w:color="auto" w:sz="4" w:space="0"/>
            </w:tcBorders>
            <w:shd w:val="clear" w:color="auto" w:fill="auto"/>
            <w:vAlign w:val="center"/>
          </w:tcPr>
          <w:p w14:paraId="4F8AD44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4103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2" w:hRule="atLeast"/>
          <w:jc w:val="center"/>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11295E8B">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Style w:val="17"/>
                <w:rFonts w:hint="eastAsia" w:ascii="仿宋" w:hAnsi="仿宋" w:eastAsia="仿宋" w:cs="仿宋"/>
                <w:sz w:val="22"/>
                <w:szCs w:val="22"/>
                <w:highlight w:val="none"/>
                <w:lang w:val="en-US" w:eastAsia="zh-CN" w:bidi="ar"/>
              </w:rPr>
              <w:t>总评价</w:t>
            </w:r>
          </w:p>
        </w:tc>
        <w:tc>
          <w:tcPr>
            <w:tcW w:w="4438" w:type="pct"/>
            <w:gridSpan w:val="7"/>
            <w:tcBorders>
              <w:top w:val="single" w:color="auto" w:sz="4" w:space="0"/>
              <w:left w:val="single" w:color="auto" w:sz="4" w:space="0"/>
              <w:bottom w:val="single" w:color="auto" w:sz="4" w:space="0"/>
              <w:right w:val="single" w:color="auto" w:sz="4" w:space="0"/>
            </w:tcBorders>
            <w:shd w:val="clear" w:color="auto" w:fill="auto"/>
            <w:vAlign w:val="top"/>
          </w:tcPr>
          <w:p w14:paraId="7475576F">
            <w:pPr>
              <w:keepNext w:val="0"/>
              <w:keepLines w:val="0"/>
              <w:pageBreakBefore w:val="0"/>
              <w:kinsoku/>
              <w:wordWrap/>
              <w:overflowPunct/>
              <w:topLinePunct w:val="0"/>
              <w:autoSpaceDE/>
              <w:autoSpaceDN/>
              <w:bidi w:val="0"/>
              <w:adjustRightInd/>
              <w:snapToGrid w:val="0"/>
              <w:spacing w:line="240" w:lineRule="auto"/>
              <w:jc w:val="left"/>
              <w:rPr>
                <w:rFonts w:hint="eastAsia" w:ascii="仿宋" w:hAnsi="仿宋" w:eastAsia="仿宋" w:cs="仿宋"/>
                <w:i w:val="0"/>
                <w:iCs w:val="0"/>
                <w:color w:val="000000"/>
                <w:sz w:val="22"/>
                <w:szCs w:val="22"/>
                <w:highlight w:val="none"/>
                <w:u w:val="none"/>
              </w:rPr>
            </w:pPr>
          </w:p>
        </w:tc>
      </w:tr>
      <w:tr w14:paraId="2E7050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jc w:val="center"/>
        </w:trPr>
        <w:tc>
          <w:tcPr>
            <w:tcW w:w="561" w:type="pct"/>
            <w:tcBorders>
              <w:top w:val="single" w:color="auto" w:sz="4" w:space="0"/>
              <w:left w:val="single" w:color="auto" w:sz="4" w:space="0"/>
              <w:bottom w:val="single" w:color="auto" w:sz="4" w:space="0"/>
              <w:right w:val="single" w:color="auto" w:sz="4" w:space="0"/>
            </w:tcBorders>
            <w:shd w:val="clear" w:color="auto" w:fill="auto"/>
            <w:vAlign w:val="center"/>
          </w:tcPr>
          <w:p w14:paraId="4A8CCDD8">
            <w:pPr>
              <w:keepNext w:val="0"/>
              <w:keepLines w:val="0"/>
              <w:pageBreakBefore w:val="0"/>
              <w:widowControl/>
              <w:suppressLineNumbers w:val="0"/>
              <w:kinsoku/>
              <w:wordWrap/>
              <w:overflowPunct/>
              <w:topLinePunct w:val="0"/>
              <w:autoSpaceDE/>
              <w:autoSpaceDN/>
              <w:bidi w:val="0"/>
              <w:adjustRightInd/>
              <w:snapToGrid w:val="0"/>
              <w:spacing w:line="240" w:lineRule="auto"/>
              <w:jc w:val="center"/>
              <w:textAlignment w:val="center"/>
              <w:rPr>
                <w:rFonts w:hint="eastAsia" w:ascii="仿宋" w:hAnsi="仿宋" w:eastAsia="仿宋" w:cs="仿宋"/>
                <w:i w:val="0"/>
                <w:iCs w:val="0"/>
                <w:color w:val="000000"/>
                <w:sz w:val="22"/>
                <w:szCs w:val="22"/>
                <w:highlight w:val="none"/>
                <w:u w:val="none"/>
              </w:rPr>
            </w:pPr>
            <w:r>
              <w:rPr>
                <w:rFonts w:hint="eastAsia" w:ascii="仿宋" w:hAnsi="仿宋" w:eastAsia="仿宋" w:cs="仿宋"/>
                <w:i w:val="0"/>
                <w:iCs w:val="0"/>
                <w:color w:val="000000"/>
                <w:kern w:val="0"/>
                <w:sz w:val="22"/>
                <w:szCs w:val="22"/>
                <w:highlight w:val="none"/>
                <w:u w:val="none"/>
                <w:lang w:val="en-US" w:eastAsia="zh-CN" w:bidi="ar"/>
              </w:rPr>
              <w:t>评价人</w:t>
            </w:r>
          </w:p>
        </w:tc>
        <w:tc>
          <w:tcPr>
            <w:tcW w:w="4438" w:type="pct"/>
            <w:gridSpan w:val="7"/>
            <w:tcBorders>
              <w:top w:val="single" w:color="auto" w:sz="4" w:space="0"/>
              <w:left w:val="single" w:color="auto" w:sz="4" w:space="0"/>
              <w:bottom w:val="single" w:color="auto" w:sz="4" w:space="0"/>
              <w:right w:val="single" w:color="auto" w:sz="4" w:space="0"/>
            </w:tcBorders>
            <w:shd w:val="clear" w:color="auto" w:fill="auto"/>
            <w:vAlign w:val="top"/>
          </w:tcPr>
          <w:p w14:paraId="3F4F9D42">
            <w:pPr>
              <w:keepNext w:val="0"/>
              <w:keepLines w:val="0"/>
              <w:pageBreakBefore w:val="0"/>
              <w:kinsoku/>
              <w:wordWrap/>
              <w:overflowPunct/>
              <w:topLinePunct w:val="0"/>
              <w:autoSpaceDE/>
              <w:autoSpaceDN/>
              <w:bidi w:val="0"/>
              <w:adjustRightInd/>
              <w:snapToGrid w:val="0"/>
              <w:spacing w:line="240" w:lineRule="auto"/>
              <w:jc w:val="center"/>
              <w:rPr>
                <w:rFonts w:hint="eastAsia" w:ascii="仿宋" w:hAnsi="仿宋" w:eastAsia="仿宋" w:cs="仿宋"/>
                <w:i w:val="0"/>
                <w:iCs w:val="0"/>
                <w:color w:val="000000"/>
                <w:sz w:val="22"/>
                <w:szCs w:val="22"/>
                <w:highlight w:val="none"/>
                <w:u w:val="none"/>
              </w:rPr>
            </w:pPr>
          </w:p>
        </w:tc>
      </w:tr>
    </w:tbl>
    <w:p w14:paraId="06C1AD34">
      <w:pPr>
        <w:keepNext w:val="0"/>
        <w:keepLines w:val="0"/>
        <w:pageBreakBefore w:val="0"/>
        <w:kinsoku/>
        <w:wordWrap/>
        <w:overflowPunct/>
        <w:topLinePunct w:val="0"/>
        <w:autoSpaceDE/>
        <w:autoSpaceDN/>
        <w:bidi w:val="0"/>
        <w:adjustRightInd/>
        <w:snapToGrid w:val="0"/>
        <w:spacing w:line="360" w:lineRule="auto"/>
        <w:jc w:val="left"/>
        <w:rPr>
          <w:rFonts w:hint="eastAsia" w:ascii="仿宋" w:hAnsi="仿宋" w:eastAsia="仿宋" w:cs="仿宋"/>
          <w:sz w:val="22"/>
          <w:szCs w:val="22"/>
          <w:highlight w:val="none"/>
          <w:lang w:val="en-US" w:eastAsia="zh-CN"/>
        </w:rPr>
      </w:pPr>
      <w:r>
        <w:rPr>
          <w:rFonts w:hint="eastAsia" w:ascii="仿宋" w:hAnsi="仿宋" w:eastAsia="仿宋" w:cs="仿宋"/>
          <w:sz w:val="24"/>
          <w:szCs w:val="24"/>
          <w:highlight w:val="none"/>
        </w:rPr>
        <w:t>（具体考核内容采购人有权根据实际情况调整）</w:t>
      </w:r>
    </w:p>
    <w:p w14:paraId="55DE2469">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五、交接事宜</w:t>
      </w:r>
    </w:p>
    <w:p w14:paraId="4263C47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1.本合同签订3日内，甲方将幼儿园食堂交付至乙方进行管理，乙方进行验收签字进场。(合同履行期间厨房设备、设施等人为损坏，乙方负责修理或赔偿。）</w:t>
      </w:r>
    </w:p>
    <w:p w14:paraId="719984C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2.服务期届满或者双方终止合同的，乙方应在期满之日或者终止合同之日起3日内将该食堂及所有设施设备完好无条件地交回甲方。</w:t>
      </w:r>
    </w:p>
    <w:p w14:paraId="1AA822FA">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六、双方的权利和义务</w:t>
      </w:r>
    </w:p>
    <w:p w14:paraId="7134993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（一）甲方的权利和义务</w:t>
      </w:r>
    </w:p>
    <w:p w14:paraId="736735D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甲方有权对合同规定范围内乙方的服务行为进行监督和检查，拥有监管权。有权定期核对乙方提供服务所配备的人员数量。对甲方认为不合理的部分有权下达整改通知书，并要求乙方限期整改。</w:t>
      </w:r>
    </w:p>
    <w:p w14:paraId="5CE8A30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负责检查监督乙方管理工作的实施及制度的执行情况。</w:t>
      </w:r>
    </w:p>
    <w:p w14:paraId="627445DE">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根据本合同规定，按时向乙方支付应付服务费用。</w:t>
      </w:r>
    </w:p>
    <w:p w14:paraId="2BA0F51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国家法律、法规所规定由甲方承担的其它责任。</w:t>
      </w:r>
    </w:p>
    <w:p w14:paraId="3C02BD2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（二）乙方的权利和义务</w:t>
      </w:r>
    </w:p>
    <w:p w14:paraId="4D0E665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对本合同规定的委托服务范围内的项目享有管理权及服务义务。</w:t>
      </w:r>
    </w:p>
    <w:p w14:paraId="7360CFC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根据本合同的规定向甲方收取相关服务费用，并有权在本项目管理范围内管理及合理使用。</w:t>
      </w:r>
    </w:p>
    <w:p w14:paraId="7DAB423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及时向甲方通告本项目服务范围内有关服务的重大事项，及时配合处理投诉。</w:t>
      </w:r>
    </w:p>
    <w:p w14:paraId="010807A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在服务过程中接受项目行业管理部门及政府有关部门的指导，接受甲方的监督。</w:t>
      </w:r>
    </w:p>
    <w:p w14:paraId="5E9D8C7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国家法律、法规所规定由乙方承担的其它责任。</w:t>
      </w:r>
    </w:p>
    <w:p w14:paraId="4DB1DE9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乙方应按国家技术规范、标准、规程和甲方的需求展开工作。</w:t>
      </w:r>
    </w:p>
    <w:p w14:paraId="11D801C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乙方在进行服务过程中，需遵守甲方的规章制度，接受甲方的安排与协调。</w:t>
      </w:r>
    </w:p>
    <w:p w14:paraId="7ABEEAE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如因乙方原因导致服务工作无法开展，乙方应承担相应的责任，并采取积极的补救措施。</w:t>
      </w:r>
    </w:p>
    <w:p w14:paraId="3A25045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在服务工作开展过程中，如出现意外事故，由乙方自行承担。</w:t>
      </w:r>
    </w:p>
    <w:p w14:paraId="14B52090">
      <w:pPr>
        <w:pStyle w:val="4"/>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在合同签订时，乙方应当将配备的人员厨师证、健康证、</w:t>
      </w:r>
      <w:r>
        <w:rPr>
          <w:rFonts w:hint="eastAsia" w:ascii="仿宋" w:hAnsi="仿宋" w:eastAsia="仿宋" w:cs="仿宋"/>
          <w:color w:val="auto"/>
          <w:sz w:val="24"/>
          <w:szCs w:val="24"/>
          <w:highlight w:val="none"/>
        </w:rPr>
        <w:t>无犯罪记录证明向甲方</w:t>
      </w:r>
      <w:r>
        <w:rPr>
          <w:rFonts w:hint="eastAsia" w:ascii="仿宋" w:hAnsi="仿宋" w:eastAsia="仿宋" w:cs="仿宋"/>
          <w:sz w:val="24"/>
          <w:szCs w:val="24"/>
          <w:highlight w:val="none"/>
        </w:rPr>
        <w:t>进行备案留存。</w:t>
      </w:r>
    </w:p>
    <w:p w14:paraId="703501C7">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七、乙方工作细则及要求</w:t>
      </w:r>
    </w:p>
    <w:p w14:paraId="43C977F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乙方必须遵守《中华人民共和国食品安全法》及有关法律法规、依法纳税、规范经营，服从甲方及上级行政部门监督，严格按照《学校食堂与学生集体用餐卫生管理规定》以及相关规定对食堂进行科学管理，搞好师幼的膳食工作。</w:t>
      </w:r>
    </w:p>
    <w:p w14:paraId="2EDF7E1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员工个人卫生方面，严格执行勤洗手、勤剪指甲勤洗澡理发、勤换工作衣帽的“四勤”标准，生产食品时必须将手洗干净，穿戴整洁的工作衣帽，操作直接入口食品时，必须使用专用工具，不得染指甲、戴首饰。</w:t>
      </w:r>
    </w:p>
    <w:p w14:paraId="136E7AB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3.乙方在工作期间，应严格执行安全保卫措施，严禁非工作人员进入幼儿园食堂的食品加工操作间及食品原料存放间，防止投毒、其他事故的发生，确保师幼用餐的卫生和安全。</w:t>
      </w:r>
    </w:p>
    <w:p w14:paraId="0EC7987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4.当甲方有重大活动或接待任务及临时性事务需要乙方加班时，乙方应按甲方的标准要求积极配合并完成。</w:t>
      </w:r>
    </w:p>
    <w:p w14:paraId="75362C36">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5.乙方需派餐厅食堂班长参加甲方</w:t>
      </w:r>
      <w:r>
        <w:rPr>
          <w:rFonts w:hint="eastAsia" w:ascii="仿宋" w:hAnsi="仿宋" w:eastAsia="仿宋" w:cs="仿宋"/>
          <w:sz w:val="24"/>
          <w:szCs w:val="24"/>
          <w:highlight w:val="none"/>
          <w:lang w:eastAsia="zh-CN"/>
        </w:rPr>
        <w:t>膳食家长监督委员会</w:t>
      </w:r>
      <w:r>
        <w:rPr>
          <w:rFonts w:hint="eastAsia" w:ascii="仿宋" w:hAnsi="仿宋" w:eastAsia="仿宋" w:cs="仿宋"/>
          <w:sz w:val="24"/>
          <w:szCs w:val="24"/>
          <w:highlight w:val="none"/>
        </w:rPr>
        <w:t>会议及每月膳食联席会议。并召开每周一次的总务主任、卫生监督伙管及食堂全体工作人员例会。</w:t>
      </w:r>
    </w:p>
    <w:p w14:paraId="2DAF0EC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乙方应当向所属员工提供符合《中华人民共和国食品安全法》要求的、印有乙方企业标识的工作服和出入证，乙方员工在工作区域时，必须穿着统一工作服。</w:t>
      </w:r>
    </w:p>
    <w:p w14:paraId="1124EF7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乙方应当保证其员工身份的真实性以及政审合格。</w:t>
      </w:r>
    </w:p>
    <w:p w14:paraId="1A61B6EF">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按《食品安全法》相关规定，乙方所有食品确保留样齐全，食品留样工作不少于125克，时间不低于48小时，以便发生食源性事故时追查原因。其他具体要求按照幼儿园食品安全管理制度执行。</w:t>
      </w:r>
    </w:p>
    <w:p w14:paraId="5B2087EA">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乙方须与员工签订正式劳动合同和购买人身保险，负责员工的使用、管理、教育、培训、奖惩和调配工作；负责员工意外事故和劳动纠纷的处理工作；按时支付员工工资、保险及其他福利。负责所辖工作人员的安全工作。除甲方责任外，乙方员工及第三人出现人身伤亡、财产损失事故，由乙方负责，所有费用由乙方承担。乙方应当按照我国劳动法律法规的有关规定向所属员工发放工资、福利、劳保；同时建立、健全劳动安全制度，严格执行国家劳动安全规程和标准；并对员工进行上岗前安全教育和技能等培训，使其符合上岗的要求，具备相应的职业技能和业务素质。</w:t>
      </w:r>
    </w:p>
    <w:p w14:paraId="69FC8EB3">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定期征求就餐人员意见，根据甲方意见有针对性改定工作。</w:t>
      </w:r>
    </w:p>
    <w:p w14:paraId="0C7E2DF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甲方配置的机械设备，乙方不得转让、转包、转租、变卖或擅自挪用其他用途。必须爱护甲方的设备和财产，由于违规操作造成的设施设备、炊具、餐具等的损坏，由乙方照价赔偿。</w:t>
      </w:r>
    </w:p>
    <w:p w14:paraId="576C756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12.</w:t>
      </w:r>
      <w:r>
        <w:rPr>
          <w:rFonts w:hint="eastAsia" w:ascii="仿宋" w:hAnsi="仿宋" w:eastAsia="仿宋" w:cs="仿宋"/>
          <w:sz w:val="24"/>
          <w:szCs w:val="24"/>
          <w:highlight w:val="none"/>
        </w:rPr>
        <w:t>乙方负责对餐厅水、电、燃气和设施设备的检查巡视，发现问题及时向甲方汇报。</w:t>
      </w:r>
    </w:p>
    <w:p w14:paraId="1F09720C">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13.</w:t>
      </w:r>
      <w:r>
        <w:rPr>
          <w:rFonts w:hint="eastAsia" w:ascii="仿宋" w:hAnsi="仿宋" w:eastAsia="仿宋" w:cs="仿宋"/>
          <w:sz w:val="24"/>
          <w:szCs w:val="24"/>
          <w:highlight w:val="none"/>
        </w:rPr>
        <w:t>遇到甲方有重大活动时，乙方必须按照甲方要求保障饮食供应，需提前或延后就餐时，由甲方负责提前通知乙方，乙方须配合并保证供应。</w:t>
      </w:r>
    </w:p>
    <w:p w14:paraId="7B7DA73C">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乙方需调整人员时，必须事先向甲方备案，应交健康证、在岗出入证、工作证等，并办理其他手续。</w:t>
      </w:r>
    </w:p>
    <w:p w14:paraId="13D3AEE5">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乙方从事餐饮的所有人员必须办理卫生防疫部门发放的健康证，并承担办证费用。</w:t>
      </w:r>
    </w:p>
    <w:p w14:paraId="5F94931E">
      <w:pPr>
        <w:pStyle w:val="19"/>
        <w:keepNext w:val="0"/>
        <w:keepLines w:val="0"/>
        <w:pageBreakBefore w:val="0"/>
        <w:widowControl/>
        <w:kinsoku/>
        <w:overflowPunct/>
        <w:topLinePunct w:val="0"/>
        <w:autoSpaceDE/>
        <w:autoSpaceDN/>
        <w:bidi w:val="0"/>
        <w:snapToGrid w:val="0"/>
        <w:spacing w:line="360" w:lineRule="auto"/>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乙方必须向甲方开具符合甲方要求的正规发票，税费由乙方承担。</w:t>
      </w:r>
    </w:p>
    <w:p w14:paraId="2C84CFCC">
      <w:pPr>
        <w:keepNext w:val="0"/>
        <w:keepLines w:val="0"/>
        <w:pageBreakBefore w:val="0"/>
        <w:kinsoku/>
        <w:overflowPunct/>
        <w:topLinePunct w:val="0"/>
        <w:autoSpaceDE/>
        <w:autoSpaceDN/>
        <w:bidi w:val="0"/>
        <w:snapToGrid w:val="0"/>
        <w:spacing w:line="360" w:lineRule="auto"/>
        <w:jc w:val="left"/>
        <w:textAlignment w:val="auto"/>
        <w:rPr>
          <w:rFonts w:hint="eastAsia" w:ascii="仿宋" w:hAnsi="仿宋" w:eastAsia="仿宋" w:cs="仿宋"/>
          <w:b/>
          <w:bCs/>
          <w:color w:val="000000"/>
          <w:sz w:val="24"/>
          <w:szCs w:val="24"/>
          <w:highlight w:val="none"/>
        </w:rPr>
      </w:pPr>
      <w:r>
        <w:rPr>
          <w:rFonts w:hint="eastAsia" w:ascii="仿宋" w:hAnsi="仿宋" w:eastAsia="仿宋" w:cs="仿宋"/>
          <w:b/>
          <w:bCs/>
          <w:color w:val="000000"/>
          <w:sz w:val="24"/>
          <w:szCs w:val="24"/>
          <w:highlight w:val="none"/>
        </w:rPr>
        <w:t>八、验收</w:t>
      </w:r>
    </w:p>
    <w:p w14:paraId="39D08A65">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服务内容完成后先由乙方进行自检，自检合格后邀请甲方进行验收。甲方确认乙方的自检内容后，组织乙方（必要时请有关专家）进行最终验收，验收时乙方应派员参加，共同对验收结果进行确认，并承担相关责任。验收合格后，填写政府采购项目履约验收单（一式伍份）作为对服务的最终认可。政府采购项目履约验收单（原件）送采购代理机构一份。（具体甲方验收方式以甲方实际要求为准。）</w:t>
      </w:r>
    </w:p>
    <w:p w14:paraId="12A117A2">
      <w:pPr>
        <w:keepNext w:val="0"/>
        <w:keepLines w:val="0"/>
        <w:pageBreakBefore w:val="0"/>
        <w:numPr>
          <w:ilvl w:val="0"/>
          <w:numId w:val="1"/>
        </w:numPr>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乙方向甲方提交服务实施过程中的所有资料。以便甲方日后管理和维护。</w:t>
      </w:r>
    </w:p>
    <w:p w14:paraId="78234A7E">
      <w:pPr>
        <w:keepNext w:val="0"/>
        <w:keepLines w:val="0"/>
        <w:pageBreakBefore w:val="0"/>
        <w:kinsoku/>
        <w:overflowPunct/>
        <w:topLinePunct w:val="0"/>
        <w:autoSpaceDE/>
        <w:autoSpaceDN/>
        <w:bidi w:val="0"/>
        <w:snapToGrid w:val="0"/>
        <w:spacing w:line="360" w:lineRule="auto"/>
        <w:ind w:left="420" w:left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（三）验收依据：</w:t>
      </w:r>
    </w:p>
    <w:p w14:paraId="7A1EFA69">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1.磋商文件、响应文件、澄清表（函）；</w:t>
      </w:r>
    </w:p>
    <w:p w14:paraId="232AC93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2.本合同及附件文本；</w:t>
      </w:r>
    </w:p>
    <w:p w14:paraId="2AAC20DE">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3.国家相应的标准、规范。</w:t>
      </w:r>
    </w:p>
    <w:p w14:paraId="0F3D5BB8">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（四）双方拟定的其他条款。</w:t>
      </w:r>
    </w:p>
    <w:p w14:paraId="72A765A6">
      <w:pPr>
        <w:pStyle w:val="19"/>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九、违约责任及解决合同纠纷的方式</w:t>
      </w:r>
    </w:p>
    <w:p w14:paraId="3EAF6601">
      <w:pPr>
        <w:keepNext w:val="0"/>
        <w:keepLines w:val="0"/>
        <w:pageBreakBefore w:val="0"/>
        <w:kinsoku/>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（一）合同中未约定的，按《中华人民共和国民法典》中的相关条款执行。</w:t>
      </w:r>
    </w:p>
    <w:p w14:paraId="236C04C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乙方未按合同要求提供服务或服务质量不能满足合同要求，甲方应当将乙方违约的情况以及拟采取的措施以书面形式报政府采购监管部门，根据政府采购监管部门的处理意见，甲方有权依据《中华人民共和国民法典》有关条款及合同约定解除合同，乙方应向甲方支付合同总价款</w:t>
      </w:r>
      <w:r>
        <w:rPr>
          <w:rFonts w:hint="eastAsia" w:ascii="仿宋" w:hAnsi="仿宋" w:eastAsia="仿宋" w:cs="仿宋"/>
          <w:i w:val="0"/>
          <w:iCs w:val="0"/>
          <w:sz w:val="24"/>
          <w:szCs w:val="24"/>
          <w:highlight w:val="none"/>
          <w:u w:val="single"/>
        </w:rPr>
        <w:t>3</w:t>
      </w:r>
      <w:r>
        <w:rPr>
          <w:rFonts w:hint="eastAsia" w:ascii="仿宋" w:hAnsi="仿宋" w:eastAsia="仿宋" w:cs="仿宋"/>
          <w:sz w:val="24"/>
          <w:szCs w:val="24"/>
          <w:highlight w:val="none"/>
        </w:rPr>
        <w:t>％的违约金。同时，政府采购监管部门有权依据《中华人民共和国政府采购法》及相关法律法规对乙方的违法行为进行相应的处罚。</w:t>
      </w:r>
    </w:p>
    <w:p w14:paraId="12F97B0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（三）在本合同履行过程中，一方因违约或造成对方经济、社会效益等损失的应当赔偿。</w:t>
      </w:r>
    </w:p>
    <w:p w14:paraId="27C9E86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（四）甲方无正当理由拒绝接受服务的，需向乙方偿付本合同总价款</w:t>
      </w:r>
      <w:r>
        <w:rPr>
          <w:rFonts w:hint="eastAsia" w:ascii="仿宋" w:hAnsi="仿宋" w:eastAsia="仿宋" w:cs="仿宋"/>
          <w:sz w:val="24"/>
          <w:szCs w:val="24"/>
          <w:highlight w:val="none"/>
          <w:u w:val="single"/>
        </w:rPr>
        <w:t>5</w:t>
      </w:r>
      <w:r>
        <w:rPr>
          <w:rFonts w:hint="eastAsia" w:ascii="仿宋" w:hAnsi="仿宋" w:eastAsia="仿宋" w:cs="仿宋"/>
          <w:sz w:val="24"/>
          <w:szCs w:val="24"/>
          <w:highlight w:val="none"/>
        </w:rPr>
        <w:t>％的违约金。</w:t>
      </w:r>
    </w:p>
    <w:p w14:paraId="28F6055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（五）乙方提供的服务不符合本项目相关文件和本合同规定的，甲方有权拒绝，并且乙方须向甲方支付本合同总价款</w:t>
      </w:r>
      <w:r>
        <w:rPr>
          <w:rFonts w:hint="eastAsia" w:ascii="仿宋" w:hAnsi="仿宋" w:eastAsia="仿宋" w:cs="仿宋"/>
          <w:sz w:val="24"/>
          <w:szCs w:val="24"/>
          <w:highlight w:val="none"/>
          <w:u w:val="single"/>
        </w:rPr>
        <w:t>5</w:t>
      </w:r>
      <w:r>
        <w:rPr>
          <w:rFonts w:hint="eastAsia" w:ascii="仿宋" w:hAnsi="仿宋" w:eastAsia="仿宋" w:cs="仿宋"/>
          <w:sz w:val="24"/>
          <w:szCs w:val="24"/>
          <w:highlight w:val="none"/>
        </w:rPr>
        <w:t>％的违约金。</w:t>
      </w:r>
    </w:p>
    <w:p w14:paraId="191A878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（六）乙方未能按照本合同约定时间提供服务或完成约定的项目服务内容的，从逾期之日起每日按本合同总价款</w:t>
      </w:r>
      <w:r>
        <w:rPr>
          <w:rFonts w:hint="eastAsia" w:ascii="仿宋" w:hAnsi="仿宋" w:eastAsia="仿宋" w:cs="仿宋"/>
          <w:sz w:val="24"/>
          <w:szCs w:val="24"/>
          <w:highlight w:val="none"/>
          <w:u w:val="single"/>
        </w:rPr>
        <w:t>5</w:t>
      </w:r>
      <w:r>
        <w:rPr>
          <w:rFonts w:hint="eastAsia" w:ascii="仿宋" w:hAnsi="仿宋" w:eastAsia="仿宋" w:cs="仿宋"/>
          <w:sz w:val="24"/>
          <w:szCs w:val="24"/>
          <w:highlight w:val="none"/>
        </w:rPr>
        <w:t>％的数额向甲方支付违约金；逾期</w:t>
      </w:r>
      <w:r>
        <w:rPr>
          <w:rFonts w:hint="eastAsia" w:ascii="仿宋" w:hAnsi="仿宋" w:eastAsia="仿宋" w:cs="仿宋"/>
          <w:sz w:val="24"/>
          <w:szCs w:val="24"/>
          <w:highlight w:val="none"/>
          <w:u w:val="single"/>
        </w:rPr>
        <w:t>1</w:t>
      </w:r>
      <w:r>
        <w:rPr>
          <w:rFonts w:hint="eastAsia" w:ascii="仿宋" w:hAnsi="仿宋" w:eastAsia="仿宋" w:cs="仿宋"/>
          <w:sz w:val="24"/>
          <w:szCs w:val="24"/>
          <w:highlight w:val="none"/>
        </w:rPr>
        <w:t>日以上的，甲方有权终止合同，由此造成的甲方经济损失由乙方承担。</w:t>
      </w:r>
    </w:p>
    <w:p w14:paraId="7CF6813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（七）未经甲方同意，乙方不得擅自将本合同服务分包或转包第三方承担。乙方承担合同总价款</w:t>
      </w:r>
      <w:r>
        <w:rPr>
          <w:rFonts w:hint="eastAsia" w:ascii="仿宋" w:hAnsi="仿宋" w:eastAsia="仿宋" w:cs="仿宋"/>
          <w:sz w:val="24"/>
          <w:szCs w:val="24"/>
          <w:highlight w:val="none"/>
          <w:u w:val="single"/>
        </w:rPr>
        <w:t>5</w:t>
      </w:r>
      <w:r>
        <w:rPr>
          <w:rFonts w:hint="eastAsia" w:ascii="仿宋" w:hAnsi="仿宋" w:eastAsia="仿宋" w:cs="仿宋"/>
          <w:sz w:val="24"/>
          <w:szCs w:val="24"/>
          <w:highlight w:val="none"/>
        </w:rPr>
        <w:t>%的违约金并赔偿甲方全部损失。</w:t>
      </w:r>
    </w:p>
    <w:p w14:paraId="1ACD7A9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（八）本合同中各条款约定的违约金可自甲方未支付款项中直接扣除，违约金若不能弥补甲方损失的，乙方还应赔偿甲方损失。</w:t>
      </w:r>
    </w:p>
    <w:p w14:paraId="7CBE7352">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（九）双方拟定的其他条款。</w:t>
      </w:r>
    </w:p>
    <w:p w14:paraId="519017B2">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十、保密条款</w:t>
      </w:r>
    </w:p>
    <w:p w14:paraId="40EB1CD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乙方应遵守国家有关保密的法律法规和行业规定，并对甲方提供的资料负有保密义务。未经甲方同意，不得将承接政府服务项目获得的政府、公民个人等各种信息和资料提供给其他单位和个人。如发生以上情况，甲方有权索赔。</w:t>
      </w:r>
    </w:p>
    <w:p w14:paraId="6FDF885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甲方有义务保护乙方的知识产权，未经乙方同意，不得将乙方交付的具有知识产权性质的成果文件、资料向第三方转让或用于本合同以外的项目。如发生以上情况，乙方有权索赔，但甲方依据相关法定职责对外公开的除外。</w:t>
      </w:r>
    </w:p>
    <w:p w14:paraId="508B8EDD">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（三）本条款为独立条款，本合同的无效、变更、解除和终止均不影响本条款的效力。</w:t>
      </w:r>
    </w:p>
    <w:p w14:paraId="786DA83F">
      <w:pPr>
        <w:keepNext w:val="0"/>
        <w:keepLines w:val="0"/>
        <w:pageBreakBefore w:val="0"/>
        <w:kinsoku/>
        <w:overflowPunct/>
        <w:topLinePunct w:val="0"/>
        <w:autoSpaceDE/>
        <w:autoSpaceDN/>
        <w:bidi w:val="0"/>
        <w:snapToGrid w:val="0"/>
        <w:spacing w:line="360" w:lineRule="auto"/>
        <w:ind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（四）双方拟定的其他条款。</w:t>
      </w:r>
    </w:p>
    <w:p w14:paraId="47F6FEF2">
      <w:pPr>
        <w:pStyle w:val="19"/>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十一、合同变更与终止</w:t>
      </w:r>
    </w:p>
    <w:p w14:paraId="1CDF0BB9">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1、合同期间任何一方不得随意终止合同。</w:t>
      </w:r>
    </w:p>
    <w:p w14:paraId="5B12BCB4">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2、本合同规定的履行期限届满，合同自动终止。</w:t>
      </w:r>
    </w:p>
    <w:p w14:paraId="721EFF4B">
      <w:pPr>
        <w:pStyle w:val="6"/>
        <w:keepNext w:val="0"/>
        <w:keepLines w:val="0"/>
        <w:pageBreakBefore w:val="0"/>
        <w:kinsoku/>
        <w:overflowPunct/>
        <w:topLinePunct w:val="0"/>
        <w:autoSpaceDE/>
        <w:autoSpaceDN/>
        <w:bidi w:val="0"/>
        <w:snapToGrid w:val="0"/>
        <w:spacing w:line="360" w:lineRule="auto"/>
        <w:ind w:left="0" w:leftChars="0"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3、乙方应自觉遵守甲方工作纪律、规章制度，服从甲方管理。因乙方原因给甲方造成严重后果，甲方可以单方面解除合同。</w:t>
      </w:r>
    </w:p>
    <w:p w14:paraId="4B9F25D7">
      <w:pPr>
        <w:pStyle w:val="19"/>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十二、</w:t>
      </w:r>
      <w:r>
        <w:rPr>
          <w:rFonts w:hint="eastAsia" w:ascii="仿宋" w:hAnsi="仿宋" w:eastAsia="仿宋" w:cs="仿宋"/>
          <w:b/>
          <w:bCs/>
          <w:sz w:val="24"/>
          <w:szCs w:val="24"/>
          <w:highlight w:val="none"/>
        </w:rPr>
        <w:fldChar w:fldCharType="begin"/>
      </w:r>
      <w:r>
        <w:rPr>
          <w:rFonts w:hint="eastAsia" w:ascii="仿宋" w:hAnsi="仿宋" w:eastAsia="仿宋" w:cs="仿宋"/>
          <w:b/>
          <w:bCs/>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b/>
          <w:bCs/>
          <w:sz w:val="24"/>
          <w:szCs w:val="24"/>
          <w:highlight w:val="none"/>
        </w:rPr>
        <w:fldChar w:fldCharType="separate"/>
      </w:r>
      <w:r>
        <w:rPr>
          <w:rFonts w:hint="eastAsia" w:ascii="仿宋" w:hAnsi="仿宋" w:eastAsia="仿宋" w:cs="仿宋"/>
          <w:b/>
          <w:bCs/>
          <w:sz w:val="24"/>
          <w:szCs w:val="24"/>
          <w:highlight w:val="none"/>
        </w:rPr>
        <w:t>不可抗力</w:t>
      </w:r>
      <w:r>
        <w:rPr>
          <w:rFonts w:hint="eastAsia" w:ascii="仿宋" w:hAnsi="仿宋" w:eastAsia="仿宋" w:cs="仿宋"/>
          <w:b/>
          <w:bCs/>
          <w:sz w:val="24"/>
          <w:szCs w:val="24"/>
          <w:highlight w:val="none"/>
        </w:rPr>
        <w:fldChar w:fldCharType="end"/>
      </w:r>
    </w:p>
    <w:p w14:paraId="6CE2E9A5">
      <w:pPr>
        <w:keepNext w:val="0"/>
        <w:keepLines w:val="0"/>
        <w:pageBreakBefore w:val="0"/>
        <w:widowControl/>
        <w:kinsoku/>
        <w:overflowPunct/>
        <w:topLinePunct w:val="0"/>
        <w:autoSpaceDE/>
        <w:autoSpaceDN/>
        <w:bidi w:val="0"/>
        <w:snapToGrid w:val="0"/>
        <w:spacing w:line="360" w:lineRule="auto"/>
        <w:ind w:right="-197" w:rightChars="-94"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甲乙双方任何一方由于</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不可抗力</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原因不能履行合同时，应及时向对</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方通</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sz w:val="24"/>
          <w:szCs w:val="24"/>
          <w:highlight w:val="none"/>
        </w:rPr>
        <w:fldChar w:fldCharType="begin"/>
      </w:r>
      <w:r>
        <w:rPr>
          <w:rFonts w:hint="eastAsia" w:ascii="仿宋" w:hAnsi="仿宋" w:eastAsia="仿宋" w:cs="仿宋"/>
          <w:sz w:val="24"/>
          <w:szCs w:val="24"/>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sz w:val="24"/>
          <w:szCs w:val="24"/>
          <w:highlight w:val="none"/>
        </w:rPr>
        <w:fldChar w:fldCharType="separate"/>
      </w:r>
      <w:r>
        <w:rPr>
          <w:rFonts w:hint="eastAsia" w:ascii="仿宋" w:hAnsi="仿宋" w:eastAsia="仿宋" w:cs="仿宋"/>
          <w:sz w:val="24"/>
          <w:szCs w:val="24"/>
          <w:highlight w:val="none"/>
        </w:rPr>
        <w:t>违约责任</w:t>
      </w:r>
      <w:r>
        <w:rPr>
          <w:rFonts w:hint="eastAsia" w:ascii="仿宋" w:hAnsi="仿宋" w:eastAsia="仿宋" w:cs="仿宋"/>
          <w:sz w:val="24"/>
          <w:szCs w:val="24"/>
          <w:highlight w:val="none"/>
        </w:rPr>
        <w:fldChar w:fldCharType="end"/>
      </w:r>
      <w:r>
        <w:rPr>
          <w:rFonts w:hint="eastAsia" w:ascii="仿宋" w:hAnsi="仿宋" w:eastAsia="仿宋" w:cs="仿宋"/>
          <w:sz w:val="24"/>
          <w:szCs w:val="24"/>
          <w:highlight w:val="none"/>
        </w:rPr>
        <w:t>。</w:t>
      </w:r>
    </w:p>
    <w:p w14:paraId="47017E1C">
      <w:pPr>
        <w:pStyle w:val="19"/>
        <w:keepNext w:val="0"/>
        <w:keepLines w:val="0"/>
        <w:pageBreakBefore w:val="0"/>
        <w:widowControl/>
        <w:kinsoku/>
        <w:overflowPunct/>
        <w:topLinePunct w:val="0"/>
        <w:autoSpaceDE/>
        <w:autoSpaceDN/>
        <w:bidi w:val="0"/>
        <w:snapToGrid w:val="0"/>
        <w:spacing w:line="360" w:lineRule="auto"/>
        <w:ind w:firstLine="0" w:firstLineChars="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十三、争议解决</w:t>
      </w:r>
    </w:p>
    <w:p w14:paraId="666088D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（一）本合同在履行过程中发生的争议，由甲、乙双方当事人协商解决，协商不成的按下列第＿种方式解决：</w:t>
      </w:r>
    </w:p>
    <w:p w14:paraId="546BF48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1、提交西安仲裁委员会仲裁；</w:t>
      </w:r>
    </w:p>
    <w:p w14:paraId="0BC97637">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2、依法向甲方所在地人民法院起诉。</w:t>
      </w:r>
    </w:p>
    <w:p w14:paraId="10E4F08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（二）本条款为独立条款，本合同的无效、变更、解除和终止均不影响本条款的效力。</w:t>
      </w:r>
    </w:p>
    <w:p w14:paraId="10B5CA64">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十四、关于送达的约定</w:t>
      </w:r>
    </w:p>
    <w:p w14:paraId="48A9ECC2">
      <w:pPr>
        <w:keepNext w:val="0"/>
        <w:keepLines w:val="0"/>
        <w:pageBreakBefore w:val="0"/>
        <w:kinsoku/>
        <w:wordWrap w:val="0"/>
        <w:overflowPunct/>
        <w:topLinePunct w:val="0"/>
        <w:autoSpaceDE/>
        <w:autoSpaceDN/>
        <w:bidi w:val="0"/>
        <w:snapToGrid w:val="0"/>
        <w:spacing w:line="360" w:lineRule="auto"/>
        <w:ind w:firstLine="480"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（一）本合同项下甲乙双方任何一方向对方发出的通知、信件、数据电文等，应当发送至本合同下列约定的地址、联系人和通信终端。</w:t>
      </w:r>
    </w:p>
    <w:p w14:paraId="5B1DF02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甲方联系人：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D554EE9">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095798C">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D5B7C14">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同意□不同意）接受电子文件送达，电子终端信息如下：</w:t>
      </w:r>
    </w:p>
    <w:p w14:paraId="191E95F2">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814224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A2B7B3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D8A454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511922A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乙方联系人：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6EAF3C3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382D858F">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联系地址：</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，邮编：</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F5F808B">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乙方（□同意□不同意）接受电子文件送达，电子终端信息如下：</w:t>
      </w:r>
    </w:p>
    <w:p w14:paraId="1CA6B93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移动电话：</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7F99960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传真：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189017AA">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微信号：</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276B8F58">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电子邮箱：</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w:t>
      </w:r>
    </w:p>
    <w:p w14:paraId="095DEBC6">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（二）各种通讯方式应当按照下列方式确定其送达时间：</w:t>
      </w:r>
    </w:p>
    <w:p w14:paraId="4C485E8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1、面呈之通知在被通知人签收时视为送达，被通知人未签收的不得视为有效的送达。</w:t>
      </w:r>
    </w:p>
    <w:p w14:paraId="37DC8490">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2、以邮寄方式进行的通知均应采用邮政挂号快件或特快专递的方式进行，自信件交邮后的第7日视为送达。</w:t>
      </w:r>
    </w:p>
    <w:p w14:paraId="03D695E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3、发出的短信／传真／微信／电子邮件，自前述电子文件内容在发送方正确填写地址且未被系统退回的情况下，视为进入对方数据电文接收系统即视为送达。若送达日为非工作日，则视为在下一工作日送达。</w:t>
      </w:r>
    </w:p>
    <w:p w14:paraId="4FBE42D3">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4、一方当事人变更名称、地址、联系人或通信终端的，应当在变更后3日内及时书面通知对方当事人，对方当事人实际收到变更通知前的送达仍为有效送达，电子送达与书面送达具有同等法律效力。</w:t>
      </w:r>
    </w:p>
    <w:p w14:paraId="35513356">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十五、合同变更</w:t>
      </w:r>
    </w:p>
    <w:p w14:paraId="2128800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在合同的执行期内，双方均不得随意变更或解除合同。如因项目需求情况发生变化，需要项目变更的，应双方协商后签订项目变更协议后生效（如双方变更事项不能达成一致的，仍按原合同履行，否则视为违约）。</w:t>
      </w:r>
    </w:p>
    <w:p w14:paraId="6F9B6FA3">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十六、合同生效</w:t>
      </w:r>
    </w:p>
    <w:p w14:paraId="2FEA38B1">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本合同一式</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份，甲方持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份，乙方持</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份，西安国家民用航天产业基地管委会财政局备案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份，本合同甲、乙</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方签字并盖章后生效，合同执行完毕后，自动失效（合同的服务承诺则长期有效）。</w:t>
      </w:r>
    </w:p>
    <w:p w14:paraId="0781DDB1">
      <w:pPr>
        <w:keepNext w:val="0"/>
        <w:keepLines w:val="0"/>
        <w:pageBreakBefore w:val="0"/>
        <w:kinsoku/>
        <w:overflowPunct/>
        <w:topLinePunct w:val="0"/>
        <w:autoSpaceDE/>
        <w:autoSpaceDN/>
        <w:bidi w:val="0"/>
        <w:snapToGrid w:val="0"/>
        <w:spacing w:line="360" w:lineRule="auto"/>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十七、其他事项</w:t>
      </w:r>
    </w:p>
    <w:p w14:paraId="737433CE">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一</w:t>
      </w:r>
      <w:r>
        <w:rPr>
          <w:rFonts w:hint="eastAsia" w:ascii="仿宋" w:hAnsi="仿宋" w:eastAsia="仿宋" w:cs="仿宋"/>
          <w:sz w:val="24"/>
          <w:szCs w:val="24"/>
          <w:highlight w:val="none"/>
        </w:rPr>
        <w:t>）西安国家民用航天产业基地管委会财政局在合同的履行期间以及履行期后，可以随时检查项目的执行情况，对采购标准、采购内容进行调查核实，并对发现的问题进行处理。</w:t>
      </w:r>
    </w:p>
    <w:p w14:paraId="33913389">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二</w:t>
      </w:r>
      <w:r>
        <w:rPr>
          <w:rFonts w:hint="eastAsia" w:ascii="仿宋" w:hAnsi="仿宋" w:eastAsia="仿宋" w:cs="仿宋"/>
          <w:sz w:val="24"/>
          <w:szCs w:val="24"/>
          <w:highlight w:val="none"/>
        </w:rPr>
        <w:t>）磋商文件、响应文件、澄清表（函）、成交通知书、合同附件均成为合同不可分割的部分。</w:t>
      </w:r>
    </w:p>
    <w:p w14:paraId="607B5D63">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三</w:t>
      </w:r>
      <w:r>
        <w:rPr>
          <w:rFonts w:hint="eastAsia" w:ascii="仿宋" w:hAnsi="仿宋" w:eastAsia="仿宋" w:cs="仿宋"/>
          <w:sz w:val="24"/>
          <w:szCs w:val="24"/>
          <w:highlight w:val="none"/>
        </w:rPr>
        <w:t>）甲乙双方因不可抗力导致本合同全部或部分不能履行时，发生不可抗力的一方应当在不可抗力发生后</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10</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天内书面通知对方，以减轻可能给对方造成的损失。因不可抗力导致本合同全部或部分不能履行时，双方各自承担其因此而造成的损失、损害。</w:t>
      </w:r>
    </w:p>
    <w:p w14:paraId="7F90DD2A">
      <w:pPr>
        <w:keepNext w:val="0"/>
        <w:keepLines w:val="0"/>
        <w:pageBreakBefore w:val="0"/>
        <w:kinsoku/>
        <w:overflowPunct/>
        <w:topLinePunct w:val="0"/>
        <w:autoSpaceDE/>
        <w:autoSpaceDN/>
        <w:bidi w:val="0"/>
        <w:snapToGrid w:val="0"/>
        <w:spacing w:line="360" w:lineRule="auto"/>
        <w:ind w:firstLine="240" w:firstLineChars="1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四</w:t>
      </w:r>
      <w:r>
        <w:rPr>
          <w:rFonts w:hint="eastAsia" w:ascii="仿宋" w:hAnsi="仿宋" w:eastAsia="仿宋" w:cs="仿宋"/>
          <w:sz w:val="24"/>
          <w:szCs w:val="24"/>
          <w:highlight w:val="none"/>
        </w:rPr>
        <w:t>）合同未尽事宜，由甲、乙双方协商后签订政府采购补充合同，与原合同具有同等法律效力。</w:t>
      </w:r>
    </w:p>
    <w:p w14:paraId="33D01565">
      <w:pPr>
        <w:keepNext w:val="0"/>
        <w:keepLines w:val="0"/>
        <w:pageBreakBefore w:val="0"/>
        <w:kinsoku/>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（以下无正文） </w:t>
      </w:r>
    </w:p>
    <w:p w14:paraId="37990FC2">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tbl>
      <w:tblPr>
        <w:tblStyle w:val="10"/>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9"/>
        <w:gridCol w:w="4261"/>
      </w:tblGrid>
      <w:tr w14:paraId="31AFB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2499" w:type="pct"/>
            <w:noWrap w:val="0"/>
            <w:vAlign w:val="center"/>
          </w:tcPr>
          <w:p w14:paraId="76A1DDAE">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甲方</w:t>
            </w:r>
          </w:p>
        </w:tc>
        <w:tc>
          <w:tcPr>
            <w:tcW w:w="2500" w:type="pct"/>
            <w:noWrap w:val="0"/>
            <w:vAlign w:val="center"/>
          </w:tcPr>
          <w:p w14:paraId="0D8B37BF">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乙方</w:t>
            </w:r>
          </w:p>
        </w:tc>
      </w:tr>
      <w:tr w14:paraId="7DBD2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2499" w:type="pct"/>
            <w:noWrap w:val="0"/>
            <w:vAlign w:val="center"/>
          </w:tcPr>
          <w:p w14:paraId="6AC8D04B">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采购人名称</w:t>
            </w:r>
          </w:p>
          <w:p w14:paraId="3DC71986">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3F44DB70">
            <w:pPr>
              <w:jc w:val="center"/>
              <w:rPr>
                <w:rFonts w:hint="eastAsia" w:ascii="仿宋" w:hAnsi="仿宋" w:eastAsia="仿宋" w:cs="仿宋"/>
                <w:sz w:val="24"/>
                <w:highlight w:val="none"/>
              </w:rPr>
            </w:pPr>
            <w:r>
              <w:rPr>
                <w:rFonts w:hint="eastAsia" w:ascii="仿宋" w:hAnsi="仿宋" w:eastAsia="仿宋" w:cs="仿宋"/>
                <w:sz w:val="24"/>
                <w:highlight w:val="none"/>
              </w:rPr>
              <w:t>（盖章）</w:t>
            </w:r>
          </w:p>
        </w:tc>
        <w:tc>
          <w:tcPr>
            <w:tcW w:w="2500" w:type="pct"/>
            <w:noWrap w:val="0"/>
            <w:vAlign w:val="center"/>
          </w:tcPr>
          <w:p w14:paraId="31ADA85F">
            <w:pPr>
              <w:pStyle w:val="4"/>
              <w:jc w:val="center"/>
              <w:rPr>
                <w:rFonts w:hint="eastAsia" w:ascii="仿宋" w:hAnsi="仿宋" w:eastAsia="仿宋" w:cs="仿宋"/>
                <w:sz w:val="24"/>
                <w:highlight w:val="none"/>
              </w:rPr>
            </w:pPr>
            <w:r>
              <w:rPr>
                <w:rFonts w:hint="eastAsia" w:ascii="仿宋" w:hAnsi="仿宋" w:eastAsia="仿宋" w:cs="仿宋"/>
                <w:sz w:val="24"/>
                <w:highlight w:val="none"/>
              </w:rPr>
              <w:t>供应商全称</w:t>
            </w:r>
          </w:p>
          <w:p w14:paraId="3029215A">
            <w:pPr>
              <w:pStyle w:val="4"/>
              <w:jc w:val="center"/>
              <w:rPr>
                <w:rFonts w:hint="eastAsia" w:ascii="仿宋" w:hAnsi="仿宋" w:eastAsia="仿宋" w:cs="仿宋"/>
                <w:sz w:val="24"/>
                <w:highlight w:val="none"/>
              </w:rPr>
            </w:pPr>
            <w:r>
              <w:rPr>
                <w:rFonts w:hint="eastAsia" w:ascii="仿宋" w:hAnsi="仿宋" w:eastAsia="仿宋" w:cs="仿宋"/>
                <w:sz w:val="24"/>
                <w:highlight w:val="none"/>
              </w:rPr>
              <w:t>（）</w:t>
            </w:r>
          </w:p>
          <w:p w14:paraId="278420D8">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（盖章）</w:t>
            </w:r>
          </w:p>
        </w:tc>
      </w:tr>
      <w:tr w14:paraId="707D4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499" w:type="pct"/>
            <w:noWrap w:val="0"/>
            <w:vAlign w:val="center"/>
          </w:tcPr>
          <w:p w14:paraId="417918F9">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c>
          <w:tcPr>
            <w:tcW w:w="2500" w:type="pct"/>
            <w:noWrap w:val="0"/>
            <w:vAlign w:val="center"/>
          </w:tcPr>
          <w:p w14:paraId="6C70E9FB">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地址：</w:t>
            </w:r>
          </w:p>
        </w:tc>
      </w:tr>
      <w:tr w14:paraId="267CB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499" w:type="pct"/>
            <w:noWrap w:val="0"/>
            <w:vAlign w:val="center"/>
          </w:tcPr>
          <w:p w14:paraId="107C3A9C">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c>
          <w:tcPr>
            <w:tcW w:w="2500" w:type="pct"/>
            <w:noWrap w:val="0"/>
            <w:vAlign w:val="center"/>
          </w:tcPr>
          <w:p w14:paraId="6A9C5FA2">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邮编：</w:t>
            </w:r>
          </w:p>
        </w:tc>
      </w:tr>
      <w:tr w14:paraId="4B6F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499" w:type="pct"/>
            <w:noWrap w:val="0"/>
            <w:vAlign w:val="center"/>
          </w:tcPr>
          <w:p w14:paraId="2FBCBCFB">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2500" w:type="pct"/>
            <w:noWrap w:val="0"/>
            <w:vAlign w:val="center"/>
          </w:tcPr>
          <w:p w14:paraId="749DAC52">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r>
      <w:tr w14:paraId="2159C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499" w:type="pct"/>
            <w:noWrap w:val="0"/>
            <w:vAlign w:val="center"/>
          </w:tcPr>
          <w:p w14:paraId="46186C80">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c>
          <w:tcPr>
            <w:tcW w:w="2500" w:type="pct"/>
            <w:noWrap w:val="0"/>
            <w:vAlign w:val="center"/>
          </w:tcPr>
          <w:p w14:paraId="41E79ACF">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被授权代表：（签字）</w:t>
            </w:r>
          </w:p>
        </w:tc>
      </w:tr>
      <w:tr w14:paraId="40C2D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jc w:val="center"/>
        </w:trPr>
        <w:tc>
          <w:tcPr>
            <w:tcW w:w="2499" w:type="pct"/>
            <w:noWrap w:val="0"/>
            <w:vAlign w:val="center"/>
          </w:tcPr>
          <w:p w14:paraId="703E7BDC">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c>
          <w:tcPr>
            <w:tcW w:w="2500" w:type="pct"/>
            <w:noWrap w:val="0"/>
            <w:vAlign w:val="center"/>
          </w:tcPr>
          <w:p w14:paraId="1ECECC9E">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电话：</w:t>
            </w:r>
          </w:p>
        </w:tc>
      </w:tr>
      <w:tr w14:paraId="45430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2499" w:type="pct"/>
            <w:noWrap w:val="0"/>
            <w:vAlign w:val="center"/>
          </w:tcPr>
          <w:p w14:paraId="6501F607">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c>
          <w:tcPr>
            <w:tcW w:w="2500" w:type="pct"/>
            <w:noWrap w:val="0"/>
            <w:vAlign w:val="center"/>
          </w:tcPr>
          <w:p w14:paraId="7388F586">
            <w:pPr>
              <w:pStyle w:val="7"/>
              <w:rPr>
                <w:rFonts w:hint="eastAsia" w:ascii="仿宋" w:hAnsi="仿宋" w:eastAsia="仿宋" w:cs="仿宋"/>
                <w:sz w:val="24"/>
                <w:szCs w:val="24"/>
                <w:highlight w:val="none"/>
              </w:rPr>
            </w:pPr>
            <w:r>
              <w:rPr>
                <w:rFonts w:hint="eastAsia" w:ascii="仿宋" w:hAnsi="仿宋" w:eastAsia="仿宋" w:cs="仿宋"/>
                <w:sz w:val="24"/>
                <w:szCs w:val="24"/>
                <w:highlight w:val="none"/>
              </w:rPr>
              <w:t>传真：</w:t>
            </w:r>
          </w:p>
        </w:tc>
      </w:tr>
      <w:tr w14:paraId="28FE9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2499" w:type="pct"/>
            <w:noWrap w:val="0"/>
            <w:vAlign w:val="center"/>
          </w:tcPr>
          <w:p w14:paraId="3A1FB610">
            <w:pPr>
              <w:pStyle w:val="7"/>
              <w:rPr>
                <w:rFonts w:hint="eastAsia" w:ascii="仿宋" w:hAnsi="仿宋" w:eastAsia="仿宋" w:cs="仿宋"/>
                <w:sz w:val="24"/>
                <w:szCs w:val="24"/>
                <w:highlight w:val="none"/>
              </w:rPr>
            </w:pPr>
          </w:p>
        </w:tc>
        <w:tc>
          <w:tcPr>
            <w:tcW w:w="2500" w:type="pct"/>
            <w:noWrap w:val="0"/>
            <w:vAlign w:val="center"/>
          </w:tcPr>
          <w:p w14:paraId="1136D8F6">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开户银行：</w:t>
            </w:r>
          </w:p>
        </w:tc>
      </w:tr>
      <w:tr w14:paraId="18DDE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4" w:hRule="atLeast"/>
          <w:jc w:val="center"/>
        </w:trPr>
        <w:tc>
          <w:tcPr>
            <w:tcW w:w="2499" w:type="pct"/>
            <w:noWrap w:val="0"/>
            <w:vAlign w:val="center"/>
          </w:tcPr>
          <w:p w14:paraId="13469D10">
            <w:pPr>
              <w:pStyle w:val="7"/>
              <w:rPr>
                <w:rFonts w:hint="eastAsia" w:ascii="仿宋" w:hAnsi="仿宋" w:eastAsia="仿宋" w:cs="仿宋"/>
                <w:sz w:val="24"/>
                <w:szCs w:val="24"/>
                <w:highlight w:val="none"/>
              </w:rPr>
            </w:pPr>
          </w:p>
        </w:tc>
        <w:tc>
          <w:tcPr>
            <w:tcW w:w="2500" w:type="pct"/>
            <w:noWrap w:val="0"/>
            <w:vAlign w:val="center"/>
          </w:tcPr>
          <w:p w14:paraId="5A917A50">
            <w:pPr>
              <w:pStyle w:val="7"/>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账号：</w:t>
            </w:r>
          </w:p>
        </w:tc>
      </w:tr>
      <w:tr w14:paraId="41D61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7" w:hRule="atLeast"/>
          <w:jc w:val="center"/>
        </w:trPr>
        <w:tc>
          <w:tcPr>
            <w:tcW w:w="2499" w:type="pct"/>
            <w:noWrap w:val="0"/>
            <w:vAlign w:val="center"/>
          </w:tcPr>
          <w:p w14:paraId="26E09496">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c>
          <w:tcPr>
            <w:tcW w:w="2500" w:type="pct"/>
            <w:noWrap w:val="0"/>
            <w:vAlign w:val="center"/>
          </w:tcPr>
          <w:p w14:paraId="0309B07C">
            <w:pPr>
              <w:pStyle w:val="7"/>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日期：  年    月    日</w:t>
            </w:r>
          </w:p>
        </w:tc>
      </w:tr>
    </w:tbl>
    <w:p w14:paraId="4B267790">
      <w:pPr>
        <w:rPr>
          <w:highlight w:val="none"/>
        </w:rPr>
      </w:pPr>
    </w:p>
    <w:p w14:paraId="6376AB22">
      <w:pPr>
        <w:rPr>
          <w:highlight w:val="none"/>
        </w:rPr>
      </w:pPr>
    </w:p>
    <w:p w14:paraId="4C28CDCB">
      <w:pPr>
        <w:pStyle w:val="20"/>
        <w:bidi w:val="0"/>
        <w:spacing w:line="300" w:lineRule="auto"/>
        <w:rPr>
          <w:rFonts w:hint="eastAsia" w:ascii="仿宋" w:hAnsi="仿宋" w:eastAsia="仿宋" w:cs="仿宋"/>
          <w:highlight w:val="none"/>
          <w:lang w:val="en-US" w:eastAsia="zh-Hans"/>
        </w:rPr>
      </w:pPr>
    </w:p>
    <w:p w14:paraId="356BAAB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3D2FFC"/>
    <w:multiLevelType w:val="singleLevel"/>
    <w:tmpl w:val="B03D2FFC"/>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B29EA"/>
    <w:rsid w:val="0F347B80"/>
    <w:rsid w:val="1316525D"/>
    <w:rsid w:val="182746B0"/>
    <w:rsid w:val="2CDD6A28"/>
    <w:rsid w:val="36767569"/>
    <w:rsid w:val="3D5A5824"/>
    <w:rsid w:val="459C54FB"/>
    <w:rsid w:val="4CC02586"/>
    <w:rsid w:val="4ED04F5B"/>
    <w:rsid w:val="54514662"/>
    <w:rsid w:val="5CD57859"/>
    <w:rsid w:val="5D074BB1"/>
    <w:rsid w:val="6D9B2FE1"/>
    <w:rsid w:val="74674908"/>
    <w:rsid w:val="7D6266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3"/>
    <w:unhideWhenUsed/>
    <w:qFormat/>
    <w:uiPriority w:val="0"/>
    <w:pPr>
      <w:adjustRightInd w:val="0"/>
      <w:snapToGrid w:val="0"/>
      <w:spacing w:line="300" w:lineRule="auto"/>
      <w:jc w:val="center"/>
      <w:outlineLvl w:val="1"/>
    </w:pPr>
    <w:rPr>
      <w:rFonts w:ascii="仿宋" w:hAnsi="仿宋" w:eastAsia="仿宋" w:cs="仿宋"/>
      <w:b/>
      <w:bCs/>
      <w:color w:val="auto"/>
      <w:sz w:val="24"/>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Body Text Indent 2"/>
    <w:basedOn w:val="1"/>
    <w:qFormat/>
    <w:uiPriority w:val="99"/>
    <w:pPr>
      <w:tabs>
        <w:tab w:val="left" w:pos="5625"/>
      </w:tabs>
      <w:ind w:left="1138" w:leftChars="542"/>
    </w:pPr>
  </w:style>
  <w:style w:type="paragraph" w:styleId="7">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8">
    <w:name w:val="Body Text First Indent"/>
    <w:basedOn w:val="4"/>
    <w:next w:val="9"/>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9">
    <w:name w:val="Body Text First Indent 2"/>
    <w:basedOn w:val="5"/>
    <w:next w:val="1"/>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2 字符"/>
    <w:link w:val="2"/>
    <w:qFormat/>
    <w:uiPriority w:val="0"/>
    <w:rPr>
      <w:rFonts w:ascii="仿宋" w:hAnsi="仿宋" w:eastAsia="仿宋" w:cs="仿宋"/>
      <w:b/>
      <w:bCs/>
      <w:color w:val="auto"/>
      <w:sz w:val="24"/>
      <w:highlight w:val="none"/>
    </w:rPr>
  </w:style>
  <w:style w:type="character" w:customStyle="1" w:styleId="14">
    <w:name w:val="font21"/>
    <w:basedOn w:val="12"/>
    <w:qFormat/>
    <w:uiPriority w:val="0"/>
    <w:rPr>
      <w:rFonts w:hint="eastAsia" w:ascii="仿宋" w:hAnsi="仿宋" w:eastAsia="仿宋" w:cs="仿宋"/>
      <w:color w:val="C00000"/>
      <w:sz w:val="24"/>
      <w:szCs w:val="24"/>
      <w:u w:val="none"/>
    </w:rPr>
  </w:style>
  <w:style w:type="character" w:customStyle="1" w:styleId="15">
    <w:name w:val="font31"/>
    <w:basedOn w:val="12"/>
    <w:qFormat/>
    <w:uiPriority w:val="0"/>
    <w:rPr>
      <w:rFonts w:hint="eastAsia" w:ascii="宋体" w:hAnsi="宋体" w:eastAsia="宋体" w:cs="宋体"/>
      <w:color w:val="000000"/>
      <w:sz w:val="21"/>
      <w:szCs w:val="21"/>
      <w:u w:val="none"/>
    </w:rPr>
  </w:style>
  <w:style w:type="character" w:customStyle="1" w:styleId="16">
    <w:name w:val="font41"/>
    <w:basedOn w:val="12"/>
    <w:qFormat/>
    <w:uiPriority w:val="0"/>
    <w:rPr>
      <w:rFonts w:hint="eastAsia" w:ascii="宋体" w:hAnsi="宋体" w:eastAsia="宋体" w:cs="宋体"/>
      <w:b/>
      <w:bCs/>
      <w:color w:val="000000"/>
      <w:sz w:val="21"/>
      <w:szCs w:val="21"/>
      <w:u w:val="none"/>
    </w:rPr>
  </w:style>
  <w:style w:type="character" w:customStyle="1" w:styleId="17">
    <w:name w:val="font51"/>
    <w:basedOn w:val="12"/>
    <w:qFormat/>
    <w:uiPriority w:val="0"/>
    <w:rPr>
      <w:rFonts w:ascii="宋体" w:hAnsi="宋体" w:eastAsia="宋体" w:cs="宋体"/>
      <w:color w:val="000000"/>
      <w:sz w:val="20"/>
      <w:szCs w:val="20"/>
      <w:u w:val="none"/>
    </w:rPr>
  </w:style>
  <w:style w:type="character" w:customStyle="1" w:styleId="18">
    <w:name w:val="font61"/>
    <w:basedOn w:val="12"/>
    <w:qFormat/>
    <w:uiPriority w:val="0"/>
    <w:rPr>
      <w:rFonts w:hint="default" w:ascii="Arial" w:hAnsi="Arial" w:cs="Arial"/>
      <w:color w:val="000000"/>
      <w:sz w:val="10"/>
      <w:szCs w:val="10"/>
      <w:u w:val="none"/>
    </w:rPr>
  </w:style>
  <w:style w:type="paragraph" w:customStyle="1" w:styleId="19">
    <w:name w:val="正文空2格  1."/>
    <w:basedOn w:val="1"/>
    <w:qFormat/>
    <w:uiPriority w:val="0"/>
    <w:pPr>
      <w:adjustRightInd w:val="0"/>
      <w:spacing w:line="360" w:lineRule="auto"/>
      <w:ind w:firstLine="480" w:firstLineChars="200"/>
    </w:pPr>
    <w:rPr>
      <w:rFonts w:hint="eastAsia" w:eastAsia="仿宋" w:cs="宋体"/>
      <w:sz w:val="28"/>
      <w:szCs w:val="21"/>
    </w:rPr>
  </w:style>
  <w:style w:type="paragraph" w:customStyle="1" w:styleId="2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2599</Words>
  <Characters>2663</Characters>
  <Lines>0</Lines>
  <Paragraphs>0</Paragraphs>
  <TotalTime>1</TotalTime>
  <ScaleCrop>false</ScaleCrop>
  <LinksUpToDate>false</LinksUpToDate>
  <CharactersWithSpaces>2814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2026-05-12T03:13:00Z</dcterms:created>
  <dc:creator>Administrator</dc:creator>
  <cp:lastModifiedBy>陕西笃信招标有限公司</cp:lastModifiedBy>
  <dcterms:modified xsi:type="dcterms:W3CDTF">2026-05-26T09:01:33Z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D61DC2AFDF3C4D1799A3C6152E0048F0_13</vt:lpwstr>
  </property>
</Properties>
</file>