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版本号：ZCXDZB2026-JC-07-00320260731002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ZCXDZB2026-JC-07-003</w:t>
      </w:r>
      <w:r>
        <w:br/>
      </w:r>
      <w:r>
        <w:br/>
      </w:r>
      <w:r>
        <w:br/>
      </w:r>
    </w:p>
    <w:p>
      <w:pPr>
        <w:pStyle w:val="null3"/>
        <w:jc w:val="center"/>
        <w:outlineLvl w:val="2"/>
      </w:pPr>
      <w:r>
        <w:rPr>
          <w:rFonts w:ascii="仿宋_GB2312" w:hAnsi="仿宋_GB2312" w:cs="仿宋_GB2312" w:eastAsia="仿宋_GB2312"/>
          <w:sz w:val="28"/>
          <w:b/>
        </w:rPr>
        <w:t>西安高新第九小学</w:t>
      </w:r>
    </w:p>
    <w:p>
      <w:pPr>
        <w:pStyle w:val="null3"/>
        <w:jc w:val="center"/>
        <w:outlineLvl w:val="2"/>
      </w:pPr>
      <w:r>
        <w:rPr>
          <w:rFonts w:ascii="仿宋_GB2312" w:hAnsi="仿宋_GB2312" w:cs="仿宋_GB2312" w:eastAsia="仿宋_GB2312"/>
          <w:sz w:val="28"/>
          <w:b/>
        </w:rPr>
        <w:t>陕西中诚信达项目管理有限公司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陕西中诚信达项目管理有限公司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西安高新第九小学</w:t>
      </w:r>
      <w:r>
        <w:rPr>
          <w:rFonts w:ascii="仿宋_GB2312" w:hAnsi="仿宋_GB2312" w:cs="仿宋_GB2312" w:eastAsia="仿宋_GB2312"/>
        </w:rPr>
        <w:t>委托，拟对</w:t>
      </w:r>
      <w:r>
        <w:rPr>
          <w:rFonts w:ascii="仿宋_GB2312" w:hAnsi="仿宋_GB2312" w:cs="仿宋_GB2312" w:eastAsia="仿宋_GB2312"/>
        </w:rPr>
        <w:t>教学楼维修改造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ZCXDZB2026-JC-07-003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九小学教学楼维修改造。主要建设内容:对教学楼屋面金属瓦及木龙骨进行隐患整治，更换木龙骨及金属瓦，加固屋面固定结构;对二区大跨度钢结构开展检测、除锈、防腐、刷漆维护，修复起皮、脱落漆面，消除钢结构锈蚀隐患;对校内破损漏水卫生间进行全面维修，修复破损设施、根治渗漏问题;对教学楼渗漏造成的墙面污损、墙皮剥落区域进行翻新修复;对存在沉降隐患的地面进行整改修复。未尽事宜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三个月内已缴存的至少一个月的社会保障资金凭证）；法定代表人直接参加磋商，须提供法定代表人身份证明。</w:t>
      </w:r>
    </w:p>
    <w:p>
      <w:pPr>
        <w:pStyle w:val="null3"/>
      </w:pPr>
      <w:r>
        <w:rPr>
          <w:rFonts w:ascii="仿宋_GB2312" w:hAnsi="仿宋_GB2312" w:cs="仿宋_GB2312" w:eastAsia="仿宋_GB2312"/>
        </w:rPr>
        <w:t>2、企业资质：供应商具备建筑工程施工总承包三级及以上资质；并具有有效的安全生产许可证。</w:t>
      </w:r>
    </w:p>
    <w:p>
      <w:pPr>
        <w:pStyle w:val="null3"/>
      </w:pPr>
      <w:r>
        <w:rPr>
          <w:rFonts w:ascii="仿宋_GB2312" w:hAnsi="仿宋_GB2312" w:cs="仿宋_GB2312" w:eastAsia="仿宋_GB2312"/>
        </w:rPr>
        <w:t>3、项目经理：拟派项目经理须具备建筑工程专业二级及以上注册建造师资格，持有有效安全生产考核合格B证，在本单位注册且无在建工程和不良记录（提供无在建工程和不良记录承诺书）。</w:t>
      </w:r>
    </w:p>
    <w:p>
      <w:pPr>
        <w:pStyle w:val="null3"/>
      </w:pPr>
      <w:r>
        <w:rPr>
          <w:rFonts w:ascii="仿宋_GB2312" w:hAnsi="仿宋_GB2312" w:cs="仿宋_GB2312" w:eastAsia="仿宋_GB2312"/>
        </w:rPr>
        <w:t>4、供应商及项⽬经理的基本信息：供应商及项⽬经理的基本信息在“陕西省住房和城乡建设厅(http://js.shaanxi.gov.cn/)”可查询且合法有效 。</w:t>
      </w:r>
    </w:p>
    <w:p>
      <w:pPr>
        <w:pStyle w:val="null3"/>
      </w:pPr>
      <w:r>
        <w:rPr>
          <w:rFonts w:ascii="仿宋_GB2312" w:hAnsi="仿宋_GB2312" w:cs="仿宋_GB2312" w:eastAsia="仿宋_GB2312"/>
        </w:rPr>
        <w:t>5、信用记录：供应商不得为《信用中国》（网站：www.cre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w.ccgp.gov.cn）列入政府采购严重违法失信行为记录名单（以现场信用记录查询结果为准）。</w:t>
      </w:r>
    </w:p>
    <w:p>
      <w:pPr>
        <w:pStyle w:val="null3"/>
      </w:pPr>
      <w:r>
        <w:rPr>
          <w:rFonts w:ascii="仿宋_GB2312" w:hAnsi="仿宋_GB2312" w:cs="仿宋_GB2312" w:eastAsia="仿宋_GB2312"/>
        </w:rPr>
        <w:t>6、非联合体：本项目不接受联合体磋商，不允许分包。供应商应提供《非联合体不分包磋商响应声明》，视为独立磋商响应，不分包。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西安高新第九小学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西安市长安区定昆池三路5号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029-81113140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陕西中诚信达项目管理有限公司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陕西省西安市高新区锦业路9号西安绿地中心A座11604室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张馨、李燕、李云霞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029-87550623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按国家计委颁布的《招标代理服务收费管理暂行办法》（计价格[2002]1980号）和（发改办价格[2003]857号）的有关规定执行，不足8000元的，按8000元收取。在中标（成交）结果公告发布后，中标单位按照中标（成交）结果公告金额向采购代理机构一次付清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西安高新第九小学</w:t>
      </w:r>
      <w:r>
        <w:rPr>
          <w:rFonts w:ascii="仿宋_GB2312" w:hAnsi="仿宋_GB2312" w:cs="仿宋_GB2312" w:eastAsia="仿宋_GB2312"/>
        </w:rPr>
        <w:t>和</w:t>
      </w:r>
      <w:r>
        <w:rPr>
          <w:rFonts w:ascii="仿宋_GB2312" w:hAnsi="仿宋_GB2312" w:cs="仿宋_GB2312" w:eastAsia="仿宋_GB2312"/>
        </w:rPr>
        <w:t>陕西中诚信达项目管理有限公司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西安高新第九小学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陕西中诚信达项目管理有限公司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西安高新第九小学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陕西中诚信达项目管理有限公司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陕西中诚信达项目管理有限公司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陕西中诚信达项目管理有限公司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陕西中诚信达项目管理有限公司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联系人：张馨、李燕、李云霞</w:t>
      </w:r>
    </w:p>
    <w:p>
      <w:pPr>
        <w:pStyle w:val="null3"/>
      </w:pPr>
      <w:r>
        <w:rPr>
          <w:rFonts w:ascii="仿宋_GB2312" w:hAnsi="仿宋_GB2312" w:cs="仿宋_GB2312" w:eastAsia="仿宋_GB2312"/>
        </w:rPr>
        <w:t>联系电话：029-87550623</w:t>
      </w:r>
    </w:p>
    <w:p>
      <w:pPr>
        <w:pStyle w:val="null3"/>
      </w:pPr>
      <w:r>
        <w:rPr>
          <w:rFonts w:ascii="仿宋_GB2312" w:hAnsi="仿宋_GB2312" w:cs="仿宋_GB2312" w:eastAsia="仿宋_GB2312"/>
        </w:rPr>
        <w:t>地址：陕西省西安市高新区锦业路9号西安绿地中心A座11604室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2,278,000.00</w:t>
      </w:r>
    </w:p>
    <w:p>
      <w:pPr>
        <w:pStyle w:val="null3"/>
      </w:pPr>
      <w:r>
        <w:rPr>
          <w:rFonts w:ascii="仿宋_GB2312" w:hAnsi="仿宋_GB2312" w:cs="仿宋_GB2312" w:eastAsia="仿宋_GB2312"/>
        </w:rPr>
        <w:t>采购包最高限价（元）: 2,278,000.00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校园教学楼整体维修整治工程，包含屋面隐患治理、钢结构防腐修缮、卫生间防水改造、教室地面翻新、墙面及外墙隐患整治等全部施工内容。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2,278,000.00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标的名称：校园教学楼整体维修整治工程，包含屋面隐患治理、钢结构防腐修缮、卫生间防水改造、教室地面翻新、墙面及外墙隐患整治等全部施工内容。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一、工程名称：</w:t>
            </w:r>
          </w:p>
          <w:p>
            <w:pPr>
              <w:pStyle w:val="null3"/>
              <w:ind w:firstLine="420"/>
              <w:jc w:val="both"/>
            </w:pPr>
            <w:r>
              <w:rPr>
                <w:rFonts w:ascii="仿宋_GB2312" w:hAnsi="仿宋_GB2312" w:cs="仿宋_GB2312" w:eastAsia="仿宋_GB2312"/>
                <w:sz w:val="21"/>
              </w:rPr>
              <w:t>教学楼维修改造</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工期：</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rPr>
              <w:t>50个日历天内完成合同内全部工程量的施工内容，并通过验收</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付款方式：</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合同签订后，甲方支付合同总价款</w:t>
            </w:r>
            <w:r>
              <w:rPr>
                <w:rFonts w:ascii="仿宋_GB2312" w:hAnsi="仿宋_GB2312" w:cs="仿宋_GB2312" w:eastAsia="仿宋_GB2312"/>
                <w:sz w:val="21"/>
              </w:rPr>
              <w:t>(扣除安全文明施工措施费、暂列金额)10%作为工程预付款;安全文明施工措施费在开工前一次性全额拨付，专款专用。</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乙方每月</w:t>
            </w:r>
            <w:r>
              <w:rPr>
                <w:rFonts w:ascii="仿宋_GB2312" w:hAnsi="仿宋_GB2312" w:cs="仿宋_GB2312" w:eastAsia="仿宋_GB2312"/>
                <w:sz w:val="21"/>
              </w:rPr>
              <w:t>15日报送上月15日至当月14日完成工作量，经监理及甲方审核后，次月10日前按审定工程量80%支付进度款(同期按比例扣回预付款);进度款累计付至已完审定工程量80%后</w:t>
            </w:r>
            <w:r>
              <w:rPr>
                <w:rFonts w:ascii="仿宋_GB2312" w:hAnsi="仿宋_GB2312" w:cs="仿宋_GB2312" w:eastAsia="仿宋_GB2312"/>
                <w:sz w:val="21"/>
              </w:rPr>
              <w:t>暂停；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结算审核生效、财务决算完成后三个月内，付至结算审定总价的</w:t>
            </w:r>
            <w:r>
              <w:rPr>
                <w:rFonts w:ascii="仿宋_GB2312" w:hAnsi="仿宋_GB2312" w:cs="仿宋_GB2312" w:eastAsia="仿宋_GB2312"/>
                <w:sz w:val="21"/>
              </w:rPr>
              <w:t>100%，不再预留工程质量保证金。</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每次付款前乙方须提供等额增值税发票</w:t>
            </w:r>
            <w:r>
              <w:rPr>
                <w:rFonts w:ascii="仿宋_GB2312" w:hAnsi="仿宋_GB2312" w:cs="仿宋_GB2312" w:eastAsia="仿宋_GB2312"/>
                <w:sz w:val="21"/>
              </w:rPr>
              <w:t>;付至结算款时须提供与决算造价相等的发票，否则甲方有权不予支付。</w:t>
            </w:r>
          </w:p>
          <w:p>
            <w:pPr>
              <w:pStyle w:val="null3"/>
              <w:ind w:firstLine="420"/>
              <w:jc w:val="both"/>
            </w:pPr>
            <w:r>
              <w:rPr>
                <w:rFonts w:ascii="仿宋_GB2312" w:hAnsi="仿宋_GB2312" w:cs="仿宋_GB2312" w:eastAsia="仿宋_GB2312"/>
                <w:sz w:val="21"/>
              </w:rPr>
              <w:t>四、质量保证及服务要求：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工程质量应当达到约定的质量标准，质量标准的评定以国家或行业的质量检验评定标准为依据。因承包人原因工程质量达不到约定的质量标准，承包人承担违约责任。</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质量保修期：本项目工程质量保修严格执行《建设工程质量管理条例》《房屋建筑工程质量保修办法》及陕西省、西安市现行建设工程质量管理相关规定，在正常使用条件下，本维修改造项目法定最低保修期限如下，合同约定保修期不得低于本标准：</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屋面防水、卫生间防水、外墙防渗、墙面防潮等防水防渗工程：保修期</w:t>
            </w:r>
            <w:r>
              <w:rPr>
                <w:rFonts w:ascii="仿宋_GB2312" w:hAnsi="仿宋_GB2312" w:cs="仿宋_GB2312" w:eastAsia="仿宋_GB2312"/>
                <w:sz w:val="21"/>
              </w:rPr>
              <w:t>5年；</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室内外装修工程，含墙面翻新、地面修补、外墙翻新等修缮内容：保修期</w:t>
            </w:r>
            <w:r>
              <w:rPr>
                <w:rFonts w:ascii="仿宋_GB2312" w:hAnsi="仿宋_GB2312" w:cs="仿宋_GB2312" w:eastAsia="仿宋_GB2312"/>
                <w:sz w:val="21"/>
              </w:rPr>
              <w:t xml:space="preserve">2年； </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给排水管道、管线铺设、设备安装工程：保修期</w:t>
            </w:r>
            <w:r>
              <w:rPr>
                <w:rFonts w:ascii="仿宋_GB2312" w:hAnsi="仿宋_GB2312" w:cs="仿宋_GB2312" w:eastAsia="仿宋_GB2312"/>
                <w:sz w:val="21"/>
              </w:rPr>
              <w:t xml:space="preserve">2年；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电气线路、灯具、强弱电改造等电气安装工程：保修期</w:t>
            </w:r>
            <w:r>
              <w:rPr>
                <w:rFonts w:ascii="仿宋_GB2312" w:hAnsi="仿宋_GB2312" w:cs="仿宋_GB2312" w:eastAsia="仿宋_GB2312"/>
                <w:sz w:val="21"/>
              </w:rPr>
              <w:t>2年； 本项目保修期自工程竣工验收合格之日起统一计算，施工单位须全面履行质保期内维修、返修、隐患处置等质量保修责任。</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质保期内应无偿负责所承包工程的维修和替换等工作。超出质保期收取人工及材料成本费用。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服务响应时限</w:t>
            </w:r>
            <w:r>
              <w:rPr>
                <w:rFonts w:ascii="仿宋_GB2312" w:hAnsi="仿宋_GB2312" w:cs="仿宋_GB2312" w:eastAsia="仿宋_GB2312"/>
                <w:sz w:val="21"/>
              </w:rPr>
              <w:t>:7*24小时服务，提供售后服务电话(应具有:固定电话、移动电话、传真)。</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维修工作时间不大于</w:t>
            </w:r>
            <w:r>
              <w:rPr>
                <w:rFonts w:ascii="仿宋_GB2312" w:hAnsi="仿宋_GB2312" w:cs="仿宋_GB2312" w:eastAsia="仿宋_GB2312"/>
                <w:sz w:val="21"/>
              </w:rPr>
              <w:t>24小时，更换工作时间不大于72小时。6.乙方未按上述要求履行保修义务的，甲方有权委托第三方维修，费用从未付工程款中直接扣除，不足部分有权向乙方追偿。</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、编制依据：</w:t>
            </w:r>
          </w:p>
          <w:p>
            <w:pPr>
              <w:pStyle w:val="null3"/>
              <w:ind w:firstLine="420"/>
              <w:jc w:val="both"/>
            </w:pPr>
            <w:r>
              <w:rPr>
                <w:rFonts w:ascii="仿宋_GB2312" w:hAnsi="仿宋_GB2312" w:cs="仿宋_GB2312" w:eastAsia="仿宋_GB2312"/>
                <w:sz w:val="21"/>
              </w:rPr>
              <w:t>1.甲方提供的工程量及工程做法，具体详见附件；</w:t>
            </w:r>
          </w:p>
          <w:p>
            <w:pPr>
              <w:pStyle w:val="null3"/>
              <w:ind w:firstLine="420"/>
              <w:jc w:val="both"/>
            </w:pPr>
            <w:r>
              <w:rPr>
                <w:rFonts w:ascii="仿宋_GB2312" w:hAnsi="仿宋_GB2312" w:cs="仿宋_GB2312" w:eastAsia="仿宋_GB2312"/>
                <w:sz w:val="21"/>
              </w:rPr>
              <w:t>2.《陕西省建设工程工程量清单计算标准》（2025）； 《陕西省房屋建筑与装饰工程基价表》（2025）及其他相关文件；</w:t>
            </w:r>
          </w:p>
          <w:p>
            <w:pPr>
              <w:pStyle w:val="null3"/>
              <w:ind w:firstLine="420"/>
              <w:jc w:val="both"/>
            </w:pPr>
            <w:r>
              <w:rPr>
                <w:rFonts w:ascii="仿宋_GB2312" w:hAnsi="仿宋_GB2312" w:cs="仿宋_GB2312" w:eastAsia="仿宋_GB2312"/>
                <w:sz w:val="21"/>
              </w:rPr>
              <w:t>3.施工现场情况、工程特点、相关国家和陕西省建筑施工规范要求等；</w:t>
            </w:r>
          </w:p>
          <w:p>
            <w:pPr>
              <w:pStyle w:val="null3"/>
              <w:ind w:firstLine="420"/>
              <w:jc w:val="both"/>
            </w:pPr>
            <w:r>
              <w:rPr>
                <w:rFonts w:ascii="仿宋_GB2312" w:hAnsi="仿宋_GB2312" w:cs="仿宋_GB2312" w:eastAsia="仿宋_GB2312"/>
                <w:sz w:val="21"/>
              </w:rPr>
              <w:t>4.本工程采用广联达云计价平台 GCCP7.0（版本：7.5000.23.3）。</w:t>
            </w:r>
          </w:p>
          <w:p>
            <w:pPr>
              <w:pStyle w:val="null3"/>
              <w:ind w:firstLine="420"/>
              <w:jc w:val="both"/>
            </w:pPr>
            <w:r>
              <w:rPr>
                <w:rFonts w:ascii="仿宋_GB2312" w:hAnsi="仿宋_GB2312" w:cs="仿宋_GB2312" w:eastAsia="仿宋_GB2312"/>
                <w:sz w:val="21"/>
              </w:rPr>
              <w:t>六</w:t>
            </w:r>
            <w:r>
              <w:rPr>
                <w:rFonts w:ascii="仿宋_GB2312" w:hAnsi="仿宋_GB2312" w:cs="仿宋_GB2312" w:eastAsia="仿宋_GB2312"/>
                <w:sz w:val="21"/>
              </w:rPr>
              <w:t>、其他需要说明问题：</w:t>
            </w:r>
          </w:p>
          <w:p>
            <w:pPr>
              <w:pStyle w:val="null3"/>
              <w:jc w:val="both"/>
              <w:outlineLvl w:val="3"/>
            </w:pPr>
            <w:r>
              <w:rPr>
                <w:rFonts w:ascii="仿宋_GB2312" w:hAnsi="仿宋_GB2312" w:cs="仿宋_GB2312" w:eastAsia="仿宋_GB2312"/>
                <w:sz w:val="21"/>
                <w:b/>
              </w:rPr>
              <w:t xml:space="preserve">  清单中工程量为暂定工程量，结算时按实调整。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根据中小企业划型标准《工业和信息化部、国家统计局、国家发展和改革委员会、财政部关于印发中小企业划型标准规定的通知》(工信部联企业(2011)300号)规定，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 （3）若磋商文件中相关内容与新政策要求有出入，按照最新要求执行。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3、提供2026年1月至今任意1个月的依法缴纳税收的纳税证明或完税证明（完税证明应有税务机关或代收机关的公章或业务专用章）。依法免税或无须缴纳税收的供应商，应提供相关证明材料。 4、提供提供2026年1月至今已缴存的至少1个月的社会保障资金缴存单据或社保机构开具的社会保险参保缴费情况证明，依法不需要缴纳社会保障资金的单位应提供相关证明材料。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法定代表人授权书（附法定代表人、被授权人身份证复印件及被授权人磋商截止日前三个月内已缴存的至少一个月的社会保障资金凭证）；法定代表人直接参加磋商，须提供法定代表人身份证明。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拟派项目经理须具备建筑工程专业二级及以上注册建造师资格，持有有效安全生产考核合格B证，在本单位注册且无在建工程和不良记录（提供无在建工程和不良记录承诺书）。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供应商及项⽬经理的基本信息</w:t>
            </w:r>
          </w:p>
        </w:tc>
        <w:tc>
          <w:tcPr>
            <w:tcW w:type="dxa" w:w="3322"/>
          </w:tcPr>
          <w:p>
            <w:pPr>
              <w:pStyle w:val="null3"/>
            </w:pPr>
            <w:r>
              <w:rPr>
                <w:rFonts w:ascii="仿宋_GB2312" w:hAnsi="仿宋_GB2312" w:cs="仿宋_GB2312" w:eastAsia="仿宋_GB2312"/>
              </w:rPr>
              <w:t>供应商及项⽬经理的基本信息在“陕西省住房和城乡建设厅(http://js.shaanxi.gov.cn/)”可查询且合法有效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本项目不接受联合体磋商，不允许分包。供应商应提供《非联合体不分包磋商响应声明》，视为独立磋商响应，不分包。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施工组织设计.docx 强制优先采购产品承诺函 响应文件封面 项目管理机构组成表 残疾人福利性单位声明函 报价函 其他资料.docx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按磋商文件要求报价，不得提交选择性报价，且每轮报价不超过采购预算金额及最高限价。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施工组织设计.docx 强制优先采购产品承诺函 响应文件封面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工期及质量保修期</w:t>
            </w:r>
          </w:p>
        </w:tc>
        <w:tc>
          <w:tcPr>
            <w:tcW w:type="dxa" w:w="3322"/>
          </w:tcPr>
          <w:p>
            <w:pPr>
              <w:pStyle w:val="null3"/>
            </w:pPr>
            <w:r>
              <w:rPr>
                <w:rFonts w:ascii="仿宋_GB2312" w:hAnsi="仿宋_GB2312" w:cs="仿宋_GB2312" w:eastAsia="仿宋_GB2312"/>
              </w:rPr>
              <w:t>应满足磋商文件中要求的工期、质量保修期</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 施工组织设计.docx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项目实施方案详细完整、可实施性；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项目部人员配备及劳动力安排计划</w:t>
            </w:r>
          </w:p>
        </w:tc>
        <w:tc>
          <w:tcPr>
            <w:tcW w:type="dxa" w:w="2492"/>
          </w:tcPr>
          <w:p>
            <w:pPr>
              <w:pStyle w:val="null3"/>
            </w:pPr>
            <w:r>
              <w:rPr>
                <w:rFonts w:ascii="仿宋_GB2312" w:hAnsi="仿宋_GB2312" w:cs="仿宋_GB2312" w:eastAsia="仿宋_GB2312"/>
              </w:rPr>
              <w:t>一、评审内容： 项目部人员配备充分、劳动力安排计划及劳务后补人员合理、可行；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w:t>
            </w:r>
          </w:p>
        </w:tc>
        <w:tc>
          <w:tcPr>
            <w:tcW w:type="dxa" w:w="2492"/>
          </w:tcPr>
          <w:p>
            <w:pPr>
              <w:pStyle w:val="null3"/>
            </w:pPr>
            <w:r>
              <w:rPr>
                <w:rFonts w:ascii="仿宋_GB2312" w:hAnsi="仿宋_GB2312" w:cs="仿宋_GB2312" w:eastAsia="仿宋_GB2312"/>
              </w:rPr>
              <w:t>一、评审内容： 技术组织措施措施及环境保护计划方案齐全、合理且切实可行，覆盖全流程文明施工管控、扬尘噪声治理，完全满足采购人；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施工进度计划及工期保障措施</w:t>
            </w:r>
          </w:p>
        </w:tc>
        <w:tc>
          <w:tcPr>
            <w:tcW w:type="dxa" w:w="2492"/>
          </w:tcPr>
          <w:p>
            <w:pPr>
              <w:pStyle w:val="null3"/>
            </w:pPr>
            <w:r>
              <w:rPr>
                <w:rFonts w:ascii="仿宋_GB2312" w:hAnsi="仿宋_GB2312" w:cs="仿宋_GB2312" w:eastAsia="仿宋_GB2312"/>
              </w:rPr>
              <w:t>一、评审内容： 有确切的施工进度横道图，明确总工期节点，列出了常规的人员、物资保障措施等；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针对本项目的临时性工作</w:t>
            </w:r>
          </w:p>
        </w:tc>
        <w:tc>
          <w:tcPr>
            <w:tcW w:type="dxa" w:w="2492"/>
          </w:tcPr>
          <w:p>
            <w:pPr>
              <w:pStyle w:val="null3"/>
            </w:pPr>
            <w:r>
              <w:rPr>
                <w:rFonts w:ascii="仿宋_GB2312" w:hAnsi="仿宋_GB2312" w:cs="仿宋_GB2312" w:eastAsia="仿宋_GB2312"/>
              </w:rPr>
              <w:t>一、评审内容： 包含但不限于施工前置临时协调工作、工序衔接临时补位工作等方案；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阶段性工作及突发事件的应急处理方案</w:t>
            </w:r>
          </w:p>
        </w:tc>
        <w:tc>
          <w:tcPr>
            <w:tcW w:type="dxa" w:w="2492"/>
          </w:tcPr>
          <w:p>
            <w:pPr>
              <w:pStyle w:val="null3"/>
            </w:pPr>
            <w:r>
              <w:rPr>
                <w:rFonts w:ascii="仿宋_GB2312" w:hAnsi="仿宋_GB2312" w:cs="仿宋_GB2312" w:eastAsia="仿宋_GB2312"/>
              </w:rPr>
              <w:t>一、评审内容： 项目的阶段性工作安排及突发事件的应急处理方案，包含不限于极端天气应急处置、高空坠物应急处置、突发火情应急处置等方案；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拟投入本项目的设备、机械、工具等</w:t>
            </w:r>
          </w:p>
        </w:tc>
        <w:tc>
          <w:tcPr>
            <w:tcW w:type="dxa" w:w="2492"/>
          </w:tcPr>
          <w:p>
            <w:pPr>
              <w:pStyle w:val="null3"/>
            </w:pPr>
            <w:r>
              <w:rPr>
                <w:rFonts w:ascii="仿宋_GB2312" w:hAnsi="仿宋_GB2312" w:cs="仿宋_GB2312" w:eastAsia="仿宋_GB2312"/>
              </w:rPr>
              <w:t>一、评审内容： 施工机械配备合理并提供设备来源证明材料，及投入材料环保性达到国家标准；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一、评审内容： 提供的安全作业方案及安全配套措施具体、详细，完全符合并优于采购人安全作业的要求； 二、评分标准： 1.完整性:方案必须全面，对评审内容中的各项要求有详细描述； 2.可实施性:切合本项目实际情况，提出切实可行、合理的方案； 三、赋分标准： 1.每完全满足一个评审标准得2.5分，满分5分； 2.内容粗略、逻辑混乱、描述过于简单的扣1分； 3.内容与项目特点不匹配、凭空编造、逻辑漏洞、出现常识性错误、存在不适用项目实际情况的情形或只有标题没有实质性内容的扣1.5分。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工程质量通病专项防控方案</w:t>
            </w:r>
          </w:p>
        </w:tc>
        <w:tc>
          <w:tcPr>
            <w:tcW w:type="dxa" w:w="2492"/>
          </w:tcPr>
          <w:p>
            <w:pPr>
              <w:pStyle w:val="null3"/>
            </w:pPr>
            <w:r>
              <w:rPr>
                <w:rFonts w:ascii="仿宋_GB2312" w:hAnsi="仿宋_GB2312" w:cs="仿宋_GB2312" w:eastAsia="仿宋_GB2312"/>
              </w:rPr>
              <w:t>一、评审内容： 针对屋面漏水、外墙涂料起皮脱落等校园维修高频质量问题进行专项防控考虑，避免完工后短期内出现二次返修方案； 二、评分标准： 1.完整性:方案必须全面，对评审内容中的各项要求有详细描述； 2.可实施性:切合本项目实际情况，提出切实可行、合理的方案； 三、赋分标准： 1.每完全满足一个评审标准得1.5分，满分3分； 2.内容粗略、逻辑混乱、描述过于简单的扣0.5分； 3.内容与项目特点不匹配、凭空编造、逻辑漏洞、出现常识性错误、存在不适用项目实际情况的情形或只有标题没有实质性内容的扣1分。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既有建筑成品保护方案</w:t>
            </w:r>
          </w:p>
        </w:tc>
        <w:tc>
          <w:tcPr>
            <w:tcW w:type="dxa" w:w="2492"/>
          </w:tcPr>
          <w:p>
            <w:pPr>
              <w:pStyle w:val="null3"/>
            </w:pPr>
            <w:r>
              <w:rPr>
                <w:rFonts w:ascii="仿宋_GB2312" w:hAnsi="仿宋_GB2312" w:cs="仿宋_GB2312" w:eastAsia="仿宋_GB2312"/>
              </w:rPr>
              <w:t>一、评审内容： 针对教学楼内已有的教学设施、门窗、墙面、地面等成品，制定专项保护措施方案； 二、评分标准： 1.完整性:方案必须全面，对评审内容中的各项要求有详细描述； 2.可实施性:切合本项目实际情况，提出切实可行、合理的方案； 三、赋分标准： 1.每完全满足一个评审标准得1.5分，满分3分； 2.内容粗略、逻辑混乱、描述过于简单的扣0.5分； 3.内容与项目特点不匹配、凭空编造、逻辑漏洞、出现常识性错误、存在不适用项目实际情况的情形或只有标题没有实质性内容的扣1分。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建筑垃圾闭环清运处置方案</w:t>
            </w:r>
          </w:p>
        </w:tc>
        <w:tc>
          <w:tcPr>
            <w:tcW w:type="dxa" w:w="2492"/>
          </w:tcPr>
          <w:p>
            <w:pPr>
              <w:pStyle w:val="null3"/>
            </w:pPr>
            <w:r>
              <w:rPr>
                <w:rFonts w:ascii="仿宋_GB2312" w:hAnsi="仿宋_GB2312" w:cs="仿宋_GB2312" w:eastAsia="仿宋_GB2312"/>
              </w:rPr>
              <w:t>一、评审内容： 供应商制定施工垃圾当日分类清运计划，所有建筑垃圾不占用校园消防通道和师生活动区域，清运过程的降尘防护方案； 二、评分标准： 1.完整性:方案必须全面，对评审内容中的各项要求有详细描述； 2.可实施性:切合本项目实际情况，提出切实可行、合理的方案； 三、赋分标准： 1.每完全满足一个评审标准得1.5分，满分3分； 2.内容粗略、逻辑混乱、描述过于简单的扣0.5分； 3.内容与项目特点不匹配、凭空编造、逻辑漏洞、出现常识性错误、存在不适用项目实际情况的情形或只有标题没有实质性内容的扣1分。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施工全过程留痕与资料归档方案</w:t>
            </w:r>
          </w:p>
        </w:tc>
        <w:tc>
          <w:tcPr>
            <w:tcW w:type="dxa" w:w="2492"/>
          </w:tcPr>
          <w:p>
            <w:pPr>
              <w:pStyle w:val="null3"/>
            </w:pPr>
            <w:r>
              <w:rPr>
                <w:rFonts w:ascii="仿宋_GB2312" w:hAnsi="仿宋_GB2312" w:cs="仿宋_GB2312" w:eastAsia="仿宋_GB2312"/>
              </w:rPr>
              <w:t>一、评审内容： 供应商对屋面基层处理、外墙基层施工等隐蔽工程环节全程留有相应资料，完工后同步提交完整的竣工图纸、检测报告等全套归档资料方案； 二、评分标准： 1.完整性:方案必须全面，对评审内容中的各项要求有详细描述； 2.可实施性:切合本项目实际情况，提出切实可行、合理的方案； 三、赋分标准： 1.每完全满足一个评审标准得1.5分，满分3分； 2.内容粗略、逻辑混乱、描述过于简单的扣0.5分； 3.内容与项目特点不匹配、凭空编造、逻辑漏洞、出现常识性错误、存在不适用项目实际情况的情形或只有标题没有实质性内容的扣1分。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售后服务安排</w:t>
            </w:r>
          </w:p>
        </w:tc>
        <w:tc>
          <w:tcPr>
            <w:tcW w:type="dxa" w:w="2492"/>
          </w:tcPr>
          <w:p>
            <w:pPr>
              <w:pStyle w:val="null3"/>
            </w:pPr>
            <w:r>
              <w:rPr>
                <w:rFonts w:ascii="仿宋_GB2312" w:hAnsi="仿宋_GB2312" w:cs="仿宋_GB2312" w:eastAsia="仿宋_GB2312"/>
              </w:rPr>
              <w:t>一、评审内容： 针对本项目售后响应时效机制，后期延续服务、应急兜底预案等； 二、评分标准： 1.完整性:方案必须全面，对评审内容中的各项要求有详细描述； 2.可实施性:切合本项目实际情况，提出切实可行、合理的方案； 三、赋分标准： 1.每完全满足一个评审标准得1.5分，满分3分； 2.内容粗略、逻辑混乱、描述过于简单的扣0.5分； 3.内容与项目特点不匹配、凭空编造、逻辑漏洞、出现常识性错误、存在不适用项目实际情况的情形或只有标题没有实质性内容的扣1分。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新技术、新产品、新工艺、新材料应用，提供证明材料得3分，未提供不得分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供应商2023年7月1日（以合同签订日期为准）同类项目业绩；每提供1份计3分，最高得12分。业绩证明（以合同为准，须在磋商响应文件中附合同复印件加盖单位公章）弄虚作假者，取消其成交资格。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2、有效最低报价为基准价得30分。 3、按（磋商基准价/有效最终磋商报价）×30的公式计算报价得分。 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