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4C3EF">
      <w:pPr>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（本合同为参考模板，具体以甲乙双方签订合同为准）</w:t>
      </w:r>
    </w:p>
    <w:p w14:paraId="1F72C587">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p>
    <w:p w14:paraId="7B6C899D">
      <w:pPr>
        <w:pStyle w:val="3"/>
        <w:rPr>
          <w:rFonts w:hint="eastAsia" w:ascii="宋体" w:hAnsi="宋体" w:eastAsia="宋体" w:cs="宋体"/>
          <w:bCs/>
          <w:color w:val="auto"/>
          <w:sz w:val="24"/>
          <w:szCs w:val="24"/>
          <w:highlight w:val="none"/>
        </w:rPr>
      </w:pPr>
    </w:p>
    <w:p w14:paraId="7832BF47">
      <w:pPr>
        <w:pStyle w:val="3"/>
        <w:rPr>
          <w:rFonts w:hint="eastAsia" w:ascii="宋体" w:hAnsi="宋体" w:eastAsia="宋体" w:cs="宋体"/>
          <w:bCs/>
          <w:color w:val="auto"/>
          <w:sz w:val="24"/>
          <w:szCs w:val="24"/>
          <w:highlight w:val="none"/>
        </w:rPr>
      </w:pPr>
    </w:p>
    <w:p w14:paraId="03159CCB">
      <w:pPr>
        <w:pStyle w:val="3"/>
        <w:rPr>
          <w:rFonts w:hint="eastAsia" w:ascii="宋体" w:hAnsi="宋体" w:eastAsia="宋体" w:cs="宋体"/>
          <w:bCs/>
          <w:color w:val="auto"/>
          <w:sz w:val="24"/>
          <w:szCs w:val="24"/>
          <w:highlight w:val="none"/>
        </w:rPr>
      </w:pPr>
    </w:p>
    <w:p w14:paraId="28EA997E">
      <w:pPr>
        <w:pStyle w:val="3"/>
        <w:rPr>
          <w:rFonts w:hint="eastAsia" w:ascii="宋体" w:hAnsi="宋体" w:eastAsia="宋体" w:cs="宋体"/>
          <w:bCs/>
          <w:color w:val="auto"/>
          <w:sz w:val="24"/>
          <w:szCs w:val="24"/>
          <w:highlight w:val="none"/>
        </w:rPr>
      </w:pPr>
    </w:p>
    <w:p w14:paraId="655915EE">
      <w:pPr>
        <w:pStyle w:val="3"/>
        <w:rPr>
          <w:rFonts w:hint="eastAsia" w:ascii="宋体" w:hAnsi="宋体" w:eastAsia="宋体" w:cs="宋体"/>
          <w:bCs/>
          <w:color w:val="auto"/>
          <w:sz w:val="24"/>
          <w:szCs w:val="24"/>
          <w:highlight w:val="none"/>
        </w:rPr>
      </w:pPr>
    </w:p>
    <w:p w14:paraId="18865049">
      <w:pPr>
        <w:pStyle w:val="3"/>
        <w:rPr>
          <w:rFonts w:hint="eastAsia" w:ascii="宋体" w:hAnsi="宋体" w:eastAsia="宋体" w:cs="宋体"/>
          <w:bCs/>
          <w:color w:val="auto"/>
          <w:sz w:val="24"/>
          <w:szCs w:val="24"/>
          <w:highlight w:val="none"/>
        </w:rPr>
      </w:pPr>
    </w:p>
    <w:p w14:paraId="345C74EB">
      <w:pPr>
        <w:pStyle w:val="3"/>
        <w:rPr>
          <w:rFonts w:hint="eastAsia" w:ascii="宋体" w:hAnsi="宋体" w:eastAsia="宋体" w:cs="宋体"/>
          <w:bCs/>
          <w:color w:val="auto"/>
          <w:sz w:val="24"/>
          <w:szCs w:val="24"/>
          <w:highlight w:val="none"/>
        </w:rPr>
      </w:pPr>
      <w:bookmarkStart w:id="0" w:name="_GoBack"/>
      <w:bookmarkEnd w:id="0"/>
    </w:p>
    <w:p w14:paraId="06F67F45">
      <w:pPr>
        <w:widowControl/>
        <w:jc w:val="center"/>
        <w:rPr>
          <w:rFonts w:hint="eastAsia" w:ascii="宋体" w:hAnsi="宋体" w:eastAsia="宋体" w:cs="宋体"/>
          <w:b/>
          <w:bCs/>
          <w:kern w:val="0"/>
          <w:sz w:val="52"/>
          <w:szCs w:val="52"/>
        </w:rPr>
      </w:pPr>
    </w:p>
    <w:p w14:paraId="41764A1B">
      <w:pPr>
        <w:pStyle w:val="7"/>
        <w:spacing w:line="360" w:lineRule="auto"/>
        <w:jc w:val="center"/>
        <w:outlineLvl w:val="2"/>
        <w:rPr>
          <w:rFonts w:hint="eastAsia" w:ascii="宋体" w:hAnsi="宋体" w:eastAsia="宋体" w:cs="宋体"/>
          <w:b/>
          <w:sz w:val="28"/>
          <w:lang w:val="en-US" w:eastAsia="zh-CN"/>
        </w:rPr>
      </w:pPr>
      <w:r>
        <w:rPr>
          <w:rFonts w:hint="eastAsia" w:ascii="宋体" w:hAnsi="宋体" w:eastAsia="宋体" w:cs="宋体"/>
          <w:b/>
          <w:sz w:val="52"/>
          <w:szCs w:val="52"/>
          <w:lang w:val="en-US" w:eastAsia="zh-CN"/>
        </w:rPr>
        <w:t xml:space="preserve">  工程</w:t>
      </w:r>
    </w:p>
    <w:p w14:paraId="14076D13">
      <w:pPr>
        <w:widowControl/>
        <w:jc w:val="center"/>
        <w:rPr>
          <w:rFonts w:hint="eastAsia" w:ascii="宋体" w:hAnsi="宋体" w:eastAsia="宋体" w:cs="宋体"/>
          <w:b/>
          <w:bCs/>
          <w:kern w:val="0"/>
          <w:sz w:val="52"/>
          <w:szCs w:val="52"/>
        </w:rPr>
      </w:pPr>
    </w:p>
    <w:p w14:paraId="53034F60">
      <w:pPr>
        <w:keepNext/>
        <w:keepLines/>
        <w:numPr>
          <w:ilvl w:val="3"/>
          <w:numId w:val="0"/>
        </w:numPr>
        <w:spacing w:before="280" w:after="290" w:line="372" w:lineRule="auto"/>
        <w:outlineLvl w:val="3"/>
        <w:rPr>
          <w:rFonts w:hint="eastAsia" w:ascii="宋体" w:hAnsi="宋体" w:eastAsia="宋体" w:cs="宋体"/>
          <w:b/>
          <w:sz w:val="28"/>
        </w:rPr>
      </w:pPr>
    </w:p>
    <w:p w14:paraId="5F8E9003">
      <w:pPr>
        <w:adjustRightInd w:val="0"/>
        <w:snapToGrid w:val="0"/>
        <w:spacing w:before="60" w:after="60"/>
        <w:jc w:val="center"/>
        <w:rPr>
          <w:rFonts w:hint="eastAsia" w:ascii="宋体" w:hAnsi="宋体" w:eastAsia="宋体" w:cs="宋体"/>
          <w:b/>
        </w:rPr>
      </w:pPr>
      <w:r>
        <w:rPr>
          <w:rFonts w:hint="eastAsia" w:ascii="宋体" w:hAnsi="宋体" w:eastAsia="宋体" w:cs="宋体"/>
          <w:b/>
          <w:bCs/>
          <w:sz w:val="72"/>
          <w:szCs w:val="72"/>
        </w:rPr>
        <w:t>施工合同</w:t>
      </w:r>
    </w:p>
    <w:p w14:paraId="370D32B2">
      <w:pPr>
        <w:keepNext/>
        <w:keepLines/>
        <w:numPr>
          <w:ilvl w:val="255"/>
          <w:numId w:val="0"/>
        </w:numPr>
        <w:spacing w:before="280" w:after="290" w:line="372" w:lineRule="auto"/>
        <w:outlineLvl w:val="3"/>
        <w:rPr>
          <w:rFonts w:hint="eastAsia" w:ascii="宋体" w:hAnsi="宋体" w:eastAsia="宋体" w:cs="宋体"/>
          <w:b/>
          <w:sz w:val="28"/>
        </w:rPr>
      </w:pPr>
    </w:p>
    <w:p w14:paraId="233D351F">
      <w:pPr>
        <w:numPr>
          <w:ilvl w:val="255"/>
          <w:numId w:val="0"/>
        </w:numPr>
        <w:ind w:firstLine="480"/>
        <w:rPr>
          <w:rFonts w:hint="eastAsia" w:ascii="宋体" w:hAnsi="宋体" w:eastAsia="宋体" w:cs="宋体"/>
        </w:rPr>
      </w:pPr>
    </w:p>
    <w:p w14:paraId="08063253">
      <w:pPr>
        <w:ind w:firstLine="480"/>
        <w:rPr>
          <w:rFonts w:hint="eastAsia" w:ascii="宋体" w:hAnsi="宋体" w:eastAsia="宋体" w:cs="宋体"/>
        </w:rPr>
      </w:pPr>
    </w:p>
    <w:p w14:paraId="03541D54">
      <w:pPr>
        <w:ind w:firstLine="1065" w:firstLineChars="333"/>
        <w:rPr>
          <w:rFonts w:hint="eastAsia" w:ascii="宋体" w:hAnsi="宋体" w:eastAsia="宋体" w:cs="宋体"/>
          <w:sz w:val="32"/>
          <w:szCs w:val="32"/>
        </w:rPr>
      </w:pPr>
      <w:r>
        <w:rPr>
          <w:rFonts w:hint="eastAsia" w:ascii="宋体" w:hAnsi="宋体" w:eastAsia="宋体" w:cs="宋体"/>
          <w:sz w:val="32"/>
          <w:szCs w:val="32"/>
        </w:rPr>
        <w:t>甲方：</w:t>
      </w:r>
    </w:p>
    <w:p w14:paraId="39F5CB39">
      <w:pPr>
        <w:ind w:firstLine="1065" w:firstLineChars="333"/>
        <w:rPr>
          <w:rFonts w:hint="eastAsia" w:ascii="宋体" w:hAnsi="宋体" w:eastAsia="宋体" w:cs="宋体"/>
          <w:sz w:val="32"/>
          <w:szCs w:val="32"/>
        </w:rPr>
      </w:pPr>
      <w:r>
        <w:rPr>
          <w:rFonts w:hint="eastAsia" w:ascii="宋体" w:hAnsi="宋体" w:eastAsia="宋体" w:cs="宋体"/>
          <w:sz w:val="32"/>
          <w:szCs w:val="32"/>
        </w:rPr>
        <w:t>乙方：</w:t>
      </w:r>
    </w:p>
    <w:p w14:paraId="037517A1">
      <w:pPr>
        <w:ind w:firstLine="640"/>
        <w:rPr>
          <w:rFonts w:hint="eastAsia" w:ascii="宋体" w:hAnsi="宋体" w:eastAsia="宋体" w:cs="宋体"/>
          <w:sz w:val="32"/>
          <w:szCs w:val="32"/>
        </w:rPr>
      </w:pPr>
      <w:r>
        <w:rPr>
          <w:rFonts w:hint="eastAsia" w:ascii="宋体" w:hAnsi="宋体" w:eastAsia="宋体" w:cs="宋体"/>
          <w:sz w:val="32"/>
          <w:szCs w:val="32"/>
        </w:rPr>
        <w:t xml:space="preserve">   </w:t>
      </w:r>
    </w:p>
    <w:p w14:paraId="4D35F0B8">
      <w:pPr>
        <w:ind w:firstLine="640"/>
        <w:rPr>
          <w:rFonts w:hint="eastAsia" w:ascii="宋体" w:hAnsi="宋体" w:eastAsia="宋体" w:cs="宋体"/>
          <w:sz w:val="32"/>
          <w:szCs w:val="32"/>
        </w:rPr>
      </w:pPr>
    </w:p>
    <w:p w14:paraId="0D510C20">
      <w:pPr>
        <w:jc w:val="center"/>
        <w:rPr>
          <w:rFonts w:hint="eastAsia" w:ascii="宋体" w:hAnsi="宋体" w:eastAsia="宋体" w:cs="宋体"/>
          <w:sz w:val="32"/>
          <w:szCs w:val="32"/>
        </w:rPr>
      </w:pPr>
      <w:r>
        <w:rPr>
          <w:rFonts w:hint="eastAsia" w:ascii="宋体" w:hAnsi="宋体" w:eastAsia="宋体" w:cs="宋体"/>
          <w:sz w:val="32"/>
          <w:szCs w:val="32"/>
        </w:rPr>
        <w:t>签订日期：     年   月   日</w:t>
      </w:r>
    </w:p>
    <w:p w14:paraId="24A316B6">
      <w:pPr>
        <w:pStyle w:val="3"/>
        <w:rPr>
          <w:rFonts w:hint="eastAsia" w:ascii="宋体" w:hAnsi="宋体" w:eastAsia="宋体" w:cs="宋体"/>
          <w:bCs/>
          <w:color w:val="auto"/>
          <w:sz w:val="24"/>
          <w:szCs w:val="24"/>
          <w:highlight w:val="none"/>
        </w:rPr>
      </w:pPr>
    </w:p>
    <w:p w14:paraId="4E33A4D5">
      <w:pPr>
        <w:pStyle w:val="3"/>
        <w:rPr>
          <w:rFonts w:hint="eastAsia" w:ascii="宋体" w:hAnsi="宋体" w:eastAsia="宋体" w:cs="宋体"/>
          <w:bCs/>
          <w:color w:val="auto"/>
          <w:sz w:val="24"/>
          <w:szCs w:val="24"/>
          <w:highlight w:val="none"/>
        </w:rPr>
      </w:pPr>
    </w:p>
    <w:p w14:paraId="10A0DD51">
      <w:pPr>
        <w:pStyle w:val="3"/>
        <w:rPr>
          <w:rFonts w:hint="eastAsia" w:ascii="宋体" w:hAnsi="宋体" w:eastAsia="宋体" w:cs="宋体"/>
          <w:bCs/>
          <w:color w:val="auto"/>
          <w:sz w:val="24"/>
          <w:szCs w:val="24"/>
          <w:highlight w:val="none"/>
        </w:rPr>
      </w:pPr>
    </w:p>
    <w:p w14:paraId="494D0F4E">
      <w:pPr>
        <w:pStyle w:val="3"/>
        <w:rPr>
          <w:rFonts w:hint="eastAsia" w:ascii="宋体" w:hAnsi="宋体" w:eastAsia="宋体" w:cs="宋体"/>
          <w:bCs/>
          <w:color w:val="auto"/>
          <w:sz w:val="24"/>
          <w:szCs w:val="24"/>
          <w:highlight w:val="none"/>
        </w:rPr>
      </w:pPr>
    </w:p>
    <w:p w14:paraId="2862D069">
      <w:pPr>
        <w:pStyle w:val="3"/>
        <w:rPr>
          <w:rFonts w:hint="eastAsia" w:ascii="宋体" w:hAnsi="宋体" w:eastAsia="宋体" w:cs="宋体"/>
          <w:bCs/>
          <w:color w:val="auto"/>
          <w:sz w:val="24"/>
          <w:szCs w:val="24"/>
          <w:highlight w:val="none"/>
        </w:rPr>
      </w:pPr>
    </w:p>
    <w:p w14:paraId="3169D22E">
      <w:pPr>
        <w:pStyle w:val="3"/>
        <w:rPr>
          <w:rFonts w:hint="eastAsia" w:ascii="宋体" w:hAnsi="宋体" w:eastAsia="宋体" w:cs="宋体"/>
          <w:bCs/>
          <w:color w:val="auto"/>
          <w:sz w:val="24"/>
          <w:szCs w:val="24"/>
          <w:highlight w:val="none"/>
        </w:rPr>
      </w:pPr>
    </w:p>
    <w:p w14:paraId="09FAE791">
      <w:pPr>
        <w:pStyle w:val="3"/>
        <w:rPr>
          <w:rFonts w:hint="eastAsia" w:ascii="宋体" w:hAnsi="宋体" w:eastAsia="宋体" w:cs="宋体"/>
          <w:bCs/>
          <w:color w:val="auto"/>
          <w:sz w:val="24"/>
          <w:szCs w:val="24"/>
          <w:highlight w:val="none"/>
        </w:rPr>
      </w:pPr>
    </w:p>
    <w:p w14:paraId="4B4CF5E3">
      <w:pPr>
        <w:pStyle w:val="3"/>
        <w:rPr>
          <w:rFonts w:hint="eastAsia" w:ascii="宋体" w:hAnsi="宋体" w:eastAsia="宋体" w:cs="宋体"/>
          <w:bCs/>
          <w:color w:val="auto"/>
          <w:sz w:val="24"/>
          <w:szCs w:val="24"/>
          <w:highlight w:val="none"/>
        </w:rPr>
      </w:pPr>
    </w:p>
    <w:p w14:paraId="6A1A8F72">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甲方（</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rPr>
        <w:t>）：</w:t>
      </w:r>
    </w:p>
    <w:p w14:paraId="09A66A35">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 xml:space="preserve">人）： </w:t>
      </w:r>
    </w:p>
    <w:p w14:paraId="7828DB5C">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根据《中华人民共和国民法典》、《中华人民共和国</w:t>
      </w:r>
      <w:r>
        <w:rPr>
          <w:rFonts w:hint="eastAsia" w:ascii="宋体" w:hAnsi="宋体" w:eastAsia="宋体" w:cs="宋体"/>
          <w:bCs/>
          <w:color w:val="auto"/>
          <w:sz w:val="24"/>
          <w:szCs w:val="24"/>
          <w:highlight w:val="none"/>
          <w:lang w:eastAsia="zh-CN"/>
        </w:rPr>
        <w:t>政府采购</w:t>
      </w:r>
      <w:r>
        <w:rPr>
          <w:rFonts w:hint="eastAsia" w:ascii="宋体" w:hAnsi="宋体" w:eastAsia="宋体" w:cs="宋体"/>
          <w:bCs/>
          <w:color w:val="auto"/>
          <w:sz w:val="24"/>
          <w:szCs w:val="24"/>
          <w:highlight w:val="none"/>
        </w:rPr>
        <w:t>法》及其他有关法律、法规，遵循平等、自愿、公平和诚信的原则，双方就下述工程委托与相关服务事项协商一致，订立本合同。</w:t>
      </w:r>
    </w:p>
    <w:p w14:paraId="4D0013F1">
      <w:pPr>
        <w:autoSpaceDE w:val="0"/>
        <w:autoSpaceDN w:val="0"/>
        <w:adjustRightInd w:val="0"/>
        <w:spacing w:line="48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一、合同价款</w:t>
      </w:r>
    </w:p>
    <w:p w14:paraId="30573D1A">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w:t>
      </w:r>
      <w:r>
        <w:rPr>
          <w:rFonts w:hint="eastAsia" w:ascii="宋体" w:hAnsi="宋体" w:eastAsia="宋体" w:cs="宋体"/>
          <w:bCs/>
          <w:color w:val="auto"/>
          <w:sz w:val="24"/>
          <w:szCs w:val="24"/>
          <w:highlight w:val="none"/>
          <w:lang w:eastAsia="zh-CN"/>
        </w:rPr>
        <w:t>大写：</w:t>
      </w:r>
      <w:r>
        <w:rPr>
          <w:rFonts w:hint="eastAsia" w:ascii="宋体" w:hAnsi="宋体" w:eastAsia="宋体" w:cs="宋体"/>
          <w:bCs/>
          <w:color w:val="auto"/>
          <w:sz w:val="24"/>
          <w:szCs w:val="24"/>
          <w:highlight w:val="none"/>
          <w:lang w:val="en-US" w:eastAsia="zh-CN"/>
        </w:rPr>
        <w:t xml:space="preserve">            （￥：     元）</w:t>
      </w:r>
      <w:r>
        <w:rPr>
          <w:rFonts w:hint="eastAsia" w:ascii="宋体" w:hAnsi="宋体" w:eastAsia="宋体" w:cs="宋体"/>
          <w:bCs/>
          <w:color w:val="auto"/>
          <w:sz w:val="24"/>
          <w:szCs w:val="24"/>
          <w:highlight w:val="none"/>
        </w:rPr>
        <w:t>。</w:t>
      </w:r>
    </w:p>
    <w:p w14:paraId="3AA82C1B">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（二）合同总价包括：</w:t>
      </w:r>
      <w:r>
        <w:rPr>
          <w:rFonts w:hint="eastAsia" w:ascii="宋体" w:hAnsi="宋体" w:eastAsia="宋体" w:cs="宋体"/>
          <w:bCs/>
          <w:color w:val="auto"/>
          <w:sz w:val="24"/>
          <w:szCs w:val="24"/>
          <w:highlight w:val="none"/>
          <w:lang w:eastAsia="zh-CN"/>
        </w:rPr>
        <w:t>图纸及工程量清单的全部内容</w:t>
      </w:r>
      <w:r>
        <w:rPr>
          <w:rFonts w:hint="eastAsia" w:ascii="宋体" w:hAnsi="宋体" w:eastAsia="宋体" w:cs="宋体"/>
          <w:bCs/>
          <w:color w:val="auto"/>
          <w:sz w:val="24"/>
          <w:szCs w:val="24"/>
          <w:highlight w:val="none"/>
        </w:rPr>
        <w:t>，不受市场价变化或实际工作量变化的影响。合同价格为含税价。</w:t>
      </w:r>
    </w:p>
    <w:p w14:paraId="3DA2450B">
      <w:pPr>
        <w:autoSpaceDE w:val="0"/>
        <w:autoSpaceDN w:val="0"/>
        <w:adjustRightInd w:val="0"/>
        <w:spacing w:line="48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二、结算方式</w:t>
      </w:r>
    </w:p>
    <w:p w14:paraId="17D3C3B8">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合同签订后，甲方支付合同总价款(扣除安全文明施工措施费、暂列金额)10%作为工程预付款;安全文明施工措施费在开工前一次性全额拨付，专款专用</w:t>
      </w:r>
      <w:r>
        <w:rPr>
          <w:rFonts w:hint="eastAsia" w:ascii="宋体" w:hAnsi="宋体" w:eastAsia="宋体" w:cs="宋体"/>
          <w:b w:val="0"/>
          <w:bCs/>
          <w:color w:val="auto"/>
          <w:sz w:val="24"/>
          <w:szCs w:val="24"/>
          <w:highlight w:val="none"/>
          <w:lang w:eastAsia="zh-CN"/>
        </w:rPr>
        <w:t>。</w:t>
      </w:r>
    </w:p>
    <w:p w14:paraId="494E056C">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乙方每月15日报送上月15日至当月14日完成工作量，经监理及甲方审核后，次月10日前按审定工程量80%支付进度款(同期按比例扣回预付款);进度款累计付至已完审定工程量80%后</w:t>
      </w:r>
      <w:r>
        <w:rPr>
          <w:rFonts w:hint="eastAsia" w:ascii="宋体" w:hAnsi="宋体" w:eastAsia="宋体" w:cs="宋体"/>
          <w:b w:val="0"/>
          <w:bCs/>
          <w:color w:val="auto"/>
          <w:sz w:val="24"/>
          <w:szCs w:val="24"/>
          <w:highlight w:val="none"/>
          <w:lang w:val="en-US" w:eastAsia="zh-CN"/>
        </w:rPr>
        <w:t>暂停；</w:t>
      </w:r>
    </w:p>
    <w:p w14:paraId="626B729F">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3.结算审核生效、财务决算完成后三个月内，付至结算审定总价的100%，不再预留工程质量保证金。</w:t>
      </w:r>
    </w:p>
    <w:p w14:paraId="5C2B5801">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每次付款前乙方须提供等额增值税发票;付至结算款时须提供与决算造价相等的发票，否则甲方有权不予支付。</w:t>
      </w:r>
    </w:p>
    <w:p w14:paraId="249B4D84">
      <w:pPr>
        <w:autoSpaceDE w:val="0"/>
        <w:autoSpaceDN w:val="0"/>
        <w:adjustRightInd w:val="0"/>
        <w:spacing w:line="48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三、实施地点及工期：</w:t>
      </w:r>
    </w:p>
    <w:p w14:paraId="5387CAA6">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（一）实施地点：甲方指定地点。</w:t>
      </w:r>
    </w:p>
    <w:p w14:paraId="7ACE8259">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（二）工期：</w:t>
      </w:r>
      <w:r>
        <w:rPr>
          <w:rFonts w:hint="eastAsia" w:ascii="宋体" w:hAnsi="宋体" w:eastAsia="宋体" w:cs="宋体"/>
          <w:bCs/>
          <w:color w:val="auto"/>
          <w:sz w:val="24"/>
          <w:szCs w:val="24"/>
          <w:highlight w:val="none"/>
          <w:lang w:val="en-US" w:eastAsia="zh-CN"/>
        </w:rPr>
        <w:t xml:space="preserve">  </w:t>
      </w:r>
    </w:p>
    <w:p w14:paraId="7D824220">
      <w:pPr>
        <w:autoSpaceDE w:val="0"/>
        <w:autoSpaceDN w:val="0"/>
        <w:adjustRightInd w:val="0"/>
        <w:spacing w:line="480" w:lineRule="auto"/>
        <w:ind w:firstLine="472" w:firstLineChars="196"/>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四、质量保证</w:t>
      </w:r>
    </w:p>
    <w:p w14:paraId="28133D40">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一</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工程质量应当达到约定的质量标准，质量标准的评定以国家或行业的质量检验评定标准为依据。因承包人原因工程质量达不到约定的质量标准，承包人承担违约责任。</w:t>
      </w:r>
    </w:p>
    <w:p w14:paraId="680DCBCF">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二</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 xml:space="preserve">质量保修期：本项目工程质量保修严格执行《建设工程质量管理条例》《房屋建筑工程质量保修办法》及陕西省、西安市现行建设工程质量管理相关规定，在正常使用条件下，本维修改造项目法定最低保修期限如下，合同约定保修期不得低于本标准： </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屋面防水、卫生间防水、外墙防渗、墙面防潮等防水防渗工程：保修期5年；</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室内外装修工程，含墙面翻新、地面修补、外墙翻新等修缮内容：保修期2年；</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 xml:space="preserve">给排水管道、管线铺设、设备安装工程：保修期2年； </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 xml:space="preserve"> 电气线路、灯具、强弱电改造等电气安装工程：保修期2年； 本项目保修期自工程竣工验收合格之日起统一计算，施工单位须全面履行质保期内维修、返修、隐患处置等质量保修责任。</w:t>
      </w:r>
    </w:p>
    <w:p w14:paraId="52972D86">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质保期内应无偿负责所承包工程的维修和替换等工作。超出质保期收取人工及材料成本费用。</w:t>
      </w:r>
    </w:p>
    <w:p w14:paraId="61485784">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四</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服务响应时限:7*24小时服务，提供售后服务电话(应具有:固定电话、移动电话、传真)。</w:t>
      </w:r>
    </w:p>
    <w:p w14:paraId="3FC8A4EB">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五</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维修工作时间不大于24小时，更换工作时间不大于72小时。6.乙方未按上述要求履行保修义务的，甲方有权委托第三方维修，费用从未付工程款中直接扣除，不足部分有权向乙方追偿。</w:t>
      </w:r>
    </w:p>
    <w:p w14:paraId="4553096F">
      <w:pPr>
        <w:spacing w:line="480" w:lineRule="auto"/>
        <w:ind w:firstLine="600" w:firstLineChars="24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五、双方责任</w:t>
      </w:r>
    </w:p>
    <w:p w14:paraId="7EC1C57A">
      <w:pPr>
        <w:spacing w:line="48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（一）甲方责任：</w:t>
      </w:r>
    </w:p>
    <w:p w14:paraId="1EE12AE7">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1、甲方负责施工场地的提供，排除施工障碍的协调。</w:t>
      </w:r>
    </w:p>
    <w:p w14:paraId="732A0CA4">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2、组织设计、设计变更及现场签证，工程结算的审定等工作。</w:t>
      </w:r>
    </w:p>
    <w:p w14:paraId="730F1B47">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3、对工程进度、质量进行监督检查。</w:t>
      </w:r>
    </w:p>
    <w:p w14:paraId="48B9F51B">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4、组织有关单位对工程进行竣工验收。</w:t>
      </w:r>
    </w:p>
    <w:p w14:paraId="7030FDB5">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5、按时支付工程款。</w:t>
      </w:r>
    </w:p>
    <w:p w14:paraId="1D9683A6">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（二） 乙方责任：</w:t>
      </w:r>
    </w:p>
    <w:p w14:paraId="41543A4A">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1、负责办理完成项目使用审批手续，负责工程安全文明施工、承担一切风险，满足甲方工程的需要。保证甲方正式投入使用，再无其他费用发生。</w:t>
      </w:r>
    </w:p>
    <w:p w14:paraId="1057EA01">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4D06471">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BD34B4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7A6023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5、隐蔽工程在覆盖前必须经甲方代表或现场监理代表验收签章后，方可进行下一道工序。</w:t>
      </w:r>
    </w:p>
    <w:p w14:paraId="714384DF">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494BF10">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7、采取有效的安全保障措施，确保施工安全，包括悬挂警示标牌、装设围栏、配备安全人员等，并承担事故的全部费用和责任。</w:t>
      </w:r>
    </w:p>
    <w:p w14:paraId="5079D394">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8、工程竣工后提供竣工验收技术资料及竣工图</w:t>
      </w:r>
      <w:r>
        <w:rPr>
          <w:rFonts w:hint="eastAsia" w:ascii="宋体" w:hAnsi="宋体" w:eastAsia="宋体" w:cs="宋体"/>
          <w:color w:val="auto"/>
          <w:sz w:val="24"/>
          <w:szCs w:val="24"/>
          <w:highlight w:val="none"/>
          <w:u w:val="single"/>
        </w:rPr>
        <w:t>肆</w:t>
      </w:r>
      <w:r>
        <w:rPr>
          <w:rFonts w:hint="eastAsia" w:ascii="宋体" w:hAnsi="宋体" w:eastAsia="宋体" w:cs="宋体"/>
          <w:color w:val="auto"/>
          <w:sz w:val="24"/>
          <w:szCs w:val="24"/>
          <w:highlight w:val="none"/>
        </w:rPr>
        <w:t>套，办理工程竣工结算手续，参加工程竣工验收。</w:t>
      </w:r>
    </w:p>
    <w:p w14:paraId="409ECCA7">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9、已完工的项目，在交工前乙方应负责保管，清理现场达到建筑物无污染，现场无建筑垃圾。</w:t>
      </w:r>
    </w:p>
    <w:p w14:paraId="7ED72E3C">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10、本工程不得转包。</w:t>
      </w:r>
    </w:p>
    <w:p w14:paraId="673C02F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11、乙方应在设备运行过程中，对安全隐患进行全面的不定期检查与维护，并对不按安全规程操作的施工单位及时制止，并报甲方进行处理。</w:t>
      </w:r>
    </w:p>
    <w:p w14:paraId="41495DD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12、乙方不能按合同规定的工期竣工的，应向甲方支付违约金，每逾期一日，支付合同总价款万分之二的违约金，造成甲方损失的，还应赔偿甲方损失。</w:t>
      </w:r>
    </w:p>
    <w:p w14:paraId="0B7B8FFF">
      <w:pPr>
        <w:autoSpaceDE w:val="0"/>
        <w:autoSpaceDN w:val="0"/>
        <w:adjustRightInd w:val="0"/>
        <w:spacing w:line="480" w:lineRule="auto"/>
        <w:ind w:firstLine="472" w:firstLineChars="196"/>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CN"/>
        </w:rPr>
        <w:t>违约责任</w:t>
      </w:r>
    </w:p>
    <w:p w14:paraId="18F54EBD">
      <w:pPr>
        <w:autoSpaceDE w:val="0"/>
        <w:autoSpaceDN w:val="0"/>
        <w:adjustRightInd w:val="0"/>
        <w:spacing w:line="48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承包方不得将本合同的全部或部分以任何形式转分给第三人，否则发包方有权解除合同并要求承包方承担本合同总额10%的违约金。</w:t>
      </w:r>
    </w:p>
    <w:p w14:paraId="046E6EE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承包方逾期完工的，每逾期一日，发包方有权按日以本合同总额的【1%】收取违约金。逾期达到【15】日（含）的，发包方有权单方解除合同，并要求承包方承担本合同总额【20%】的违约金。以上款项发包方有权在应付款项中直接扣除。</w:t>
      </w:r>
    </w:p>
    <w:p w14:paraId="1DA7395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0E181EA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793BD57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160FB1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549484AE">
      <w:pPr>
        <w:spacing w:line="360" w:lineRule="auto"/>
        <w:ind w:firstLine="663" w:firstLineChars="300"/>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bCs/>
          <w:sz w:val="22"/>
          <w:szCs w:val="22"/>
          <w:lang w:val="en-US" w:eastAsia="zh-CN"/>
        </w:rPr>
        <w:t>七</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color w:val="auto"/>
          <w:sz w:val="24"/>
          <w:szCs w:val="24"/>
          <w:highlight w:val="none"/>
        </w:rPr>
        <w:t>双方权利及义务</w:t>
      </w:r>
    </w:p>
    <w:p w14:paraId="7C78FDDE">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1.甲乙双方必须遵守本合同并执行合同中的各项规定，保证本合同的正常履行。</w:t>
      </w:r>
    </w:p>
    <w:p w14:paraId="1FF4F805">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2.本合同签订后甲乙双方不得单方终止合同，如乙方违约，应退还预付款，并赔偿给甲方实际造成的损失。</w:t>
      </w:r>
    </w:p>
    <w:p w14:paraId="7CA4C526">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3.如因乙方存在以下行为，甲方有权终止合同，依法向乙方进行经济索赔，并报请政府采购监督管理机关进行相应的行政处罚。</w:t>
      </w:r>
    </w:p>
    <w:p w14:paraId="0DCBB2F3">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 相应资质被取消；</w:t>
      </w:r>
    </w:p>
    <w:p w14:paraId="75D5ABD0">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 存在弄虚作假、传递虚假信息等违法违规行为；</w:t>
      </w:r>
    </w:p>
    <w:p w14:paraId="23A48B68">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 基础设施及人员不能满足需要，提出后拒不整改；</w:t>
      </w:r>
    </w:p>
    <w:p w14:paraId="4F181F3B">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 网络舆情或媒体报道存在不规范操作行为；</w:t>
      </w:r>
    </w:p>
    <w:p w14:paraId="2907F21C">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⑤ 未全面履行合同义务或者发生违约。</w:t>
      </w:r>
    </w:p>
    <w:p w14:paraId="596858AB">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4.本合同未经双方同意，任何一方不得以任何形式公开本合同及附件内容，以确保双方的商业机密。</w:t>
      </w:r>
    </w:p>
    <w:p w14:paraId="4A91B45E">
      <w:pPr>
        <w:spacing w:line="360" w:lineRule="auto"/>
        <w:ind w:firstLine="631" w:firstLineChars="263"/>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val="0"/>
          <w:bCs/>
          <w:color w:val="auto"/>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2CEC49">
      <w:pPr>
        <w:spacing w:line="360" w:lineRule="auto"/>
        <w:ind w:firstLine="634" w:firstLineChars="263"/>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、组成合同的文件</w:t>
      </w:r>
    </w:p>
    <w:p w14:paraId="3D4A789E">
      <w:pPr>
        <w:spacing w:line="48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1．组成本合同的文件包括：</w:t>
      </w:r>
    </w:p>
    <w:p w14:paraId="7C44724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(1)本合同书</w:t>
      </w:r>
    </w:p>
    <w:p w14:paraId="6989BFA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w:t>
      </w:r>
    </w:p>
    <w:p w14:paraId="49B9ABE4">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及其附件</w:t>
      </w:r>
    </w:p>
    <w:p w14:paraId="489B1B7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投标报价</w:t>
      </w:r>
      <w:r>
        <w:rPr>
          <w:rFonts w:hint="eastAsia" w:ascii="宋体" w:hAnsi="宋体" w:eastAsia="宋体" w:cs="宋体"/>
          <w:color w:val="auto"/>
          <w:sz w:val="24"/>
          <w:szCs w:val="24"/>
          <w:highlight w:val="none"/>
        </w:rPr>
        <w:t>清单表</w:t>
      </w:r>
    </w:p>
    <w:p w14:paraId="7BF960D2">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2．双方有关工程的洽商、变更等书面协议或文件、补充协议书均视为本合同的组成部分。</w:t>
      </w:r>
    </w:p>
    <w:p w14:paraId="58A38F65">
      <w:pPr>
        <w:autoSpaceDE w:val="0"/>
        <w:autoSpaceDN w:val="0"/>
        <w:adjustRightInd w:val="0"/>
        <w:spacing w:line="480" w:lineRule="auto"/>
        <w:ind w:firstLine="472" w:firstLineChars="196"/>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val="zh-CN"/>
        </w:rPr>
        <w:t>、验收</w:t>
      </w:r>
    </w:p>
    <w:p w14:paraId="45820DD4">
      <w:pPr>
        <w:autoSpaceDE w:val="0"/>
        <w:autoSpaceDN w:val="0"/>
        <w:adjustRightInd w:val="0"/>
        <w:spacing w:line="480"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zh-CN"/>
        </w:rPr>
        <w:t>主材到现场后，由甲方对其进行验收，确认材料的产地、规格、数量。</w:t>
      </w:r>
    </w:p>
    <w:p w14:paraId="5300D4F8">
      <w:pPr>
        <w:spacing w:line="480"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（二）</w:t>
      </w:r>
      <w:r>
        <w:rPr>
          <w:rFonts w:hint="eastAsia" w:ascii="宋体" w:hAnsi="宋体" w:eastAsia="宋体" w:cs="宋体"/>
          <w:color w:val="auto"/>
          <w:sz w:val="24"/>
          <w:szCs w:val="24"/>
          <w:highlight w:val="none"/>
          <w:lang w:val="zh-CN"/>
        </w:rPr>
        <w:t>乙方工程完工后，进行自检，合格后准备验收文件，并书面通知甲方。</w:t>
      </w:r>
    </w:p>
    <w:p w14:paraId="088E1D7B">
      <w:pPr>
        <w:spacing w:line="480"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val="zh-CN"/>
        </w:rPr>
        <w:t>甲方确认乙方的自检内容，验收合格作为工程的最终认可。</w:t>
      </w:r>
    </w:p>
    <w:p w14:paraId="7AA7D803">
      <w:pPr>
        <w:spacing w:line="480"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验收依据：</w:t>
      </w:r>
    </w:p>
    <w:p w14:paraId="69D2DEFF">
      <w:pPr>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合同、</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文件及承诺。</w:t>
      </w:r>
    </w:p>
    <w:p w14:paraId="5B5D9C4D">
      <w:pPr>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国家相关</w:t>
      </w:r>
      <w:r>
        <w:rPr>
          <w:rFonts w:hint="eastAsia" w:ascii="宋体" w:hAnsi="宋体" w:eastAsia="宋体" w:cs="宋体"/>
          <w:color w:val="auto"/>
          <w:sz w:val="24"/>
          <w:szCs w:val="24"/>
          <w:highlight w:val="none"/>
        </w:rPr>
        <w:t>标准、规范及有关技术文件</w:t>
      </w:r>
      <w:r>
        <w:rPr>
          <w:rFonts w:hint="eastAsia" w:ascii="宋体" w:hAnsi="宋体" w:eastAsia="宋体" w:cs="宋体"/>
          <w:color w:val="auto"/>
          <w:sz w:val="24"/>
          <w:szCs w:val="24"/>
          <w:highlight w:val="none"/>
          <w:lang w:val="zh-CN"/>
        </w:rPr>
        <w:t>。</w:t>
      </w:r>
    </w:p>
    <w:p w14:paraId="37EAC74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、争议的解决方式</w:t>
      </w:r>
    </w:p>
    <w:p w14:paraId="121949C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合同执行过程中如发生争议，双方应及时协商解决，协商不成， 双方均可向项目所在地人民法院起诉。</w:t>
      </w:r>
    </w:p>
    <w:p w14:paraId="6A80F883">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十一</w:t>
      </w:r>
      <w:r>
        <w:rPr>
          <w:rFonts w:hint="eastAsia" w:ascii="宋体" w:hAnsi="宋体" w:eastAsia="宋体" w:cs="宋体"/>
          <w:b/>
          <w:color w:val="auto"/>
          <w:sz w:val="24"/>
          <w:szCs w:val="24"/>
          <w:highlight w:val="none"/>
        </w:rPr>
        <w:t>、其他</w:t>
      </w:r>
    </w:p>
    <w:p w14:paraId="7D000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本合同未定事宜，双方可根据具体情况结合有关规定另行签订补充协议，补充协议与本合同具有同等法律效力。</w:t>
      </w:r>
    </w:p>
    <w:p w14:paraId="229A430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、附则</w:t>
      </w:r>
    </w:p>
    <w:p w14:paraId="4C6B6C8F">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（一）本合同一式份，正本</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份，甲、乙方各执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份，甲方执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w:t>
      </w:r>
    </w:p>
    <w:p w14:paraId="458C44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（二）合同经双方盖章后生效，各条款执行完毕后终止。</w:t>
      </w:r>
    </w:p>
    <w:p w14:paraId="0279A1BB">
      <w:pPr>
        <w:pStyle w:val="6"/>
        <w:rPr>
          <w:rFonts w:hint="eastAsia" w:ascii="宋体" w:hAnsi="宋体" w:eastAsia="宋体" w:cs="宋体"/>
          <w:color w:val="auto"/>
          <w:sz w:val="24"/>
          <w:szCs w:val="24"/>
          <w:highlight w:val="none"/>
        </w:rPr>
      </w:pPr>
    </w:p>
    <w:p w14:paraId="0FC0DD4C">
      <w:pPr>
        <w:pStyle w:val="6"/>
        <w:rPr>
          <w:rFonts w:hint="eastAsia" w:ascii="宋体" w:hAnsi="宋体" w:eastAsia="宋体" w:cs="宋体"/>
          <w:color w:val="auto"/>
          <w:sz w:val="24"/>
          <w:szCs w:val="24"/>
          <w:highlight w:val="none"/>
        </w:rPr>
      </w:pPr>
    </w:p>
    <w:tbl>
      <w:tblPr>
        <w:tblStyle w:val="4"/>
        <w:tblW w:w="8403" w:type="dxa"/>
        <w:jc w:val="center"/>
        <w:tblLayout w:type="fixed"/>
        <w:tblCellMar>
          <w:top w:w="0" w:type="dxa"/>
          <w:left w:w="108" w:type="dxa"/>
          <w:bottom w:w="0" w:type="dxa"/>
          <w:right w:w="108" w:type="dxa"/>
        </w:tblCellMar>
      </w:tblPr>
      <w:tblGrid>
        <w:gridCol w:w="4201"/>
        <w:gridCol w:w="4202"/>
      </w:tblGrid>
      <w:tr w14:paraId="733B5C6E">
        <w:tblPrEx>
          <w:tblCellMar>
            <w:top w:w="0" w:type="dxa"/>
            <w:left w:w="108" w:type="dxa"/>
            <w:bottom w:w="0" w:type="dxa"/>
            <w:right w:w="108" w:type="dxa"/>
          </w:tblCellMar>
        </w:tblPrEx>
        <w:trPr>
          <w:trHeight w:val="567" w:hRule="exact"/>
          <w:jc w:val="center"/>
        </w:trPr>
        <w:tc>
          <w:tcPr>
            <w:tcW w:w="4201" w:type="dxa"/>
            <w:noWrap/>
            <w:vAlign w:val="center"/>
          </w:tcPr>
          <w:p w14:paraId="3EF8695D">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w:t>
            </w:r>
          </w:p>
        </w:tc>
        <w:tc>
          <w:tcPr>
            <w:tcW w:w="4202" w:type="dxa"/>
            <w:noWrap/>
            <w:vAlign w:val="center"/>
          </w:tcPr>
          <w:p w14:paraId="26670371">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w:t>
            </w:r>
          </w:p>
        </w:tc>
      </w:tr>
      <w:tr w14:paraId="00E1EEEC">
        <w:tblPrEx>
          <w:tblCellMar>
            <w:top w:w="0" w:type="dxa"/>
            <w:left w:w="108" w:type="dxa"/>
            <w:bottom w:w="0" w:type="dxa"/>
            <w:right w:w="108" w:type="dxa"/>
          </w:tblCellMar>
        </w:tblPrEx>
        <w:trPr>
          <w:trHeight w:val="567" w:hRule="exact"/>
          <w:jc w:val="center"/>
        </w:trPr>
        <w:tc>
          <w:tcPr>
            <w:tcW w:w="4201" w:type="dxa"/>
            <w:noWrap/>
            <w:vAlign w:val="center"/>
          </w:tcPr>
          <w:p w14:paraId="0A3C4850">
            <w:pPr>
              <w:autoSpaceDE w:val="0"/>
              <w:autoSpaceDN w:val="0"/>
              <w:adjustRightInd w:val="0"/>
              <w:spacing w:line="480" w:lineRule="auto"/>
              <w:ind w:firstLine="700" w:firstLineChars="35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c>
          <w:tcPr>
            <w:tcW w:w="4202" w:type="dxa"/>
            <w:noWrap/>
            <w:vAlign w:val="center"/>
          </w:tcPr>
          <w:p w14:paraId="31A95B27">
            <w:pPr>
              <w:autoSpaceDE w:val="0"/>
              <w:autoSpaceDN w:val="0"/>
              <w:adjustRightInd w:val="0"/>
              <w:spacing w:line="480" w:lineRule="auto"/>
              <w:ind w:firstLine="800" w:firstLineChars="4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r>
      <w:tr w14:paraId="31430C9A">
        <w:tblPrEx>
          <w:tblCellMar>
            <w:top w:w="0" w:type="dxa"/>
            <w:left w:w="108" w:type="dxa"/>
            <w:bottom w:w="0" w:type="dxa"/>
            <w:right w:w="108" w:type="dxa"/>
          </w:tblCellMar>
        </w:tblPrEx>
        <w:trPr>
          <w:trHeight w:val="567" w:hRule="exact"/>
          <w:jc w:val="center"/>
        </w:trPr>
        <w:tc>
          <w:tcPr>
            <w:tcW w:w="4201" w:type="dxa"/>
            <w:noWrap/>
            <w:vAlign w:val="center"/>
          </w:tcPr>
          <w:p w14:paraId="4BE5A282">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ign w:val="center"/>
          </w:tcPr>
          <w:p w14:paraId="0869F68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36B0DB08">
        <w:tblPrEx>
          <w:tblCellMar>
            <w:top w:w="0" w:type="dxa"/>
            <w:left w:w="108" w:type="dxa"/>
            <w:bottom w:w="0" w:type="dxa"/>
            <w:right w:w="108" w:type="dxa"/>
          </w:tblCellMar>
        </w:tblPrEx>
        <w:trPr>
          <w:trHeight w:val="567" w:hRule="exact"/>
          <w:jc w:val="center"/>
        </w:trPr>
        <w:tc>
          <w:tcPr>
            <w:tcW w:w="4201" w:type="dxa"/>
            <w:noWrap/>
            <w:vAlign w:val="center"/>
          </w:tcPr>
          <w:p w14:paraId="40B50F35">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c>
          <w:tcPr>
            <w:tcW w:w="4202" w:type="dxa"/>
            <w:noWrap/>
            <w:vAlign w:val="center"/>
          </w:tcPr>
          <w:p w14:paraId="30C5A075">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r>
      <w:tr w14:paraId="603041DC">
        <w:tblPrEx>
          <w:tblCellMar>
            <w:top w:w="0" w:type="dxa"/>
            <w:left w:w="108" w:type="dxa"/>
            <w:bottom w:w="0" w:type="dxa"/>
            <w:right w:w="108" w:type="dxa"/>
          </w:tblCellMar>
        </w:tblPrEx>
        <w:trPr>
          <w:trHeight w:val="567" w:hRule="exact"/>
          <w:jc w:val="center"/>
        </w:trPr>
        <w:tc>
          <w:tcPr>
            <w:tcW w:w="4201" w:type="dxa"/>
            <w:noWrap/>
            <w:vAlign w:val="center"/>
          </w:tcPr>
          <w:p w14:paraId="17C5E83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ign w:val="center"/>
          </w:tcPr>
          <w:p w14:paraId="598C75D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1522EFB2">
        <w:tblPrEx>
          <w:tblCellMar>
            <w:top w:w="0" w:type="dxa"/>
            <w:left w:w="108" w:type="dxa"/>
            <w:bottom w:w="0" w:type="dxa"/>
            <w:right w:w="108" w:type="dxa"/>
          </w:tblCellMar>
        </w:tblPrEx>
        <w:trPr>
          <w:trHeight w:val="567" w:hRule="exact"/>
          <w:jc w:val="center"/>
        </w:trPr>
        <w:tc>
          <w:tcPr>
            <w:tcW w:w="4201" w:type="dxa"/>
            <w:noWrap/>
            <w:vAlign w:val="center"/>
          </w:tcPr>
          <w:p w14:paraId="37E90BEA">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ign w:val="center"/>
          </w:tcPr>
          <w:p w14:paraId="6C28EE32">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4FA121B6">
        <w:tblPrEx>
          <w:tblCellMar>
            <w:top w:w="0" w:type="dxa"/>
            <w:left w:w="108" w:type="dxa"/>
            <w:bottom w:w="0" w:type="dxa"/>
            <w:right w:w="108" w:type="dxa"/>
          </w:tblCellMar>
        </w:tblPrEx>
        <w:trPr>
          <w:trHeight w:val="567" w:hRule="exact"/>
          <w:jc w:val="center"/>
        </w:trPr>
        <w:tc>
          <w:tcPr>
            <w:tcW w:w="4201" w:type="dxa"/>
            <w:noWrap/>
            <w:vAlign w:val="center"/>
          </w:tcPr>
          <w:p w14:paraId="0CD7CDFB">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ign w:val="center"/>
          </w:tcPr>
          <w:p w14:paraId="0DA9844C">
            <w:pPr>
              <w:autoSpaceDE w:val="0"/>
              <w:autoSpaceDN w:val="0"/>
              <w:adjustRightInd w:val="0"/>
              <w:spacing w:line="480" w:lineRule="auto"/>
              <w:ind w:left="60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04763CC6">
        <w:tblPrEx>
          <w:tblCellMar>
            <w:top w:w="0" w:type="dxa"/>
            <w:left w:w="108" w:type="dxa"/>
            <w:bottom w:w="0" w:type="dxa"/>
            <w:right w:w="108" w:type="dxa"/>
          </w:tblCellMar>
        </w:tblPrEx>
        <w:trPr>
          <w:trHeight w:val="567" w:hRule="exact"/>
          <w:jc w:val="center"/>
        </w:trPr>
        <w:tc>
          <w:tcPr>
            <w:tcW w:w="4201" w:type="dxa"/>
            <w:noWrap/>
            <w:vAlign w:val="center"/>
          </w:tcPr>
          <w:p w14:paraId="015397CA">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ign w:val="center"/>
          </w:tcPr>
          <w:p w14:paraId="64DBB44F">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E0D72B9">
        <w:tblPrEx>
          <w:tblCellMar>
            <w:top w:w="0" w:type="dxa"/>
            <w:left w:w="108" w:type="dxa"/>
            <w:bottom w:w="0" w:type="dxa"/>
            <w:right w:w="108" w:type="dxa"/>
          </w:tblCellMar>
        </w:tblPrEx>
        <w:trPr>
          <w:trHeight w:val="567" w:hRule="exact"/>
          <w:jc w:val="center"/>
        </w:trPr>
        <w:tc>
          <w:tcPr>
            <w:tcW w:w="4201" w:type="dxa"/>
            <w:noWrap/>
            <w:vAlign w:val="center"/>
          </w:tcPr>
          <w:p w14:paraId="26A5D8D8">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ign w:val="center"/>
          </w:tcPr>
          <w:p w14:paraId="2D023731">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7D05D9A4">
        <w:tblPrEx>
          <w:tblCellMar>
            <w:top w:w="0" w:type="dxa"/>
            <w:left w:w="108" w:type="dxa"/>
            <w:bottom w:w="0" w:type="dxa"/>
            <w:right w:w="108" w:type="dxa"/>
          </w:tblCellMar>
        </w:tblPrEx>
        <w:trPr>
          <w:trHeight w:val="567" w:hRule="exact"/>
          <w:jc w:val="center"/>
        </w:trPr>
        <w:tc>
          <w:tcPr>
            <w:tcW w:w="4201" w:type="dxa"/>
            <w:noWrap/>
            <w:vAlign w:val="center"/>
          </w:tcPr>
          <w:p w14:paraId="49677088">
            <w:pPr>
              <w:autoSpaceDE w:val="0"/>
              <w:autoSpaceDN w:val="0"/>
              <w:adjustRightInd w:val="0"/>
              <w:spacing w:line="480" w:lineRule="auto"/>
              <w:rPr>
                <w:rFonts w:hint="eastAsia" w:ascii="宋体" w:hAnsi="宋体" w:eastAsia="宋体" w:cs="宋体"/>
                <w:color w:val="auto"/>
                <w:spacing w:val="-20"/>
                <w:kern w:val="0"/>
                <w:sz w:val="24"/>
                <w:szCs w:val="24"/>
                <w:highlight w:val="none"/>
                <w:lang w:eastAsia="zh-CN"/>
              </w:rPr>
            </w:pPr>
            <w:r>
              <w:rPr>
                <w:rFonts w:hint="eastAsia" w:ascii="宋体" w:hAnsi="宋体" w:eastAsia="宋体" w:cs="宋体"/>
                <w:color w:val="auto"/>
                <w:spacing w:val="-20"/>
                <w:kern w:val="0"/>
                <w:sz w:val="24"/>
                <w:szCs w:val="24"/>
                <w:highlight w:val="none"/>
              </w:rPr>
              <w:t>日期</w:t>
            </w:r>
            <w:r>
              <w:rPr>
                <w:rFonts w:hint="eastAsia" w:ascii="宋体" w:hAnsi="宋体" w:eastAsia="宋体" w:cs="宋体"/>
                <w:color w:val="auto"/>
                <w:spacing w:val="-20"/>
                <w:kern w:val="0"/>
                <w:sz w:val="24"/>
                <w:szCs w:val="24"/>
                <w:highlight w:val="none"/>
                <w:lang w:eastAsia="zh-CN"/>
              </w:rPr>
              <w:t>：</w:t>
            </w:r>
          </w:p>
        </w:tc>
        <w:tc>
          <w:tcPr>
            <w:tcW w:w="4202" w:type="dxa"/>
            <w:noWrap/>
            <w:vAlign w:val="center"/>
          </w:tcPr>
          <w:p w14:paraId="7C7B954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4F7673AB">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52B7B"/>
    <w:rsid w:val="0B734ACE"/>
    <w:rsid w:val="10CD1330"/>
    <w:rsid w:val="231F5A1C"/>
    <w:rsid w:val="2F907ACD"/>
    <w:rsid w:val="2FFD186F"/>
    <w:rsid w:val="5167040A"/>
    <w:rsid w:val="5CB52B7B"/>
    <w:rsid w:val="63A177AC"/>
    <w:rsid w:val="6424218B"/>
    <w:rsid w:val="6B39476E"/>
    <w:rsid w:val="6D5811BC"/>
    <w:rsid w:val="7F3D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qFormat/>
    <w:uiPriority w:val="99"/>
    <w:pPr>
      <w:ind w:firstLine="420" w:firstLineChars="100"/>
    </w:pPr>
    <w:rPr>
      <w:rFonts w:ascii="宋体"/>
    </w:rPr>
  </w:style>
  <w:style w:type="paragraph" w:styleId="6">
    <w:name w:val="List Paragraph"/>
    <w:basedOn w:val="1"/>
    <w:qFormat/>
    <w:uiPriority w:val="34"/>
    <w:pPr>
      <w:ind w:firstLine="420" w:firstLineChars="200"/>
    </w:pPr>
    <w:rPr>
      <w:rFonts w:ascii="Calibri" w:hAnsi="Calibri"/>
      <w:kern w:val="2"/>
      <w:sz w:val="21"/>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3967</Words>
  <Characters>4022</Characters>
  <Lines>0</Lines>
  <Paragraphs>0</Paragraphs>
  <TotalTime>0</TotalTime>
  <ScaleCrop>false</ScaleCrop>
  <LinksUpToDate>false</LinksUpToDate>
  <CharactersWithSpaces>4073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2026-07-09T08:19:00Z</dcterms:created>
  <dc:creator>华夏国际-招标部</dc:creator>
  <cp:lastModifiedBy>满心欢喜</cp:lastModifiedBy>
  <dcterms:modified xsi:type="dcterms:W3CDTF">2026-07-24T09:05:02Z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F54AD25D1C784BFF981B04F12C0BDD87_11</vt:lpwstr>
  </property>
  <property fmtid="{D5CDD505-2E9C-101B-9397-08002B2CF9AE}" pid="4" name="KSOTemplateDocerSaveRecord">
    <vt:lpwstr>eyJoZGlkIjoiYzVjMGE1YjBiYmQyNmEzYWYxNjg5ZWI1ZDc2MGE4YWUiLCJ1c2VySWQiOiI1Njg2OTcxOTQifQ==</vt:lpwstr>
  </property>
</Properties>
</file>