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版本号：ZXGC-2026CG-0320260601001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城固县土地征收成片开发方案编制项目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ZXGC-2026CG-03</w:t>
      </w:r>
      <w:r>
        <w:br/>
      </w:r>
      <w:r>
        <w:br/>
      </w:r>
      <w:r>
        <w:br/>
      </w:r>
    </w:p>
    <w:p>
      <w:pPr>
        <w:pStyle w:val="null3"/>
        <w:jc w:val="center"/>
        <w:outlineLvl w:val="2"/>
      </w:pPr>
      <w:r>
        <w:rPr>
          <w:rFonts w:ascii="仿宋_GB2312" w:hAnsi="仿宋_GB2312" w:cs="仿宋_GB2312" w:eastAsia="仿宋_GB2312"/>
          <w:sz w:val="28"/>
          <w:b/>
        </w:rPr>
        <w:t>城固县自然资源局</w:t>
      </w:r>
    </w:p>
    <w:p>
      <w:pPr>
        <w:pStyle w:val="null3"/>
        <w:jc w:val="center"/>
        <w:outlineLvl w:val="2"/>
      </w:pPr>
      <w:r>
        <w:rPr>
          <w:rFonts w:ascii="仿宋_GB2312" w:hAnsi="仿宋_GB2312" w:cs="仿宋_GB2312" w:eastAsia="仿宋_GB2312"/>
          <w:sz w:val="28"/>
          <w:b/>
        </w:rPr>
        <w:t>陕西众欣共创工程项目管理有限公司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陕西众欣共创工程项目管理有限公司</w:t>
      </w:r>
      <w:r>
        <w:rPr>
          <w:rFonts w:ascii="仿宋_GB2312" w:hAnsi="仿宋_GB2312" w:cs="仿宋_GB2312" w:eastAsia="仿宋_GB2312"/>
        </w:rPr>
        <w:t>（以下简称“代理机构”）受</w:t>
      </w:r>
      <w:r>
        <w:rPr>
          <w:rFonts w:ascii="仿宋_GB2312" w:hAnsi="仿宋_GB2312" w:cs="仿宋_GB2312" w:eastAsia="仿宋_GB2312"/>
        </w:rPr>
        <w:t>城固县自然资源局</w:t>
      </w:r>
      <w:r>
        <w:rPr>
          <w:rFonts w:ascii="仿宋_GB2312" w:hAnsi="仿宋_GB2312" w:cs="仿宋_GB2312" w:eastAsia="仿宋_GB2312"/>
        </w:rPr>
        <w:t>委托，拟对</w:t>
      </w:r>
      <w:r>
        <w:rPr>
          <w:rFonts w:ascii="仿宋_GB2312" w:hAnsi="仿宋_GB2312" w:cs="仿宋_GB2312" w:eastAsia="仿宋_GB2312"/>
        </w:rPr>
        <w:t>城固县土地征收成片开发方案编制项目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ZXGC-2026CG-03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城固县土地征收成片开发方案编制项目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陕西省自然厅下发文件要求，综合分析本县国民经济与社会发展计划、产业发展需求、基础设施建设计划、土地市场供需等因素，结合国土空间规划，合理确定成片开发范围及成片开发征收区域的规模，统筹编制方案、提供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采购包1（城固县土地征收成片开发方案编制项目）：属于专门面向中小企业采购。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1、营业执照等主体资格证明文件：供应商须为独立承担民事责任能力的法人或其他组织或自然人。其中企业法人应提供有效的统一社会 信用代码的营业执照，事业法人应提供事业单位法人证、组织机构代码证等证明文件，其他组织应提 供相应的合法证明文件，自然人提供身份证明文件</w:t>
      </w:r>
    </w:p>
    <w:p>
      <w:pPr>
        <w:pStyle w:val="null3"/>
      </w:pPr>
      <w:r>
        <w:rPr>
          <w:rFonts w:ascii="仿宋_GB2312" w:hAnsi="仿宋_GB2312" w:cs="仿宋_GB2312" w:eastAsia="仿宋_GB2312"/>
        </w:rPr>
        <w:t>2、法定代表人授权委托书：法定代表人授权书及被授权人身份证。（法定代表人直接磋商只须提交其身份证原件）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4、资格证书：供应商应当具备主管部门颁发的测绘乙级及以上资质及土地规划乙级及以上资质</w:t>
      </w:r>
    </w:p>
    <w:p>
      <w:pPr>
        <w:pStyle w:val="null3"/>
      </w:pPr>
      <w:r>
        <w:rPr>
          <w:rFonts w:ascii="仿宋_GB2312" w:hAnsi="仿宋_GB2312" w:cs="仿宋_GB2312" w:eastAsia="仿宋_GB2312"/>
        </w:rPr>
        <w:t>5、中小企业声明函：本项目专门面向中小企业，供应商须提供《中小企业声明函》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城固县西环二路中段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7233433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陕西众欣共创工程项目管理有限公司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世纪城北门外向西100米商铺信达财务隔壁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0916-2531009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开户名称：陕西众欣共创工程项目管理有限公司</w:t>
            </w:r>
          </w:p>
          <w:p>
            <w:pPr>
              <w:pStyle w:val="null3"/>
            </w:pPr>
            <w:r>
              <w:rPr>
                <w:rFonts w:ascii="仿宋_GB2312" w:hAnsi="仿宋_GB2312" w:cs="仿宋_GB2312" w:eastAsia="仿宋_GB2312"/>
              </w:rPr>
              <w:t>开户银行：招商银行西安未央路支行</w:t>
            </w:r>
          </w:p>
          <w:p>
            <w:pPr>
              <w:pStyle w:val="null3"/>
            </w:pPr>
            <w:r>
              <w:rPr>
                <w:rFonts w:ascii="仿宋_GB2312" w:hAnsi="仿宋_GB2312" w:cs="仿宋_GB2312" w:eastAsia="仿宋_GB2312"/>
              </w:rPr>
              <w:t>银行账号：129910647910701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代理服务费收费标准：招标代理服务费按中华人民共和国国家发展计划委员会颁发的计价格[2002]1980号文《招标代理服务收费管理暂行办法》、国家发改委[2003]857号文及发改价格[2011]534号件中规定的“ 服务招标 ”计费标准计取。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城固县自然资源局</w:t>
      </w:r>
      <w:r>
        <w:rPr>
          <w:rFonts w:ascii="仿宋_GB2312" w:hAnsi="仿宋_GB2312" w:cs="仿宋_GB2312" w:eastAsia="仿宋_GB2312"/>
        </w:rPr>
        <w:t>和</w:t>
      </w:r>
      <w:r>
        <w:rPr>
          <w:rFonts w:ascii="仿宋_GB2312" w:hAnsi="仿宋_GB2312" w:cs="仿宋_GB2312" w:eastAsia="仿宋_GB2312"/>
        </w:rPr>
        <w:t>陕西众欣共创工程项目管理有限公司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陕西众欣共创工程项目管理有限公司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陕西众欣共创工程项目管理有限公司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联系人：吕婷</w:t>
      </w:r>
    </w:p>
    <w:p>
      <w:pPr>
        <w:pStyle w:val="null3"/>
      </w:pPr>
      <w:r>
        <w:rPr>
          <w:rFonts w:ascii="仿宋_GB2312" w:hAnsi="仿宋_GB2312" w:cs="仿宋_GB2312" w:eastAsia="仿宋_GB2312"/>
        </w:rPr>
        <w:t>联系电话：0916-2531009</w:t>
      </w:r>
    </w:p>
    <w:p>
      <w:pPr>
        <w:pStyle w:val="null3"/>
      </w:pPr>
      <w:r>
        <w:rPr>
          <w:rFonts w:ascii="仿宋_GB2312" w:hAnsi="仿宋_GB2312" w:cs="仿宋_GB2312" w:eastAsia="仿宋_GB2312"/>
        </w:rPr>
        <w:t>地址：世纪城北门外向西100米商铺信达财务隔壁</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陕西省自然厅下发文件要求，综合分析本县国民经济与社会发展计划、产业发展需求、基础设施建设计划、土地市场供需等因素，结合国土空间规划，合理确定成片开发范围及成片开发征收区域的规模，统筹编制方案、提供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302,000.00</w:t>
      </w:r>
    </w:p>
    <w:p>
      <w:pPr>
        <w:pStyle w:val="null3"/>
      </w:pPr>
      <w:r>
        <w:rPr>
          <w:rFonts w:ascii="仿宋_GB2312" w:hAnsi="仿宋_GB2312" w:cs="仿宋_GB2312" w:eastAsia="仿宋_GB2312"/>
        </w:rPr>
        <w:t>采购包最高限价（元）: 302,000.00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城固县土地征收成片开发方案编制技术服务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标的名称：城固县土地征收成片开发方案编制技术服务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一、项目概况：按照陕西省自然厅下发文件要求，综合分析本县国民经济与社会发展计划、产业发展需求、基础设施建设计划、土地市场供需等因素，结合国土空间规划，合理确定成片开发范围及成片开发征收区域的规模，统筹编制方案、提供技术服务。</w:t>
            </w:r>
          </w:p>
          <w:p>
            <w:pPr>
              <w:pStyle w:val="null3"/>
            </w:pPr>
            <w:r>
              <w:rPr>
                <w:rFonts w:ascii="仿宋_GB2312" w:hAnsi="仿宋_GB2312" w:cs="仿宋_GB2312" w:eastAsia="仿宋_GB2312"/>
                <w:sz w:val="21"/>
                <w:color w:val="333333"/>
              </w:rPr>
              <w:t>二、工作内容：1、</w:t>
            </w:r>
            <w:r>
              <w:rPr>
                <w:rFonts w:ascii="仿宋_GB2312" w:hAnsi="仿宋_GB2312" w:cs="仿宋_GB2312" w:eastAsia="仿宋_GB2312"/>
                <w:sz w:val="21"/>
                <w:color w:val="333333"/>
              </w:rPr>
              <w:t>依据国土空间规划确定的城镇开发边界内的集中建设区，围绕本县重点发展平台、重要发展区域，划定科学可行的成片开发片区范围。对因城镇开发边界调整优化导致的规划用地变化，对已批的成片开发进行重新布局调整，明确片区规划定位，统筹产业布局，谋划设计配套；</w:t>
            </w:r>
            <w:r>
              <w:rPr>
                <w:rFonts w:ascii="仿宋_GB2312" w:hAnsi="仿宋_GB2312" w:cs="仿宋_GB2312" w:eastAsia="仿宋_GB2312"/>
                <w:sz w:val="21"/>
                <w:color w:val="333333"/>
              </w:rPr>
              <w:t>2、分析研判划定成片开发的必要性、主要用途和实现的功能；</w:t>
            </w:r>
            <w:r>
              <w:rPr>
                <w:rFonts w:ascii="仿宋_GB2312" w:hAnsi="仿宋_GB2312" w:cs="仿宋_GB2312" w:eastAsia="仿宋_GB2312"/>
                <w:sz w:val="21"/>
                <w:color w:val="333333"/>
              </w:rPr>
              <w:t>3、完善和拓展土地规划工作，明确城市近期建设、招商、投资重点区域，以及道路、学校等设施配套需求，摸排清楚成片开发拟安排的建设项目、开发时序和年度实施计划；</w:t>
            </w:r>
            <w:r>
              <w:rPr>
                <w:rFonts w:ascii="仿宋_GB2312" w:hAnsi="仿宋_GB2312" w:cs="仿宋_GB2312" w:eastAsia="仿宋_GB2312"/>
                <w:sz w:val="21"/>
                <w:color w:val="333333"/>
              </w:rPr>
              <w:t>4、依据国土空间规划，划定或调整土地征收成片开发范围，并基本明确范围内基础设施、公共服务设施以及其他公益性用地比例；</w:t>
            </w:r>
            <w:r>
              <w:rPr>
                <w:rFonts w:ascii="仿宋_GB2312" w:hAnsi="仿宋_GB2312" w:cs="仿宋_GB2312" w:eastAsia="仿宋_GB2312"/>
                <w:sz w:val="21"/>
                <w:color w:val="333333"/>
              </w:rPr>
              <w:t>5、区域内成片开发的土地利用效益以及经济、社会、生态效益进行初步评估。</w:t>
            </w:r>
          </w:p>
          <w:p>
            <w:pPr>
              <w:pStyle w:val="null3"/>
            </w:pPr>
            <w:r>
              <w:rPr>
                <w:rFonts w:ascii="仿宋_GB2312" w:hAnsi="仿宋_GB2312" w:cs="仿宋_GB2312" w:eastAsia="仿宋_GB2312"/>
                <w:sz w:val="21"/>
                <w:color w:val="333333"/>
              </w:rPr>
              <w:t>三、技术要求：按照《自然资源部关于</w:t>
            </w:r>
            <w:r>
              <w:rPr>
                <w:rFonts w:ascii="仿宋_GB2312" w:hAnsi="仿宋_GB2312" w:cs="仿宋_GB2312" w:eastAsia="仿宋_GB2312"/>
                <w:sz w:val="21"/>
                <w:color w:val="333333"/>
              </w:rPr>
              <w:t>印发&lt;土地征收成片开</w:t>
            </w:r>
            <w:r>
              <w:rPr>
                <w:rFonts w:ascii="仿宋_GB2312" w:hAnsi="仿宋_GB2312" w:cs="仿宋_GB2312" w:eastAsia="仿宋_GB2312"/>
                <w:sz w:val="21"/>
                <w:color w:val="333333"/>
              </w:rPr>
              <w:t>发标准（试行）&gt;的通</w:t>
            </w:r>
            <w:r>
              <w:rPr>
                <w:rFonts w:ascii="仿宋_GB2312" w:hAnsi="仿宋_GB2312" w:cs="仿宋_GB2312" w:eastAsia="仿宋_GB2312"/>
                <w:sz w:val="21"/>
                <w:color w:val="333333"/>
              </w:rPr>
              <w:t>知》（自然资规</w:t>
            </w:r>
            <w:r>
              <w:rPr>
                <w:rFonts w:ascii="仿宋_GB2312" w:hAnsi="仿宋_GB2312" w:cs="仿宋_GB2312" w:eastAsia="仿宋_GB2312"/>
                <w:sz w:val="21"/>
                <w:color w:val="333333"/>
              </w:rPr>
              <w:t>〔2020〕5号）、《陕</w:t>
            </w:r>
            <w:r>
              <w:rPr>
                <w:rFonts w:ascii="仿宋_GB2312" w:hAnsi="仿宋_GB2312" w:cs="仿宋_GB2312" w:eastAsia="仿宋_GB2312"/>
                <w:sz w:val="21"/>
                <w:color w:val="333333"/>
              </w:rPr>
              <w:t>西省自然资源厅关于印</w:t>
            </w:r>
            <w:r>
              <w:rPr>
                <w:rFonts w:ascii="仿宋_GB2312" w:hAnsi="仿宋_GB2312" w:cs="仿宋_GB2312" w:eastAsia="仿宋_GB2312"/>
                <w:sz w:val="21"/>
                <w:color w:val="333333"/>
              </w:rPr>
              <w:t xml:space="preserve">发&lt;陕西省土地征收成 </w:t>
            </w:r>
            <w:r>
              <w:rPr>
                <w:rFonts w:ascii="仿宋_GB2312" w:hAnsi="仿宋_GB2312" w:cs="仿宋_GB2312" w:eastAsia="仿宋_GB2312"/>
                <w:sz w:val="21"/>
                <w:color w:val="333333"/>
              </w:rPr>
              <w:t xml:space="preserve">片开发标准实施细则&gt; </w:t>
            </w:r>
            <w:r>
              <w:rPr>
                <w:rFonts w:ascii="仿宋_GB2312" w:hAnsi="仿宋_GB2312" w:cs="仿宋_GB2312" w:eastAsia="仿宋_GB2312"/>
                <w:sz w:val="21"/>
                <w:color w:val="333333"/>
              </w:rPr>
              <w:t xml:space="preserve">的通知》（陕自然资规 </w:t>
            </w:r>
            <w:r>
              <w:rPr>
                <w:rFonts w:ascii="仿宋_GB2312" w:hAnsi="仿宋_GB2312" w:cs="仿宋_GB2312" w:eastAsia="仿宋_GB2312"/>
                <w:sz w:val="21"/>
                <w:color w:val="333333"/>
              </w:rPr>
              <w:t xml:space="preserve">〔2024〕297号）文件 </w:t>
            </w:r>
            <w:r>
              <w:rPr>
                <w:rFonts w:ascii="仿宋_GB2312" w:hAnsi="仿宋_GB2312" w:cs="仿宋_GB2312" w:eastAsia="仿宋_GB2312"/>
                <w:sz w:val="21"/>
                <w:color w:val="333333"/>
              </w:rPr>
              <w:t>要求，综合分析本县国</w:t>
            </w:r>
            <w:r>
              <w:rPr>
                <w:rFonts w:ascii="仿宋_GB2312" w:hAnsi="仿宋_GB2312" w:cs="仿宋_GB2312" w:eastAsia="仿宋_GB2312"/>
                <w:sz w:val="21"/>
                <w:color w:val="333333"/>
              </w:rPr>
              <w:t>民经济与社会发展计</w:t>
            </w:r>
            <w:r>
              <w:rPr>
                <w:rFonts w:ascii="仿宋_GB2312" w:hAnsi="仿宋_GB2312" w:cs="仿宋_GB2312" w:eastAsia="仿宋_GB2312"/>
                <w:sz w:val="21"/>
                <w:color w:val="333333"/>
              </w:rPr>
              <w:t>划、产业发展需求、基</w:t>
            </w:r>
            <w:r>
              <w:rPr>
                <w:rFonts w:ascii="仿宋_GB2312" w:hAnsi="仿宋_GB2312" w:cs="仿宋_GB2312" w:eastAsia="仿宋_GB2312"/>
                <w:sz w:val="21"/>
                <w:color w:val="333333"/>
              </w:rPr>
              <w:t>础设施建设计划、土地</w:t>
            </w:r>
            <w:r>
              <w:rPr>
                <w:rFonts w:ascii="仿宋_GB2312" w:hAnsi="仿宋_GB2312" w:cs="仿宋_GB2312" w:eastAsia="仿宋_GB2312"/>
                <w:sz w:val="21"/>
                <w:color w:val="333333"/>
              </w:rPr>
              <w:t>市场供需等因素，结合</w:t>
            </w:r>
            <w:r>
              <w:rPr>
                <w:rFonts w:ascii="仿宋_GB2312" w:hAnsi="仿宋_GB2312" w:cs="仿宋_GB2312" w:eastAsia="仿宋_GB2312"/>
                <w:sz w:val="21"/>
                <w:color w:val="333333"/>
              </w:rPr>
              <w:t>国土空间规划，合理确</w:t>
            </w:r>
            <w:r>
              <w:rPr>
                <w:rFonts w:ascii="仿宋_GB2312" w:hAnsi="仿宋_GB2312" w:cs="仿宋_GB2312" w:eastAsia="仿宋_GB2312"/>
                <w:sz w:val="21"/>
                <w:color w:val="333333"/>
              </w:rPr>
              <w:t>定成片开发范围及成片</w:t>
            </w:r>
            <w:r>
              <w:rPr>
                <w:rFonts w:ascii="仿宋_GB2312" w:hAnsi="仿宋_GB2312" w:cs="仿宋_GB2312" w:eastAsia="仿宋_GB2312"/>
                <w:sz w:val="21"/>
                <w:color w:val="333333"/>
              </w:rPr>
              <w:t>开发征收区域的规模，</w:t>
            </w:r>
            <w:r>
              <w:rPr>
                <w:rFonts w:ascii="仿宋_GB2312" w:hAnsi="仿宋_GB2312" w:cs="仿宋_GB2312" w:eastAsia="仿宋_GB2312"/>
                <w:sz w:val="21"/>
                <w:color w:val="333333"/>
              </w:rPr>
              <w:t>统筹编制方案，每个方</w:t>
            </w:r>
            <w:r>
              <w:rPr>
                <w:rFonts w:ascii="仿宋_GB2312" w:hAnsi="仿宋_GB2312" w:cs="仿宋_GB2312" w:eastAsia="仿宋_GB2312"/>
                <w:sz w:val="21"/>
                <w:color w:val="333333"/>
              </w:rPr>
              <w:t>案可包含相对集中、能</w:t>
            </w:r>
            <w:r>
              <w:rPr>
                <w:rFonts w:ascii="仿宋_GB2312" w:hAnsi="仿宋_GB2312" w:cs="仿宋_GB2312" w:eastAsia="仿宋_GB2312"/>
                <w:sz w:val="21"/>
                <w:color w:val="333333"/>
              </w:rPr>
              <w:t>够成片开发的多个征收</w:t>
            </w:r>
            <w:r>
              <w:rPr>
                <w:rFonts w:ascii="仿宋_GB2312" w:hAnsi="仿宋_GB2312" w:cs="仿宋_GB2312" w:eastAsia="仿宋_GB2312"/>
                <w:sz w:val="21"/>
                <w:color w:val="333333"/>
              </w:rPr>
              <w:t>区域。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城固县自然资源局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满足国家及行业质量验收合格标准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进度款，达到付款条件起 30 日内，达到付款条件起30个工作日内，支付合同总金额的100.0%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以甲乙双方签订的服务合同为准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 信用代码的营业执照，事业法人应提供事业单位法人证、组织机构代码证等证明文件，其他组织应提 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法定代表人授权书及被授权人身份证。（法定代表人直接磋商只须提交其身份证原件）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供应商应当具备主管部门颁发的测绘乙级及以上资质及土地规划乙级及以上资质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投标文件格式、盖章、签署、投标报价、投标技术响应、投标商务响应等符合招标文件要求</w:t>
            </w:r>
          </w:p>
        </w:tc>
        <w:tc>
          <w:tcPr>
            <w:tcW w:type="dxa" w:w="3322"/>
          </w:tcPr>
          <w:p>
            <w:pPr>
              <w:pStyle w:val="null3"/>
            </w:pPr>
            <w:r>
              <w:rPr>
                <w:rFonts w:ascii="仿宋_GB2312" w:hAnsi="仿宋_GB2312" w:cs="仿宋_GB2312" w:eastAsia="仿宋_GB2312"/>
              </w:rPr>
              <w:t>投标文件格式、盖章、签署、投标技术响应（技术参数要求均为实质性要求）、投标商务响应等符合招标文件要求，无重大缺漏项或重大负偏离。</w:t>
            </w:r>
          </w:p>
        </w:tc>
        <w:tc>
          <w:tcPr>
            <w:tcW w:type="dxa" w:w="1661"/>
          </w:tcPr>
          <w:p>
            <w:pPr>
              <w:pStyle w:val="null3"/>
            </w:pPr>
            <w:r>
              <w:rPr>
                <w:rFonts w:ascii="仿宋_GB2312" w:hAnsi="仿宋_GB2312" w:cs="仿宋_GB2312" w:eastAsia="仿宋_GB2312"/>
              </w:rPr>
              <w:t>响应文件封面 汉中市政府采购供应商资格承诺函..docx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项目采购需求分析</w:t>
            </w:r>
          </w:p>
        </w:tc>
        <w:tc>
          <w:tcPr>
            <w:tcW w:type="dxa" w:w="2492"/>
          </w:tcPr>
          <w:p>
            <w:pPr>
              <w:pStyle w:val="null3"/>
            </w:pPr>
            <w:r>
              <w:rPr>
                <w:rFonts w:ascii="仿宋_GB2312" w:hAnsi="仿宋_GB2312" w:cs="仿宋_GB2312" w:eastAsia="仿宋_GB2312"/>
              </w:rPr>
              <w:t>一、评审内容针对本项目提供项目采购需求分析，包括但不限于①对工作内容理解；②对项目重点难点分析；③重难点工作解决方案。 二、评审依据各项内容全面详细、阐述条理清晰详尽、符合本项目采购需求，能有效保障本项目实施的得12分，每有一项内容存在缺陷，扣1-4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针对本项目提供总体实施方案，包括但不限于①项目研究方法；②项目技术路线；③项目工作成果；④项目调研方案。二、评审依据各项内容全面详细、阐述条理清晰详尽、符合本项目采购需求，能有效保障本项目实施的得12分，每有一项内容存在缺陷，扣1-3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供完善的服务，包括但不限于：①项目整体管理方案，②项目保密控制方案，③针对本项目的售后服务承诺，包括但不限于售后响应时效、遇突发情况或临时任务时的保障服务、售后服务人员组织架构等；④根据项目需求结合自身能力提供售后服务方案。二、评审依据各项内容全面详细、阐述条理明确清晰、符合本项目采购需求，能有效保障本项目实施的得12分，每有一项内容存在缺陷，扣1-3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项目进度计划及质量保障措施</w:t>
            </w:r>
          </w:p>
        </w:tc>
        <w:tc>
          <w:tcPr>
            <w:tcW w:type="dxa" w:w="2492"/>
          </w:tcPr>
          <w:p>
            <w:pPr>
              <w:pStyle w:val="null3"/>
            </w:pPr>
            <w:r>
              <w:rPr>
                <w:rFonts w:ascii="仿宋_GB2312" w:hAnsi="仿宋_GB2312" w:cs="仿宋_GB2312" w:eastAsia="仿宋_GB2312"/>
              </w:rPr>
              <w:t>一、评审内容针对本项目提供项目进度计划及质量保障措施，包括但不限于①项目进度计划安排；②项目进度保障措施；③服务质量保障措施；④知识产权保护及数据资料保密方案。二、评审依据各项内容全面详细、阐述条理清晰详尽、符合本项目采购需求，能有效保障本项目实施的得12分，每有一项内容存在缺陷，扣1-3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评审内容针对本项目提供项目团队人员配备，包括但不限于：①项目服务团队架构及工作人员投入计划；②项目人员岗位划分及工作职责；③项目人员管理制度。二、评审依据各项内容全面详细、阐述条理清晰详尽、符合本项目采购需求，能有效保障本项目实施的得9分，每有一项内容存在缺陷，扣1-3分，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成果保障及验收方案</w:t>
            </w:r>
          </w:p>
        </w:tc>
        <w:tc>
          <w:tcPr>
            <w:tcW w:type="dxa" w:w="2492"/>
          </w:tcPr>
          <w:p>
            <w:pPr>
              <w:pStyle w:val="null3"/>
            </w:pPr>
            <w:r>
              <w:rPr>
                <w:rFonts w:ascii="仿宋_GB2312" w:hAnsi="仿宋_GB2312" w:cs="仿宋_GB2312" w:eastAsia="仿宋_GB2312"/>
              </w:rPr>
              <w:t>一、评审内容针对本项目提供成果保障及验收方案，包括但不限于：①服务成果完整性保证措施；②成果质量保证；③成果验收方案；④全过程资料的收集、整理及移交。二、评审依据各项内容全面详细、阐述条理清晰详尽、符合本项目采购需求，能有效保障本项目实施的得12分，每有一项内容存在缺陷，扣1-3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突发情况处理方案及合理化建议</w:t>
            </w:r>
          </w:p>
        </w:tc>
        <w:tc>
          <w:tcPr>
            <w:tcW w:type="dxa" w:w="2492"/>
          </w:tcPr>
          <w:p>
            <w:pPr>
              <w:pStyle w:val="null3"/>
            </w:pPr>
            <w:r>
              <w:rPr>
                <w:rFonts w:ascii="仿宋_GB2312" w:hAnsi="仿宋_GB2312" w:cs="仿宋_GB2312" w:eastAsia="仿宋_GB2312"/>
              </w:rPr>
              <w:t>一、评审内容针对本项目提供突发情况处理方案及合理化建议，包括但不限于：①应对遇突发情况或临时任务时的保障服务；②突发情况的处理措施；③合理化建议。二、评审依据各项内容全面详细、阐述条理清晰详尽、符合本项目采购需求，能有效保障本项目实施的得9分，每有一项内容存在缺陷，扣1-3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投标供应商拟投入本项目的项目负责人具备注册测绘师执业证书或注册城乡规划师证书的，加4分；项目负责人具有中级工程师职称的，加2分，具有高级工程师职称的加4分。注：投标人除提供以上证书外还需提供近一年内任意一个月社保缴纳证明，加盖投标供应商公章，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1.供应商提供2023年5月1日至今所完成的类似项目业绩的，每提供一项得2分，最高得4分。注：①日期以合同签订之日为准；②证明材料须提供项目完整合同复印件并加盖公章。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采购文件要求，通过资格审查且在规定时间内提交最终报价的为有效报价；价格最低的磋商总报价为评审基准价，其价格分为满分。其他供应商的价格分统一按照下列公式计算：磋商报价得分=（评审基准价/磋商总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