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版本号：SCZD2026-ZB-1046--00120260424001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执法执勤用车采购项目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SCZD2026-ZB-1046--001</w:t>
      </w:r>
      <w:r>
        <w:br/>
      </w:r>
      <w:r>
        <w:br/>
      </w:r>
      <w:r>
        <w:br/>
      </w:r>
    </w:p>
    <w:p>
      <w:pPr>
        <w:pStyle w:val="null3"/>
        <w:jc w:val="center"/>
        <w:outlineLvl w:val="2"/>
      </w:pPr>
      <w:r>
        <w:rPr>
          <w:rFonts w:ascii="仿宋_GB2312" w:hAnsi="仿宋_GB2312" w:cs="仿宋_GB2312" w:eastAsia="仿宋_GB2312"/>
          <w:sz w:val="28"/>
          <w:b/>
        </w:rPr>
        <w:t>镇巴县公安局</w:t>
      </w:r>
    </w:p>
    <w:p>
      <w:pPr>
        <w:pStyle w:val="null3"/>
        <w:jc w:val="center"/>
        <w:outlineLvl w:val="2"/>
      </w:pPr>
      <w:r>
        <w:rPr>
          <w:rFonts w:ascii="仿宋_GB2312" w:hAnsi="仿宋_GB2312" w:cs="仿宋_GB2312" w:eastAsia="仿宋_GB2312"/>
          <w:sz w:val="28"/>
          <w:b/>
        </w:rPr>
        <w:t>陕西省采购招标有限责任公司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2026年04月24日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陕西省采购招标有限责任公司</w:t>
      </w:r>
      <w:r>
        <w:rPr>
          <w:rFonts w:ascii="仿宋_GB2312" w:hAnsi="仿宋_GB2312" w:cs="仿宋_GB2312" w:eastAsia="仿宋_GB2312"/>
        </w:rPr>
        <w:t>（以下简称“代理机构”）受</w:t>
      </w:r>
      <w:r>
        <w:rPr>
          <w:rFonts w:ascii="仿宋_GB2312" w:hAnsi="仿宋_GB2312" w:cs="仿宋_GB2312" w:eastAsia="仿宋_GB2312"/>
        </w:rPr>
        <w:t>镇巴县公安局</w:t>
      </w:r>
      <w:r>
        <w:rPr>
          <w:rFonts w:ascii="仿宋_GB2312" w:hAnsi="仿宋_GB2312" w:cs="仿宋_GB2312" w:eastAsia="仿宋_GB2312"/>
        </w:rPr>
        <w:t>委托，拟对</w:t>
      </w:r>
      <w:r>
        <w:rPr>
          <w:rFonts w:ascii="仿宋_GB2312" w:hAnsi="仿宋_GB2312" w:cs="仿宋_GB2312" w:eastAsia="仿宋_GB2312"/>
        </w:rPr>
        <w:t>执法执勤用车采购项目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SCZD2026-ZB-1046--001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执法执勤用车采购项目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为全面满足公安机关日常执法执勤、应急处突、巡逻防控、刑事侦查、在押人员押解等警务工作开展需求，进一步提升执法办案效率与警务保障能力，切实解决当前现有执法执勤车辆老化已达到报废标准、无囚车等突出问题，特申请实施本次囚车及执法执勤车车辆采购项目。</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信用信息：投标人在递交投标文件截止时间前被“信用中国”网站（www.creditchina.gov.cn）和中国政府采购网（www.ccgp.gov.cn）上被列入失信被执行人、重大税收违法失信主体、政府采购严重违法失信行为记录名单的，不得参加投标；</w:t>
      </w:r>
    </w:p>
    <w:p>
      <w:pPr>
        <w:pStyle w:val="null3"/>
      </w:pPr>
      <w:r>
        <w:rPr>
          <w:rFonts w:ascii="仿宋_GB2312" w:hAnsi="仿宋_GB2312" w:cs="仿宋_GB2312" w:eastAsia="仿宋_GB2312"/>
        </w:rPr>
        <w:t>2、投标人参加本项目的合法授权人授权委托书：投标人参加本项目的合法授权人授权委托书：投标人应授权合法的人员参加投标全过程，其中法定代表人直接参加投标的，须出具法人身份证，并与营业执照上信息一致。法定代表人授权代表参加投标的，须出具法定代表人授权书及授权代表身份证、授权代表本单位证明（养老保险缴纳证明）；</w:t>
      </w:r>
    </w:p>
    <w:p>
      <w:pPr>
        <w:pStyle w:val="null3"/>
      </w:pPr>
      <w:r>
        <w:rPr>
          <w:rFonts w:ascii="仿宋_GB2312" w:hAnsi="仿宋_GB2312" w:cs="仿宋_GB2312" w:eastAsia="仿宋_GB2312"/>
        </w:rPr>
        <w:t>3、特定资格要求1：投标车辆所属生产企业及车辆产品本身，须已纳入工业和信息化部正式发布的《道路机动车辆生产企业及产品公告》管理范围。投标时需提供工信部官方网站对应公告查询页面的截图证明材料，截图需清晰显示生产企业名称、车辆产品型号相关信息。</w:t>
      </w:r>
    </w:p>
    <w:p>
      <w:pPr>
        <w:pStyle w:val="null3"/>
      </w:pPr>
      <w:r>
        <w:rPr>
          <w:rFonts w:ascii="仿宋_GB2312" w:hAnsi="仿宋_GB2312" w:cs="仿宋_GB2312" w:eastAsia="仿宋_GB2312"/>
        </w:rPr>
        <w:t>4、特定资格要求2：本次投标的囚车产品，须为上述《道路机动车辆生产企业及产品公告》中明确标注车辆类型为「囚车」的专用车型。投标时需提供工信部公告对应车型详情页面的截图证明材料，截图内容需完整显示车辆型号、车辆类型字段，且车辆类型描述中包含「囚车」字样。</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镇巴县公安局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镇巴县泾洋镇</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723600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刘警官</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18591626262</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陕西省采购招标有限责任公司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西安市高新区锦业路1号都市之门C座9层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胡梦阳、雷鹏</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029-88497916</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镇巴县政府采购管理股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郝芳</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13259290919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采购包1：730,000.00元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如有</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采购包1保证金金额：14,000.00元</w:t>
            </w:r>
          </w:p>
          <w:p>
            <w:pPr>
              <w:pStyle w:val="null3"/>
            </w:pPr>
            <w:r>
              <w:rPr>
                <w:rFonts w:ascii="仿宋_GB2312" w:hAnsi="仿宋_GB2312" w:cs="仿宋_GB2312" w:eastAsia="仿宋_GB2312"/>
              </w:rPr>
              <w:t>缴交渠道：转账、支票、汇票等（需通过实体账户、户名及开户行信息）,电子保函</w:t>
            </w:r>
          </w:p>
          <w:p>
            <w:pPr>
              <w:pStyle w:val="null3"/>
            </w:pPr>
            <w:r>
              <w:rPr>
                <w:rFonts w:ascii="仿宋_GB2312" w:hAnsi="仿宋_GB2312" w:cs="仿宋_GB2312" w:eastAsia="仿宋_GB2312"/>
              </w:rPr>
              <w:t>开户名称：陕西省采购招标有限责任公司</w:t>
            </w:r>
          </w:p>
          <w:p>
            <w:pPr>
              <w:pStyle w:val="null3"/>
            </w:pPr>
            <w:r>
              <w:rPr>
                <w:rFonts w:ascii="仿宋_GB2312" w:hAnsi="仿宋_GB2312" w:cs="仿宋_GB2312" w:eastAsia="仿宋_GB2312"/>
              </w:rPr>
              <w:t>开户银行：中国银行西安南郊支行营业</w:t>
            </w:r>
          </w:p>
          <w:p>
            <w:pPr>
              <w:pStyle w:val="null3"/>
            </w:pPr>
            <w:r>
              <w:rPr>
                <w:rFonts w:ascii="仿宋_GB2312" w:hAnsi="仿宋_GB2312" w:cs="仿宋_GB2312" w:eastAsia="仿宋_GB2312"/>
              </w:rPr>
              <w:t>银行账号：103260087756</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代理服务费用收取对象：采购人</w:t>
            </w:r>
          </w:p>
          <w:p>
            <w:pPr>
              <w:pStyle w:val="null3"/>
            </w:pPr>
            <w:r>
              <w:rPr>
                <w:rFonts w:ascii="仿宋_GB2312" w:hAnsi="仿宋_GB2312" w:cs="仿宋_GB2312" w:eastAsia="仿宋_GB2312"/>
              </w:rPr>
              <w:t>代理服务费收费标准：代理服务费参照《国家计委关于印发&lt;招标代理服务收费管理暂行办法&gt;的通知》（计价格[2002]1980号）规定标准（按标段）收取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镇巴县公安局</w:t>
      </w:r>
      <w:r>
        <w:rPr>
          <w:rFonts w:ascii="仿宋_GB2312" w:hAnsi="仿宋_GB2312" w:cs="仿宋_GB2312" w:eastAsia="仿宋_GB2312"/>
        </w:rPr>
        <w:t>和</w:t>
      </w:r>
      <w:r>
        <w:rPr>
          <w:rFonts w:ascii="仿宋_GB2312" w:hAnsi="仿宋_GB2312" w:cs="仿宋_GB2312" w:eastAsia="仿宋_GB2312"/>
        </w:rPr>
        <w:t>陕西省采购招标有限责任公司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镇巴县公安局</w:t>
      </w:r>
      <w:r>
        <w:rPr>
          <w:rFonts w:ascii="仿宋_GB2312" w:hAnsi="仿宋_GB2312" w:cs="仿宋_GB2312" w:eastAsia="仿宋_GB2312"/>
        </w:rPr>
        <w:t>负责解释。除上述招标文件内容，其他内容由</w:t>
      </w:r>
      <w:r>
        <w:rPr>
          <w:rFonts w:ascii="仿宋_GB2312" w:hAnsi="仿宋_GB2312" w:cs="仿宋_GB2312" w:eastAsia="仿宋_GB2312"/>
        </w:rPr>
        <w:t>陕西省采购招标有限责任公司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镇巴县公安局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陕西省采购招标有限责任公司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详见拟签订的合同文本</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联系人：综合办公室</w:t>
      </w:r>
    </w:p>
    <w:p>
      <w:pPr>
        <w:pStyle w:val="null3"/>
      </w:pPr>
      <w:r>
        <w:rPr>
          <w:rFonts w:ascii="仿宋_GB2312" w:hAnsi="仿宋_GB2312" w:cs="仿宋_GB2312" w:eastAsia="仿宋_GB2312"/>
        </w:rPr>
        <w:t>联系电话：029-85235014</w:t>
      </w:r>
    </w:p>
    <w:p>
      <w:pPr>
        <w:pStyle w:val="null3"/>
      </w:pPr>
      <w:r>
        <w:rPr>
          <w:rFonts w:ascii="仿宋_GB2312" w:hAnsi="仿宋_GB2312" w:cs="仿宋_GB2312" w:eastAsia="仿宋_GB2312"/>
        </w:rPr>
        <w:t>地址：西安市高新区锦业路1号都市之门C座9层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全面满足公安机关日常执法执勤、应急处突、巡逻防控、刑事侦查、在押人员押解等警务工作开展需求，进一步提升执法办案效率与警务保障能力，切实解决当前现有执法执勤车辆老化已达到报废标准、无囚车等突出问题，特申请实施本次囚车及执法执勤车车辆采购项目。</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730,000.00</w:t>
      </w:r>
    </w:p>
    <w:p>
      <w:pPr>
        <w:pStyle w:val="null3"/>
      </w:pPr>
      <w:r>
        <w:rPr>
          <w:rFonts w:ascii="仿宋_GB2312" w:hAnsi="仿宋_GB2312" w:cs="仿宋_GB2312" w:eastAsia="仿宋_GB2312"/>
        </w:rPr>
        <w:t>采购包最高限价（元）: 728,800.00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执法执勤车辆</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730,000.00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标的名称：执法执勤车辆</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spacing w:before="105" w:after="105"/>
              <w:jc w:val="both"/>
            </w:pPr>
            <w:r>
              <w:rPr>
                <w:rFonts w:ascii="仿宋_GB2312" w:hAnsi="仿宋_GB2312" w:cs="仿宋_GB2312" w:eastAsia="仿宋_GB2312"/>
                <w:sz w:val="28"/>
                <w:b/>
                <w:color w:val="000000"/>
              </w:rPr>
              <w:t>一、采购清单</w:t>
            </w:r>
          </w:p>
          <w:tbl>
            <w:tblPr>
              <w:tblBorders>
                <w:top w:val="none" w:color="000000" w:sz="4"/>
                <w:left w:val="none" w:color="000000" w:sz="4"/>
                <w:bottom w:val="none" w:color="000000" w:sz="4"/>
                <w:right w:val="none" w:color="000000" w:sz="4"/>
                <w:insideH w:val="none"/>
                <w:insideV w:val="none"/>
              </w:tblBorders>
            </w:tblPr>
            <w:tblGrid>
              <w:gridCol w:w="161"/>
              <w:gridCol w:w="827"/>
              <w:gridCol w:w="139"/>
              <w:gridCol w:w="267"/>
              <w:gridCol w:w="424"/>
              <w:gridCol w:w="358"/>
              <w:gridCol w:w="375"/>
            </w:tblGrid>
            <w:tr>
              <w:tc>
                <w:tcPr>
                  <w:tcW w:type="dxa" w:w="1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shd w:fill="FFFFFF" w:val="clear"/>
                    </w:rPr>
                    <w:t>序号</w:t>
                  </w:r>
                </w:p>
              </w:tc>
              <w:tc>
                <w:tcPr>
                  <w:tcW w:type="dxa" w:w="82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shd w:fill="FFFFFF" w:val="clear"/>
                    </w:rPr>
                    <w:t>产品名称</w:t>
                  </w:r>
                </w:p>
              </w:tc>
              <w:tc>
                <w:tcPr>
                  <w:tcW w:type="dxa" w:w="13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shd w:fill="FFFFFF" w:val="clear"/>
                    </w:rPr>
                    <w:t>数量</w:t>
                  </w:r>
                </w:p>
              </w:tc>
              <w:tc>
                <w:tcPr>
                  <w:tcW w:type="dxa" w:w="26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shd w:fill="FFFFFF" w:val="clear"/>
                    </w:rPr>
                    <w:t>单位</w:t>
                  </w:r>
                </w:p>
              </w:tc>
              <w:tc>
                <w:tcPr>
                  <w:tcW w:type="dxa" w:w="42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shd w:fill="FFFFFF" w:val="clear"/>
                    </w:rPr>
                    <w:t>单项预算</w:t>
                  </w:r>
                </w:p>
              </w:tc>
              <w:tc>
                <w:tcPr>
                  <w:tcW w:type="dxa" w:w="35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shd w:fill="FFFFFF" w:val="clear"/>
                    </w:rPr>
                    <w:t>单价限价（元）</w:t>
                  </w:r>
                </w:p>
              </w:tc>
              <w:tc>
                <w:tcPr>
                  <w:tcW w:type="dxa" w:w="37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shd w:fill="FFFFFF" w:val="clear"/>
                    </w:rPr>
                    <w:t>总价限价</w:t>
                  </w:r>
                </w:p>
                <w:p>
                  <w:pPr>
                    <w:pStyle w:val="null3"/>
                    <w:spacing w:before="105" w:after="105"/>
                    <w:jc w:val="center"/>
                  </w:pPr>
                  <w:r>
                    <w:rPr>
                      <w:rFonts w:ascii="仿宋_GB2312" w:hAnsi="仿宋_GB2312" w:cs="仿宋_GB2312" w:eastAsia="仿宋_GB2312"/>
                      <w:sz w:val="24"/>
                      <w:shd w:fill="FFFFFF" w:val="clear"/>
                    </w:rPr>
                    <w:t>（元）</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shd w:fill="FFFFFF" w:val="clear"/>
                    </w:rPr>
                    <w:t>1</w:t>
                  </w:r>
                </w:p>
              </w:tc>
              <w:tc>
                <w:tcPr>
                  <w:tcW w:type="dxa" w:w="8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shd w:fill="FFFFFF" w:val="clear"/>
                    </w:rPr>
                    <w:t>囚车（燃油车辆）（核心产品）</w:t>
                  </w:r>
                </w:p>
              </w:tc>
              <w:tc>
                <w:tcPr>
                  <w:tcW w:type="dxa" w:w="1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shd w:fill="FFFFFF" w:val="clear"/>
                    </w:rPr>
                    <w:t>1</w:t>
                  </w: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shd w:fill="FFFFFF" w:val="clear"/>
                    </w:rPr>
                    <w:t>辆</w:t>
                  </w: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shd w:fill="FFFFFF" w:val="clear"/>
                    </w:rPr>
                    <w:t>220000</w:t>
                  </w:r>
                </w:p>
              </w:tc>
              <w:tc>
                <w:tcPr>
                  <w:tcW w:type="dxa" w:w="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shd w:fill="FFFFFF" w:val="clear"/>
                    </w:rPr>
                    <w:t>218800</w:t>
                  </w: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shd w:fill="FFFFFF" w:val="clear"/>
                    </w:rPr>
                    <w:t>218800</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shd w:fill="FFFFFF" w:val="clear"/>
                    </w:rPr>
                    <w:t>2</w:t>
                  </w:r>
                </w:p>
              </w:tc>
              <w:tc>
                <w:tcPr>
                  <w:tcW w:type="dxa" w:w="8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shd w:fill="FFFFFF" w:val="clear"/>
                    </w:rPr>
                    <w:t>执法执勤车辆（国产插电式混动）</w:t>
                  </w:r>
                </w:p>
              </w:tc>
              <w:tc>
                <w:tcPr>
                  <w:tcW w:type="dxa" w:w="1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shd w:fill="FFFFFF" w:val="clear"/>
                    </w:rPr>
                    <w:t>2</w:t>
                  </w: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shd w:fill="FFFFFF" w:val="clear"/>
                    </w:rPr>
                    <w:t>辆</w:t>
                  </w: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shd w:fill="FFFFFF" w:val="clear"/>
                    </w:rPr>
                    <w:t>155000</w:t>
                  </w:r>
                </w:p>
              </w:tc>
              <w:tc>
                <w:tcPr>
                  <w:tcW w:type="dxa" w:w="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shd w:fill="FFFFFF" w:val="clear"/>
                    </w:rPr>
                    <w:t>155000</w:t>
                  </w: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shd w:fill="FFFFFF" w:val="clear"/>
                    </w:rPr>
                    <w:t>310000</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shd w:fill="FFFFFF" w:val="clear"/>
                    </w:rPr>
                    <w:t>3</w:t>
                  </w:r>
                </w:p>
              </w:tc>
              <w:tc>
                <w:tcPr>
                  <w:tcW w:type="dxa" w:w="8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shd w:fill="FFFFFF" w:val="clear"/>
                    </w:rPr>
                    <w:t>执法执勤车辆（国产插电式混动）</w:t>
                  </w:r>
                </w:p>
              </w:tc>
              <w:tc>
                <w:tcPr>
                  <w:tcW w:type="dxa" w:w="1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shd w:fill="FFFFFF" w:val="clear"/>
                    </w:rPr>
                    <w:t>1</w:t>
                  </w: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shd w:fill="FFFFFF" w:val="clear"/>
                    </w:rPr>
                    <w:t>辆</w:t>
                  </w: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shd w:fill="FFFFFF" w:val="clear"/>
                    </w:rPr>
                    <w:t>200000</w:t>
                  </w:r>
                </w:p>
              </w:tc>
              <w:tc>
                <w:tcPr>
                  <w:tcW w:type="dxa" w:w="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shd w:fill="FFFFFF" w:val="clear"/>
                    </w:rPr>
                    <w:t>200000</w:t>
                  </w: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shd w:fill="FFFFFF" w:val="clear"/>
                    </w:rPr>
                    <w:t>200000</w:t>
                  </w:r>
                </w:p>
              </w:tc>
            </w:tr>
            <w:tr>
              <w:tc>
                <w:tcPr>
                  <w:tcW w:type="dxa" w:w="2551"/>
                  <w:gridSpan w:val="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shd w:fill="FFFFFF" w:val="clear"/>
                    </w:rPr>
                    <w:t>本项目采购预算：</w:t>
                  </w:r>
                  <w:r>
                    <w:rPr>
                      <w:rFonts w:ascii="仿宋_GB2312" w:hAnsi="仿宋_GB2312" w:cs="仿宋_GB2312" w:eastAsia="仿宋_GB2312"/>
                      <w:sz w:val="24"/>
                      <w:shd w:fill="FFFFFF" w:val="clear"/>
                    </w:rPr>
                    <w:t>730000元                         最高限价：728800元</w:t>
                  </w:r>
                </w:p>
              </w:tc>
            </w:tr>
          </w:tbl>
          <w:p>
            <w:pPr>
              <w:pStyle w:val="null3"/>
              <w:spacing w:before="105" w:after="105"/>
              <w:jc w:val="both"/>
            </w:pPr>
            <w:r>
              <w:rPr>
                <w:rFonts w:ascii="仿宋_GB2312" w:hAnsi="仿宋_GB2312" w:cs="仿宋_GB2312" w:eastAsia="仿宋_GB2312"/>
                <w:sz w:val="28"/>
                <w:b/>
                <w:color w:val="000000"/>
              </w:rPr>
              <w:t>二、参数要求</w:t>
            </w:r>
          </w:p>
          <w:p>
            <w:pPr>
              <w:pStyle w:val="null3"/>
              <w:spacing w:before="105" w:after="105"/>
              <w:jc w:val="both"/>
            </w:pPr>
            <w:r>
              <w:rPr>
                <w:rFonts w:ascii="仿宋_GB2312" w:hAnsi="仿宋_GB2312" w:cs="仿宋_GB2312" w:eastAsia="仿宋_GB2312"/>
                <w:sz w:val="28"/>
                <w:b/>
                <w:color w:val="000000"/>
              </w:rPr>
              <w:t xml:space="preserve"> </w:t>
            </w:r>
            <w:r>
              <w:rPr>
                <w:rFonts w:ascii="仿宋_GB2312" w:hAnsi="仿宋_GB2312" w:cs="仿宋_GB2312" w:eastAsia="仿宋_GB2312"/>
                <w:sz w:val="28"/>
                <w:b/>
                <w:color w:val="000000"/>
              </w:rPr>
              <w:t>（一）囚车1辆：</w:t>
            </w:r>
          </w:p>
          <w:p>
            <w:pPr>
              <w:pStyle w:val="null3"/>
              <w:spacing w:before="105" w:after="105"/>
              <w:ind w:firstLine="562"/>
              <w:jc w:val="both"/>
            </w:pPr>
            <w:r>
              <w:rPr>
                <w:rFonts w:ascii="仿宋_GB2312" w:hAnsi="仿宋_GB2312" w:cs="仿宋_GB2312" w:eastAsia="仿宋_GB2312"/>
                <w:sz w:val="28"/>
                <w:b/>
                <w:color w:val="000000"/>
              </w:rPr>
              <w:t>适用标准</w:t>
            </w:r>
            <w:r>
              <w:rPr>
                <w:rFonts w:ascii="仿宋_GB2312" w:hAnsi="仿宋_GB2312" w:cs="仿宋_GB2312" w:eastAsia="仿宋_GB2312"/>
                <w:sz w:val="28"/>
                <w:color w:val="000000"/>
              </w:rPr>
              <w:t>：车辆需符合</w:t>
            </w:r>
            <w:r>
              <w:rPr>
                <w:rFonts w:ascii="仿宋_GB2312" w:hAnsi="仿宋_GB2312" w:cs="仿宋_GB2312" w:eastAsia="仿宋_GB2312"/>
                <w:sz w:val="28"/>
                <w:color w:val="000000"/>
              </w:rPr>
              <w:t>GA702-2007《囚车》及国家最新机动车排放标准，所有改装部件需通过警用特种车辆合规检测，整车为全新原厂底盘+专业警用改装，无改装隐患。</w:t>
            </w:r>
          </w:p>
          <w:p>
            <w:pPr>
              <w:pStyle w:val="null3"/>
              <w:spacing w:before="105" w:after="105"/>
              <w:ind w:firstLine="562"/>
              <w:jc w:val="both"/>
            </w:pPr>
            <w:r>
              <w:rPr>
                <w:rFonts w:ascii="仿宋_GB2312" w:hAnsi="仿宋_GB2312" w:cs="仿宋_GB2312" w:eastAsia="仿宋_GB2312"/>
                <w:sz w:val="28"/>
                <w:b/>
                <w:color w:val="000000"/>
              </w:rPr>
              <w:t>基本参数</w:t>
            </w:r>
            <w:r>
              <w:rPr>
                <w:rFonts w:ascii="仿宋_GB2312" w:hAnsi="仿宋_GB2312" w:cs="仿宋_GB2312" w:eastAsia="仿宋_GB2312"/>
                <w:sz w:val="28"/>
                <w:color w:val="000000"/>
              </w:rPr>
              <w:t>：</w:t>
            </w:r>
          </w:p>
          <w:p>
            <w:pPr>
              <w:pStyle w:val="null3"/>
              <w:spacing w:before="105" w:after="105"/>
              <w:ind w:left="420"/>
              <w:jc w:val="both"/>
            </w:pPr>
            <w:r>
              <w:rPr>
                <w:rFonts w:ascii="仿宋_GB2312" w:hAnsi="仿宋_GB2312" w:cs="仿宋_GB2312" w:eastAsia="仿宋_GB2312"/>
                <w:sz w:val="28"/>
                <w:color w:val="000000"/>
              </w:rPr>
              <w:t>1.</w:t>
            </w:r>
            <w:r>
              <w:rPr>
                <w:rFonts w:ascii="仿宋_GB2312" w:hAnsi="仿宋_GB2312" w:cs="仿宋_GB2312" w:eastAsia="仿宋_GB2312"/>
                <w:sz w:val="28"/>
                <w:color w:val="000000"/>
              </w:rPr>
              <w:t>整车外形尺寸：</w:t>
            </w:r>
            <w:r>
              <w:rPr>
                <w:rFonts w:ascii="仿宋_GB2312" w:hAnsi="仿宋_GB2312" w:cs="仿宋_GB2312" w:eastAsia="仿宋_GB2312"/>
                <w:sz w:val="28"/>
                <w:color w:val="000000"/>
              </w:rPr>
              <w:t>≥</w:t>
            </w:r>
            <w:r>
              <w:rPr>
                <w:rFonts w:ascii="仿宋_GB2312" w:hAnsi="仿宋_GB2312" w:cs="仿宋_GB2312" w:eastAsia="仿宋_GB2312"/>
                <w:sz w:val="28"/>
                <w:color w:val="000000"/>
              </w:rPr>
              <w:t>5200</w:t>
            </w:r>
            <w:r>
              <w:rPr>
                <w:rFonts w:ascii="仿宋_GB2312" w:hAnsi="仿宋_GB2312" w:cs="仿宋_GB2312" w:eastAsia="仿宋_GB2312"/>
                <w:sz w:val="28"/>
                <w:color w:val="000000"/>
              </w:rPr>
              <w:t>×</w:t>
            </w:r>
            <w:r>
              <w:rPr>
                <w:rFonts w:ascii="仿宋_GB2312" w:hAnsi="仿宋_GB2312" w:cs="仿宋_GB2312" w:eastAsia="仿宋_GB2312"/>
                <w:sz w:val="28"/>
                <w:color w:val="000000"/>
              </w:rPr>
              <w:t>1900</w:t>
            </w:r>
            <w:r>
              <w:rPr>
                <w:rFonts w:ascii="仿宋_GB2312" w:hAnsi="仿宋_GB2312" w:cs="仿宋_GB2312" w:eastAsia="仿宋_GB2312"/>
                <w:sz w:val="28"/>
                <w:color w:val="000000"/>
              </w:rPr>
              <w:t>×</w:t>
            </w:r>
            <w:r>
              <w:rPr>
                <w:rFonts w:ascii="仿宋_GB2312" w:hAnsi="仿宋_GB2312" w:cs="仿宋_GB2312" w:eastAsia="仿宋_GB2312"/>
                <w:sz w:val="28"/>
                <w:color w:val="000000"/>
              </w:rPr>
              <w:t>2400mm</w:t>
            </w:r>
          </w:p>
          <w:p>
            <w:pPr>
              <w:pStyle w:val="null3"/>
              <w:spacing w:before="105" w:after="105"/>
              <w:ind w:left="420"/>
              <w:jc w:val="both"/>
            </w:pPr>
            <w:r>
              <w:rPr>
                <w:rFonts w:ascii="仿宋_GB2312" w:hAnsi="仿宋_GB2312" w:cs="仿宋_GB2312" w:eastAsia="仿宋_GB2312"/>
                <w:sz w:val="28"/>
                <w:color w:val="000000"/>
              </w:rPr>
              <w:t>2.</w:t>
            </w:r>
            <w:r>
              <w:rPr>
                <w:rFonts w:ascii="仿宋_GB2312" w:hAnsi="仿宋_GB2312" w:cs="仿宋_GB2312" w:eastAsia="仿宋_GB2312"/>
                <w:sz w:val="28"/>
                <w:color w:val="000000"/>
              </w:rPr>
              <w:t>总质量（</w:t>
            </w:r>
            <w:r>
              <w:rPr>
                <w:rFonts w:ascii="仿宋_GB2312" w:hAnsi="仿宋_GB2312" w:cs="仿宋_GB2312" w:eastAsia="仿宋_GB2312"/>
                <w:sz w:val="28"/>
                <w:color w:val="000000"/>
              </w:rPr>
              <w:t>kg）：</w:t>
            </w:r>
            <w:r>
              <w:rPr>
                <w:rFonts w:ascii="仿宋_GB2312" w:hAnsi="仿宋_GB2312" w:cs="仿宋_GB2312" w:eastAsia="仿宋_GB2312"/>
                <w:sz w:val="28"/>
                <w:color w:val="000000"/>
              </w:rPr>
              <w:t>≥</w:t>
            </w:r>
            <w:r>
              <w:rPr>
                <w:rFonts w:ascii="仿宋_GB2312" w:hAnsi="仿宋_GB2312" w:cs="仿宋_GB2312" w:eastAsia="仿宋_GB2312"/>
                <w:sz w:val="28"/>
                <w:color w:val="000000"/>
              </w:rPr>
              <w:t>3</w:t>
            </w:r>
            <w:r>
              <w:rPr>
                <w:rFonts w:ascii="仿宋_GB2312" w:hAnsi="仿宋_GB2312" w:cs="仿宋_GB2312" w:eastAsia="仿宋_GB2312"/>
                <w:sz w:val="28"/>
                <w:color w:val="000000"/>
              </w:rPr>
              <w:t>000</w:t>
            </w:r>
            <w:r>
              <w:rPr>
                <w:rFonts w:ascii="仿宋_GB2312" w:hAnsi="仿宋_GB2312" w:cs="仿宋_GB2312" w:eastAsia="仿宋_GB2312"/>
                <w:sz w:val="28"/>
                <w:color w:val="000000"/>
              </w:rPr>
              <w:t>kg</w:t>
            </w:r>
          </w:p>
          <w:p>
            <w:pPr>
              <w:pStyle w:val="null3"/>
              <w:spacing w:before="105" w:after="105"/>
              <w:ind w:left="420"/>
              <w:jc w:val="both"/>
            </w:pPr>
            <w:r>
              <w:rPr>
                <w:rFonts w:ascii="仿宋_GB2312" w:hAnsi="仿宋_GB2312" w:cs="仿宋_GB2312" w:eastAsia="仿宋_GB2312"/>
                <w:sz w:val="28"/>
                <w:color w:val="000000"/>
              </w:rPr>
              <w:t>3.</w:t>
            </w:r>
            <w:r>
              <w:rPr>
                <w:rFonts w:ascii="仿宋_GB2312" w:hAnsi="仿宋_GB2312" w:cs="仿宋_GB2312" w:eastAsia="仿宋_GB2312"/>
                <w:sz w:val="28"/>
                <w:color w:val="000000"/>
              </w:rPr>
              <w:t>核载人数</w:t>
            </w:r>
            <w:r>
              <w:rPr>
                <w:rFonts w:ascii="仿宋_GB2312" w:hAnsi="仿宋_GB2312" w:cs="仿宋_GB2312" w:eastAsia="仿宋_GB2312"/>
                <w:sz w:val="28"/>
                <w:color w:val="000000"/>
              </w:rPr>
              <w:t>≥</w:t>
            </w:r>
            <w:r>
              <w:rPr>
                <w:rFonts w:ascii="仿宋_GB2312" w:hAnsi="仿宋_GB2312" w:cs="仿宋_GB2312" w:eastAsia="仿宋_GB2312"/>
                <w:sz w:val="28"/>
                <w:color w:val="000000"/>
              </w:rPr>
              <w:t>9人，其中驾驶员+执勤警员</w:t>
            </w:r>
            <w:r>
              <w:rPr>
                <w:rFonts w:ascii="仿宋_GB2312" w:hAnsi="仿宋_GB2312" w:cs="仿宋_GB2312" w:eastAsia="仿宋_GB2312"/>
                <w:sz w:val="28"/>
                <w:color w:val="000000"/>
              </w:rPr>
              <w:t>≥</w:t>
            </w:r>
            <w:r>
              <w:rPr>
                <w:rFonts w:ascii="仿宋_GB2312" w:hAnsi="仿宋_GB2312" w:cs="仿宋_GB2312" w:eastAsia="仿宋_GB2312"/>
                <w:sz w:val="28"/>
                <w:color w:val="000000"/>
              </w:rPr>
              <w:t>7人，押解舱定员</w:t>
            </w:r>
            <w:r>
              <w:rPr>
                <w:rFonts w:ascii="仿宋_GB2312" w:hAnsi="仿宋_GB2312" w:cs="仿宋_GB2312" w:eastAsia="仿宋_GB2312"/>
                <w:sz w:val="28"/>
                <w:color w:val="000000"/>
              </w:rPr>
              <w:t>≥</w:t>
            </w:r>
            <w:r>
              <w:rPr>
                <w:rFonts w:ascii="仿宋_GB2312" w:hAnsi="仿宋_GB2312" w:cs="仿宋_GB2312" w:eastAsia="仿宋_GB2312"/>
                <w:sz w:val="28"/>
                <w:color w:val="000000"/>
              </w:rPr>
              <w:t>2人</w:t>
            </w:r>
          </w:p>
          <w:p>
            <w:pPr>
              <w:pStyle w:val="null3"/>
              <w:spacing w:before="105" w:after="105"/>
              <w:ind w:left="420"/>
              <w:jc w:val="both"/>
            </w:pPr>
            <w:r>
              <w:rPr>
                <w:rFonts w:ascii="仿宋_GB2312" w:hAnsi="仿宋_GB2312" w:cs="仿宋_GB2312" w:eastAsia="仿宋_GB2312"/>
                <w:sz w:val="28"/>
                <w:color w:val="000000"/>
              </w:rPr>
              <w:t>4.</w:t>
            </w:r>
            <w:r>
              <w:rPr>
                <w:rFonts w:ascii="仿宋_GB2312" w:hAnsi="仿宋_GB2312" w:cs="仿宋_GB2312" w:eastAsia="仿宋_GB2312"/>
                <w:sz w:val="28"/>
                <w:color w:val="000000"/>
              </w:rPr>
              <w:t>全车座椅符合机动车安全标准</w:t>
            </w:r>
          </w:p>
          <w:p>
            <w:pPr>
              <w:pStyle w:val="null3"/>
              <w:ind w:left="420"/>
              <w:jc w:val="both"/>
            </w:pPr>
            <w:r>
              <w:rPr>
                <w:rFonts w:ascii="仿宋_GB2312" w:hAnsi="仿宋_GB2312" w:cs="仿宋_GB2312" w:eastAsia="仿宋_GB2312"/>
                <w:sz w:val="28"/>
                <w:color w:val="000000"/>
              </w:rPr>
              <w:t>5.</w:t>
            </w:r>
            <w:r>
              <w:rPr>
                <w:rFonts w:ascii="仿宋_GB2312" w:hAnsi="仿宋_GB2312" w:cs="仿宋_GB2312" w:eastAsia="仿宋_GB2312"/>
                <w:sz w:val="28"/>
                <w:color w:val="000000"/>
              </w:rPr>
              <w:t>轴距：</w:t>
            </w:r>
            <w:r>
              <w:rPr>
                <w:rFonts w:ascii="仿宋_GB2312" w:hAnsi="仿宋_GB2312" w:cs="仿宋_GB2312" w:eastAsia="仿宋_GB2312"/>
                <w:sz w:val="28"/>
                <w:color w:val="000000"/>
              </w:rPr>
              <w:t>≥3200mm</w:t>
            </w:r>
          </w:p>
          <w:p>
            <w:pPr>
              <w:pStyle w:val="null3"/>
              <w:ind w:left="420"/>
              <w:jc w:val="both"/>
            </w:pPr>
            <w:r>
              <w:rPr>
                <w:rFonts w:ascii="仿宋_GB2312" w:hAnsi="仿宋_GB2312" w:cs="仿宋_GB2312" w:eastAsia="仿宋_GB2312"/>
                <w:sz w:val="28"/>
                <w:color w:val="000000"/>
              </w:rPr>
              <w:t>6.</w:t>
            </w:r>
            <w:r>
              <w:rPr>
                <w:rFonts w:ascii="仿宋_GB2312" w:hAnsi="仿宋_GB2312" w:cs="仿宋_GB2312" w:eastAsia="仿宋_GB2312"/>
                <w:sz w:val="28"/>
                <w:color w:val="000000"/>
              </w:rPr>
              <w:t>燃料种类：汽油</w:t>
            </w:r>
          </w:p>
          <w:p>
            <w:pPr>
              <w:pStyle w:val="null3"/>
              <w:ind w:left="420"/>
              <w:jc w:val="both"/>
            </w:pPr>
            <w:r>
              <w:rPr>
                <w:rFonts w:ascii="仿宋_GB2312" w:hAnsi="仿宋_GB2312" w:cs="仿宋_GB2312" w:eastAsia="仿宋_GB2312"/>
                <w:sz w:val="28"/>
                <w:color w:val="000000"/>
              </w:rPr>
              <w:t>7.</w:t>
            </w:r>
            <w:r>
              <w:rPr>
                <w:rFonts w:ascii="仿宋_GB2312" w:hAnsi="仿宋_GB2312" w:cs="仿宋_GB2312" w:eastAsia="仿宋_GB2312"/>
                <w:sz w:val="28"/>
                <w:color w:val="000000"/>
              </w:rPr>
              <w:t>排量：</w:t>
            </w:r>
            <w:r>
              <w:rPr>
                <w:rFonts w:ascii="仿宋_GB2312" w:hAnsi="仿宋_GB2312" w:cs="仿宋_GB2312" w:eastAsia="仿宋_GB2312"/>
                <w:sz w:val="28"/>
                <w:color w:val="000000"/>
              </w:rPr>
              <w:t>≥1950ml</w:t>
            </w:r>
          </w:p>
          <w:p>
            <w:pPr>
              <w:pStyle w:val="null3"/>
              <w:ind w:left="420"/>
              <w:jc w:val="both"/>
            </w:pPr>
            <w:r>
              <w:rPr>
                <w:rFonts w:ascii="仿宋_GB2312" w:hAnsi="仿宋_GB2312" w:cs="仿宋_GB2312" w:eastAsia="仿宋_GB2312"/>
                <w:sz w:val="28"/>
                <w:color w:val="000000"/>
              </w:rPr>
              <w:t>8.</w:t>
            </w:r>
            <w:r>
              <w:rPr>
                <w:rFonts w:ascii="仿宋_GB2312" w:hAnsi="仿宋_GB2312" w:cs="仿宋_GB2312" w:eastAsia="仿宋_GB2312"/>
                <w:sz w:val="28"/>
                <w:color w:val="000000"/>
              </w:rPr>
              <w:t>发动机功率：</w:t>
            </w:r>
            <w:r>
              <w:rPr>
                <w:rFonts w:ascii="仿宋_GB2312" w:hAnsi="仿宋_GB2312" w:cs="仿宋_GB2312" w:eastAsia="仿宋_GB2312"/>
                <w:sz w:val="28"/>
                <w:color w:val="000000"/>
              </w:rPr>
              <w:t>≥110kw</w:t>
            </w:r>
          </w:p>
          <w:p>
            <w:pPr>
              <w:pStyle w:val="null3"/>
              <w:spacing w:before="105" w:after="105"/>
              <w:ind w:firstLine="551"/>
              <w:jc w:val="both"/>
            </w:pPr>
            <w:r>
              <w:rPr>
                <w:rFonts w:ascii="仿宋_GB2312" w:hAnsi="仿宋_GB2312" w:cs="仿宋_GB2312" w:eastAsia="仿宋_GB2312"/>
                <w:sz w:val="28"/>
                <w:b/>
                <w:color w:val="000000"/>
              </w:rPr>
              <w:t>配置清单</w:t>
            </w:r>
          </w:p>
          <w:tbl>
            <w:tblPr>
              <w:tblInd w:type="dxa" w:w="180"/>
              <w:tblBorders>
                <w:top w:val="none" w:color="000000" w:sz="4"/>
                <w:left w:val="none" w:color="000000" w:sz="4"/>
                <w:bottom w:val="none" w:color="000000" w:sz="4"/>
                <w:right w:val="none" w:color="000000" w:sz="4"/>
                <w:insideH w:val="none"/>
                <w:insideV w:val="none"/>
              </w:tblBorders>
            </w:tblPr>
            <w:tblGrid>
              <w:gridCol w:w="281"/>
              <w:gridCol w:w="2012"/>
              <w:gridCol w:w="260"/>
            </w:tblGrid>
            <w:tr>
              <w:tc>
                <w:tcPr>
                  <w:tcW w:type="dxa" w:w="281"/>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spacing w:before="105" w:after="105"/>
                    <w:jc w:val="center"/>
                  </w:pPr>
                  <w:r>
                    <w:rPr>
                      <w:rFonts w:ascii="仿宋_GB2312" w:hAnsi="仿宋_GB2312" w:cs="仿宋_GB2312" w:eastAsia="仿宋_GB2312"/>
                      <w:sz w:val="24"/>
                      <w:color w:val="000000"/>
                    </w:rPr>
                    <w:t>序号</w:t>
                  </w:r>
                </w:p>
              </w:tc>
              <w:tc>
                <w:tcPr>
                  <w:tcW w:type="dxa" w:w="2012"/>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spacing w:before="105" w:after="105"/>
                    <w:jc w:val="center"/>
                  </w:pPr>
                  <w:r>
                    <w:rPr>
                      <w:rFonts w:ascii="仿宋_GB2312" w:hAnsi="仿宋_GB2312" w:cs="仿宋_GB2312" w:eastAsia="仿宋_GB2312"/>
                      <w:sz w:val="24"/>
                      <w:color w:val="000000"/>
                    </w:rPr>
                    <w:t>描述</w:t>
                  </w:r>
                </w:p>
              </w:tc>
              <w:tc>
                <w:tcPr>
                  <w:tcW w:type="dxa" w:w="260"/>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spacing w:before="105" w:after="105"/>
                    <w:jc w:val="center"/>
                  </w:pPr>
                  <w:r>
                    <w:rPr>
                      <w:rFonts w:ascii="仿宋_GB2312" w:hAnsi="仿宋_GB2312" w:cs="仿宋_GB2312" w:eastAsia="仿宋_GB2312"/>
                      <w:sz w:val="24"/>
                      <w:color w:val="000000"/>
                    </w:rPr>
                    <w:t>数量</w:t>
                  </w:r>
                </w:p>
              </w:tc>
            </w:tr>
            <w:tr>
              <w:tc>
                <w:tcPr>
                  <w:tcW w:type="dxa" w:w="28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spacing w:before="105" w:after="105"/>
                    <w:jc w:val="center"/>
                  </w:pPr>
                  <w:r>
                    <w:rPr>
                      <w:rFonts w:ascii="仿宋_GB2312" w:hAnsi="仿宋_GB2312" w:cs="仿宋_GB2312" w:eastAsia="仿宋_GB2312"/>
                      <w:sz w:val="24"/>
                      <w:b/>
                      <w:color w:val="000000"/>
                    </w:rPr>
                    <w:t>车身涂装</w:t>
                  </w:r>
                </w:p>
              </w:tc>
              <w:tc>
                <w:tcPr>
                  <w:tcW w:type="dxa" w:w="201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p>
              </w:tc>
              <w:tc>
                <w:tcPr>
                  <w:tcW w:type="dxa" w:w="26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r>
            <w:tr>
              <w:tc>
                <w:tcPr>
                  <w:tcW w:type="dxa" w:w="28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w:t>
                  </w:r>
                </w:p>
              </w:tc>
              <w:tc>
                <w:tcPr>
                  <w:tcW w:type="dxa" w:w="201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spacing w:before="105" w:after="105"/>
                    <w:jc w:val="center"/>
                  </w:pPr>
                  <w:r>
                    <w:rPr>
                      <w:rFonts w:ascii="仿宋_GB2312" w:hAnsi="仿宋_GB2312" w:cs="仿宋_GB2312" w:eastAsia="仿宋_GB2312"/>
                      <w:sz w:val="24"/>
                      <w:color w:val="000000"/>
                    </w:rPr>
                    <w:t>白色车身</w:t>
                  </w:r>
                  <w:r>
                    <w:rPr>
                      <w:rFonts w:ascii="仿宋_GB2312" w:hAnsi="仿宋_GB2312" w:cs="仿宋_GB2312" w:eastAsia="仿宋_GB2312"/>
                      <w:sz w:val="24"/>
                      <w:color w:val="000000"/>
                    </w:rPr>
                    <w:t>+04式警车图徽</w:t>
                  </w:r>
                </w:p>
              </w:tc>
              <w:tc>
                <w:tcPr>
                  <w:tcW w:type="dxa" w:w="26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spacing w:before="105" w:after="105"/>
                    <w:jc w:val="center"/>
                  </w:pPr>
                  <w:r>
                    <w:rPr>
                      <w:rFonts w:ascii="仿宋_GB2312" w:hAnsi="仿宋_GB2312" w:cs="仿宋_GB2312" w:eastAsia="仿宋_GB2312"/>
                      <w:sz w:val="24"/>
                      <w:color w:val="000000"/>
                    </w:rPr>
                    <w:t>1套</w:t>
                  </w:r>
                </w:p>
              </w:tc>
            </w:tr>
            <w:tr>
              <w:tc>
                <w:tcPr>
                  <w:tcW w:type="dxa" w:w="28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spacing w:before="105" w:after="105"/>
                    <w:jc w:val="center"/>
                  </w:pPr>
                  <w:r>
                    <w:rPr>
                      <w:rFonts w:ascii="仿宋_GB2312" w:hAnsi="仿宋_GB2312" w:cs="仿宋_GB2312" w:eastAsia="仿宋_GB2312"/>
                      <w:sz w:val="24"/>
                      <w:color w:val="000000"/>
                    </w:rPr>
                    <w:t>2</w:t>
                  </w:r>
                </w:p>
              </w:tc>
              <w:tc>
                <w:tcPr>
                  <w:tcW w:type="dxa" w:w="201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spacing w:before="105" w:after="105"/>
                    <w:jc w:val="center"/>
                  </w:pPr>
                  <w:r>
                    <w:rPr>
                      <w:rFonts w:ascii="仿宋_GB2312" w:hAnsi="仿宋_GB2312" w:cs="仿宋_GB2312" w:eastAsia="仿宋_GB2312"/>
                      <w:sz w:val="24"/>
                      <w:color w:val="000000"/>
                    </w:rPr>
                    <w:t>隐私贴膜</w:t>
                  </w:r>
                </w:p>
              </w:tc>
              <w:tc>
                <w:tcPr>
                  <w:tcW w:type="dxa" w:w="26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spacing w:before="105" w:after="105"/>
                    <w:jc w:val="center"/>
                  </w:pPr>
                  <w:r>
                    <w:rPr>
                      <w:rFonts w:ascii="仿宋_GB2312" w:hAnsi="仿宋_GB2312" w:cs="仿宋_GB2312" w:eastAsia="仿宋_GB2312"/>
                      <w:sz w:val="24"/>
                      <w:color w:val="000000"/>
                    </w:rPr>
                    <w:t>1套</w:t>
                  </w:r>
                </w:p>
              </w:tc>
            </w:tr>
            <w:tr>
              <w:tc>
                <w:tcPr>
                  <w:tcW w:type="dxa" w:w="28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spacing w:before="105" w:after="105"/>
                    <w:jc w:val="center"/>
                  </w:pPr>
                  <w:r>
                    <w:rPr>
                      <w:rFonts w:ascii="仿宋_GB2312" w:hAnsi="仿宋_GB2312" w:cs="仿宋_GB2312" w:eastAsia="仿宋_GB2312"/>
                      <w:sz w:val="24"/>
                      <w:b/>
                      <w:color w:val="000000"/>
                    </w:rPr>
                    <w:t>警报、照明系统</w:t>
                  </w:r>
                </w:p>
              </w:tc>
              <w:tc>
                <w:tcPr>
                  <w:tcW w:type="dxa" w:w="201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p>
              </w:tc>
              <w:tc>
                <w:tcPr>
                  <w:tcW w:type="dxa" w:w="26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r>
            <w:tr>
              <w:tc>
                <w:tcPr>
                  <w:tcW w:type="dxa" w:w="28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3</w:t>
                  </w:r>
                </w:p>
              </w:tc>
              <w:tc>
                <w:tcPr>
                  <w:tcW w:type="dxa" w:w="201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spacing w:before="105" w:after="105"/>
                    <w:jc w:val="center"/>
                  </w:pPr>
                  <w:r>
                    <w:rPr>
                      <w:rFonts w:ascii="仿宋_GB2312" w:hAnsi="仿宋_GB2312" w:cs="仿宋_GB2312" w:eastAsia="仿宋_GB2312"/>
                      <w:sz w:val="24"/>
                      <w:color w:val="000000"/>
                    </w:rPr>
                    <w:t>100W 警报器带喊话功能</w:t>
                  </w:r>
                </w:p>
              </w:tc>
              <w:tc>
                <w:tcPr>
                  <w:tcW w:type="dxa" w:w="26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spacing w:before="105" w:after="105"/>
                    <w:jc w:val="center"/>
                  </w:pPr>
                  <w:r>
                    <w:rPr>
                      <w:rFonts w:ascii="仿宋_GB2312" w:hAnsi="仿宋_GB2312" w:cs="仿宋_GB2312" w:eastAsia="仿宋_GB2312"/>
                      <w:sz w:val="24"/>
                      <w:color w:val="000000"/>
                    </w:rPr>
                    <w:t>1套</w:t>
                  </w:r>
                </w:p>
              </w:tc>
            </w:tr>
            <w:tr>
              <w:tc>
                <w:tcPr>
                  <w:tcW w:type="dxa" w:w="28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spacing w:before="105" w:after="105"/>
                    <w:jc w:val="center"/>
                  </w:pPr>
                  <w:r>
                    <w:rPr>
                      <w:rFonts w:ascii="仿宋_GB2312" w:hAnsi="仿宋_GB2312" w:cs="仿宋_GB2312" w:eastAsia="仿宋_GB2312"/>
                      <w:sz w:val="24"/>
                      <w:color w:val="000000"/>
                    </w:rPr>
                    <w:t>4</w:t>
                  </w:r>
                </w:p>
              </w:tc>
              <w:tc>
                <w:tcPr>
                  <w:tcW w:type="dxa" w:w="201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spacing w:before="105" w:after="105"/>
                    <w:jc w:val="center"/>
                  </w:pPr>
                  <w:r>
                    <w:rPr>
                      <w:rFonts w:ascii="仿宋_GB2312" w:hAnsi="仿宋_GB2312" w:cs="仿宋_GB2312" w:eastAsia="仿宋_GB2312"/>
                      <w:sz w:val="24"/>
                      <w:color w:val="000000"/>
                    </w:rPr>
                    <w:t>车顶前部安装长条警灯，透光良好，穿透能力强，可有效警示行人及车辆</w:t>
                  </w:r>
                </w:p>
              </w:tc>
              <w:tc>
                <w:tcPr>
                  <w:tcW w:type="dxa" w:w="26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spacing w:before="105" w:after="105"/>
                    <w:jc w:val="center"/>
                  </w:pPr>
                  <w:r>
                    <w:rPr>
                      <w:rFonts w:ascii="仿宋_GB2312" w:hAnsi="仿宋_GB2312" w:cs="仿宋_GB2312" w:eastAsia="仿宋_GB2312"/>
                      <w:sz w:val="24"/>
                      <w:color w:val="000000"/>
                    </w:rPr>
                    <w:t>1个</w:t>
                  </w:r>
                </w:p>
              </w:tc>
            </w:tr>
            <w:tr>
              <w:tc>
                <w:tcPr>
                  <w:tcW w:type="dxa" w:w="28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spacing w:before="105" w:after="105"/>
                    <w:jc w:val="center"/>
                  </w:pPr>
                  <w:r>
                    <w:rPr>
                      <w:rFonts w:ascii="仿宋_GB2312" w:hAnsi="仿宋_GB2312" w:cs="仿宋_GB2312" w:eastAsia="仿宋_GB2312"/>
                      <w:sz w:val="24"/>
                      <w:color w:val="000000"/>
                    </w:rPr>
                    <w:t>5</w:t>
                  </w:r>
                </w:p>
              </w:tc>
              <w:tc>
                <w:tcPr>
                  <w:tcW w:type="dxa" w:w="201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spacing w:before="105" w:after="105"/>
                    <w:jc w:val="center"/>
                  </w:pPr>
                  <w:r>
                    <w:rPr>
                      <w:rFonts w:ascii="仿宋_GB2312" w:hAnsi="仿宋_GB2312" w:cs="仿宋_GB2312" w:eastAsia="仿宋_GB2312"/>
                      <w:sz w:val="24"/>
                      <w:color w:val="000000"/>
                    </w:rPr>
                    <w:t>车身两侧安装红蓝爆闪警灯各</w:t>
                  </w:r>
                  <w:r>
                    <w:rPr>
                      <w:rFonts w:ascii="仿宋_GB2312" w:hAnsi="仿宋_GB2312" w:cs="仿宋_GB2312" w:eastAsia="仿宋_GB2312"/>
                      <w:sz w:val="24"/>
                      <w:color w:val="000000"/>
                    </w:rPr>
                    <w:t>3只，尾部2只</w:t>
                  </w:r>
                </w:p>
              </w:tc>
              <w:tc>
                <w:tcPr>
                  <w:tcW w:type="dxa" w:w="26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spacing w:before="105" w:after="105"/>
                    <w:jc w:val="center"/>
                  </w:pPr>
                  <w:r>
                    <w:rPr>
                      <w:rFonts w:ascii="仿宋_GB2312" w:hAnsi="仿宋_GB2312" w:cs="仿宋_GB2312" w:eastAsia="仿宋_GB2312"/>
                      <w:sz w:val="24"/>
                      <w:color w:val="000000"/>
                    </w:rPr>
                    <w:t>6个</w:t>
                  </w:r>
                </w:p>
              </w:tc>
            </w:tr>
            <w:tr>
              <w:tc>
                <w:tcPr>
                  <w:tcW w:type="dxa" w:w="28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spacing w:before="105" w:after="105"/>
                    <w:jc w:val="center"/>
                  </w:pPr>
                  <w:r>
                    <w:rPr>
                      <w:rFonts w:ascii="仿宋_GB2312" w:hAnsi="仿宋_GB2312" w:cs="仿宋_GB2312" w:eastAsia="仿宋_GB2312"/>
                      <w:sz w:val="24"/>
                      <w:color w:val="000000"/>
                    </w:rPr>
                    <w:t>6</w:t>
                  </w:r>
                </w:p>
              </w:tc>
              <w:tc>
                <w:tcPr>
                  <w:tcW w:type="dxa" w:w="201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spacing w:before="105" w:after="105"/>
                    <w:jc w:val="center"/>
                  </w:pPr>
                  <w:r>
                    <w:rPr>
                      <w:rFonts w:ascii="仿宋_GB2312" w:hAnsi="仿宋_GB2312" w:cs="仿宋_GB2312" w:eastAsia="仿宋_GB2312"/>
                      <w:sz w:val="24"/>
                      <w:color w:val="000000"/>
                    </w:rPr>
                    <w:t>后舱</w:t>
                  </w:r>
                  <w:r>
                    <w:rPr>
                      <w:rFonts w:ascii="仿宋_GB2312" w:hAnsi="仿宋_GB2312" w:cs="仿宋_GB2312" w:eastAsia="仿宋_GB2312"/>
                      <w:sz w:val="24"/>
                      <w:color w:val="000000"/>
                    </w:rPr>
                    <w:t>LED照明系统</w:t>
                  </w:r>
                </w:p>
              </w:tc>
              <w:tc>
                <w:tcPr>
                  <w:tcW w:type="dxa" w:w="26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spacing w:before="105" w:after="105"/>
                    <w:jc w:val="center"/>
                  </w:pPr>
                  <w:r>
                    <w:rPr>
                      <w:rFonts w:ascii="仿宋_GB2312" w:hAnsi="仿宋_GB2312" w:cs="仿宋_GB2312" w:eastAsia="仿宋_GB2312"/>
                      <w:sz w:val="24"/>
                      <w:color w:val="000000"/>
                    </w:rPr>
                    <w:t>4盏</w:t>
                  </w:r>
                </w:p>
              </w:tc>
            </w:tr>
            <w:tr>
              <w:tc>
                <w:tcPr>
                  <w:tcW w:type="dxa" w:w="28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spacing w:before="105" w:after="105"/>
                    <w:jc w:val="center"/>
                  </w:pPr>
                  <w:r>
                    <w:rPr>
                      <w:rFonts w:ascii="仿宋_GB2312" w:hAnsi="仿宋_GB2312" w:cs="仿宋_GB2312" w:eastAsia="仿宋_GB2312"/>
                      <w:sz w:val="24"/>
                      <w:color w:val="000000"/>
                    </w:rPr>
                    <w:t>驾驶舱及后舱</w:t>
                  </w:r>
                </w:p>
              </w:tc>
              <w:tc>
                <w:tcPr>
                  <w:tcW w:type="dxa" w:w="201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p>
              </w:tc>
              <w:tc>
                <w:tcPr>
                  <w:tcW w:type="dxa" w:w="26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r>
            <w:tr>
              <w:tc>
                <w:tcPr>
                  <w:tcW w:type="dxa" w:w="28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7</w:t>
                  </w:r>
                </w:p>
              </w:tc>
              <w:tc>
                <w:tcPr>
                  <w:tcW w:type="dxa" w:w="201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spacing w:before="105" w:after="105"/>
                    <w:jc w:val="center"/>
                  </w:pPr>
                  <w:r>
                    <w:rPr>
                      <w:rFonts w:ascii="仿宋_GB2312" w:hAnsi="仿宋_GB2312" w:cs="仿宋_GB2312" w:eastAsia="仿宋_GB2312"/>
                      <w:sz w:val="24"/>
                      <w:color w:val="000000"/>
                    </w:rPr>
                    <w:t>左单人司机座</w:t>
                  </w:r>
                  <w:r>
                    <w:rPr>
                      <w:rFonts w:ascii="仿宋_GB2312" w:hAnsi="仿宋_GB2312" w:cs="仿宋_GB2312" w:eastAsia="仿宋_GB2312"/>
                      <w:sz w:val="24"/>
                      <w:color w:val="000000"/>
                    </w:rPr>
                    <w:t>+右双人两排乘客座（7＋2人）</w:t>
                  </w:r>
                </w:p>
              </w:tc>
              <w:tc>
                <w:tcPr>
                  <w:tcW w:type="dxa" w:w="26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spacing w:before="105" w:after="105"/>
                    <w:jc w:val="center"/>
                  </w:pPr>
                  <w:r>
                    <w:rPr>
                      <w:rFonts w:ascii="仿宋_GB2312" w:hAnsi="仿宋_GB2312" w:cs="仿宋_GB2312" w:eastAsia="仿宋_GB2312"/>
                      <w:sz w:val="24"/>
                      <w:color w:val="000000"/>
                    </w:rPr>
                    <w:t>1套</w:t>
                  </w:r>
                </w:p>
              </w:tc>
            </w:tr>
            <w:tr>
              <w:tc>
                <w:tcPr>
                  <w:tcW w:type="dxa" w:w="28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spacing w:before="105" w:after="105"/>
                    <w:jc w:val="center"/>
                  </w:pPr>
                  <w:r>
                    <w:rPr>
                      <w:rFonts w:ascii="仿宋_GB2312" w:hAnsi="仿宋_GB2312" w:cs="仿宋_GB2312" w:eastAsia="仿宋_GB2312"/>
                      <w:sz w:val="24"/>
                      <w:color w:val="000000"/>
                    </w:rPr>
                    <w:t>8</w:t>
                  </w:r>
                </w:p>
              </w:tc>
              <w:tc>
                <w:tcPr>
                  <w:tcW w:type="dxa" w:w="201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spacing w:before="105" w:after="105"/>
                    <w:jc w:val="center"/>
                  </w:pPr>
                  <w:r>
                    <w:rPr>
                      <w:rFonts w:ascii="仿宋_GB2312" w:hAnsi="仿宋_GB2312" w:cs="仿宋_GB2312" w:eastAsia="仿宋_GB2312"/>
                      <w:sz w:val="24"/>
                      <w:color w:val="000000"/>
                    </w:rPr>
                    <w:t>监控显示器（监控录像设备</w:t>
                  </w:r>
                  <w:r>
                    <w:rPr>
                      <w:rFonts w:ascii="仿宋_GB2312" w:hAnsi="仿宋_GB2312" w:cs="仿宋_GB2312" w:eastAsia="仿宋_GB2312"/>
                      <w:sz w:val="24"/>
                      <w:color w:val="000000"/>
                    </w:rPr>
                    <w:t xml:space="preserve"> 4路摄像头）囚室里面2路摄像头，驾驶室和乘坐室2路摄像头（不少于72小时录像存储）</w:t>
                  </w:r>
                </w:p>
              </w:tc>
              <w:tc>
                <w:tcPr>
                  <w:tcW w:type="dxa" w:w="26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spacing w:before="105" w:after="105"/>
                    <w:jc w:val="center"/>
                  </w:pPr>
                  <w:r>
                    <w:rPr>
                      <w:rFonts w:ascii="仿宋_GB2312" w:hAnsi="仿宋_GB2312" w:cs="仿宋_GB2312" w:eastAsia="仿宋_GB2312"/>
                      <w:sz w:val="24"/>
                      <w:color w:val="000000"/>
                    </w:rPr>
                    <w:t>1套(选装)</w:t>
                  </w:r>
                </w:p>
              </w:tc>
            </w:tr>
            <w:tr>
              <w:tc>
                <w:tcPr>
                  <w:tcW w:type="dxa" w:w="28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spacing w:before="105" w:after="105"/>
                    <w:jc w:val="center"/>
                  </w:pPr>
                  <w:r>
                    <w:rPr>
                      <w:rFonts w:ascii="仿宋_GB2312" w:hAnsi="仿宋_GB2312" w:cs="仿宋_GB2312" w:eastAsia="仿宋_GB2312"/>
                      <w:sz w:val="24"/>
                      <w:color w:val="000000"/>
                    </w:rPr>
                    <w:t>乘员舱</w:t>
                  </w:r>
                </w:p>
              </w:tc>
              <w:tc>
                <w:tcPr>
                  <w:tcW w:type="dxa" w:w="201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p>
              </w:tc>
              <w:tc>
                <w:tcPr>
                  <w:tcW w:type="dxa" w:w="26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r>
            <w:tr>
              <w:tc>
                <w:tcPr>
                  <w:tcW w:type="dxa" w:w="28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9</w:t>
                  </w:r>
                </w:p>
              </w:tc>
              <w:tc>
                <w:tcPr>
                  <w:tcW w:type="dxa" w:w="201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spacing w:before="105" w:after="105"/>
                    <w:jc w:val="center"/>
                  </w:pPr>
                  <w:r>
                    <w:rPr>
                      <w:rFonts w:ascii="仿宋_GB2312" w:hAnsi="仿宋_GB2312" w:cs="仿宋_GB2312" w:eastAsia="仿宋_GB2312"/>
                      <w:sz w:val="24"/>
                      <w:color w:val="000000"/>
                    </w:rPr>
                    <w:t>左侧监乘人员双人座椅含安全带</w:t>
                  </w:r>
                </w:p>
              </w:tc>
              <w:tc>
                <w:tcPr>
                  <w:tcW w:type="dxa" w:w="26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spacing w:before="105" w:after="105"/>
                    <w:jc w:val="center"/>
                  </w:pPr>
                  <w:r>
                    <w:rPr>
                      <w:rFonts w:ascii="仿宋_GB2312" w:hAnsi="仿宋_GB2312" w:cs="仿宋_GB2312" w:eastAsia="仿宋_GB2312"/>
                      <w:sz w:val="24"/>
                      <w:color w:val="000000"/>
                    </w:rPr>
                    <w:t>1套</w:t>
                  </w:r>
                </w:p>
              </w:tc>
            </w:tr>
            <w:tr>
              <w:tc>
                <w:tcPr>
                  <w:tcW w:type="dxa" w:w="28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spacing w:before="105" w:after="105"/>
                    <w:jc w:val="center"/>
                  </w:pPr>
                  <w:r>
                    <w:rPr>
                      <w:rFonts w:ascii="仿宋_GB2312" w:hAnsi="仿宋_GB2312" w:cs="仿宋_GB2312" w:eastAsia="仿宋_GB2312"/>
                      <w:sz w:val="24"/>
                      <w:color w:val="000000"/>
                    </w:rPr>
                    <w:t>10</w:t>
                  </w:r>
                </w:p>
              </w:tc>
              <w:tc>
                <w:tcPr>
                  <w:tcW w:type="dxa" w:w="201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spacing w:before="105" w:after="105"/>
                    <w:jc w:val="center"/>
                  </w:pPr>
                  <w:r>
                    <w:rPr>
                      <w:rFonts w:ascii="仿宋_GB2312" w:hAnsi="仿宋_GB2312" w:cs="仿宋_GB2312" w:eastAsia="仿宋_GB2312"/>
                      <w:sz w:val="24"/>
                      <w:color w:val="000000"/>
                    </w:rPr>
                    <w:t>耐磨、防滑铝花纹地板及垫层</w:t>
                  </w:r>
                </w:p>
              </w:tc>
              <w:tc>
                <w:tcPr>
                  <w:tcW w:type="dxa" w:w="26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spacing w:before="105" w:after="105"/>
                    <w:jc w:val="center"/>
                  </w:pPr>
                  <w:r>
                    <w:rPr>
                      <w:rFonts w:ascii="仿宋_GB2312" w:hAnsi="仿宋_GB2312" w:cs="仿宋_GB2312" w:eastAsia="仿宋_GB2312"/>
                      <w:sz w:val="24"/>
                      <w:color w:val="000000"/>
                    </w:rPr>
                    <w:t>1套</w:t>
                  </w:r>
                </w:p>
              </w:tc>
            </w:tr>
            <w:tr>
              <w:tc>
                <w:tcPr>
                  <w:tcW w:type="dxa" w:w="28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spacing w:before="105" w:after="105"/>
                    <w:jc w:val="center"/>
                  </w:pPr>
                  <w:r>
                    <w:rPr>
                      <w:rFonts w:ascii="仿宋_GB2312" w:hAnsi="仿宋_GB2312" w:cs="仿宋_GB2312" w:eastAsia="仿宋_GB2312"/>
                      <w:sz w:val="24"/>
                      <w:b/>
                      <w:color w:val="000000"/>
                    </w:rPr>
                    <w:t>囚室配置</w:t>
                  </w:r>
                </w:p>
              </w:tc>
              <w:tc>
                <w:tcPr>
                  <w:tcW w:type="dxa" w:w="201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p>
              </w:tc>
              <w:tc>
                <w:tcPr>
                  <w:tcW w:type="dxa" w:w="26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tc>
            </w:tr>
            <w:tr>
              <w:tc>
                <w:tcPr>
                  <w:tcW w:type="dxa" w:w="28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4"/>
                      <w:color w:val="000000"/>
                    </w:rPr>
                    <w:t>11</w:t>
                  </w:r>
                </w:p>
              </w:tc>
              <w:tc>
                <w:tcPr>
                  <w:tcW w:type="dxa" w:w="201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spacing w:before="105" w:after="105"/>
                    <w:jc w:val="center"/>
                  </w:pPr>
                  <w:r>
                    <w:rPr>
                      <w:rFonts w:ascii="仿宋_GB2312" w:hAnsi="仿宋_GB2312" w:cs="仿宋_GB2312" w:eastAsia="仿宋_GB2312"/>
                      <w:sz w:val="24"/>
                      <w:color w:val="000000"/>
                    </w:rPr>
                    <w:t>不锈钢囚笼</w:t>
                  </w:r>
                </w:p>
              </w:tc>
              <w:tc>
                <w:tcPr>
                  <w:tcW w:type="dxa" w:w="26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spacing w:before="105" w:after="105"/>
                    <w:jc w:val="center"/>
                  </w:pPr>
                  <w:r>
                    <w:rPr>
                      <w:rFonts w:ascii="仿宋_GB2312" w:hAnsi="仿宋_GB2312" w:cs="仿宋_GB2312" w:eastAsia="仿宋_GB2312"/>
                      <w:sz w:val="24"/>
                      <w:color w:val="000000"/>
                    </w:rPr>
                    <w:t>1套</w:t>
                  </w:r>
                </w:p>
              </w:tc>
            </w:tr>
            <w:tr>
              <w:tc>
                <w:tcPr>
                  <w:tcW w:type="dxa" w:w="28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spacing w:before="105" w:after="105"/>
                    <w:jc w:val="center"/>
                  </w:pPr>
                  <w:r>
                    <w:rPr>
                      <w:rFonts w:ascii="仿宋_GB2312" w:hAnsi="仿宋_GB2312" w:cs="仿宋_GB2312" w:eastAsia="仿宋_GB2312"/>
                      <w:sz w:val="24"/>
                      <w:color w:val="000000"/>
                    </w:rPr>
                    <w:t>12</w:t>
                  </w:r>
                </w:p>
              </w:tc>
              <w:tc>
                <w:tcPr>
                  <w:tcW w:type="dxa" w:w="201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spacing w:before="105" w:after="105"/>
                    <w:jc w:val="center"/>
                  </w:pPr>
                  <w:r>
                    <w:rPr>
                      <w:rFonts w:ascii="仿宋_GB2312" w:hAnsi="仿宋_GB2312" w:cs="仿宋_GB2312" w:eastAsia="仿宋_GB2312"/>
                      <w:sz w:val="24"/>
                      <w:color w:val="000000"/>
                    </w:rPr>
                    <w:t>侧窗内不锈钢防爆栅栏</w:t>
                  </w:r>
                </w:p>
              </w:tc>
              <w:tc>
                <w:tcPr>
                  <w:tcW w:type="dxa" w:w="26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spacing w:before="105" w:after="105"/>
                    <w:jc w:val="center"/>
                  </w:pPr>
                  <w:r>
                    <w:rPr>
                      <w:rFonts w:ascii="仿宋_GB2312" w:hAnsi="仿宋_GB2312" w:cs="仿宋_GB2312" w:eastAsia="仿宋_GB2312"/>
                      <w:sz w:val="24"/>
                      <w:color w:val="000000"/>
                    </w:rPr>
                    <w:t>2套</w:t>
                  </w:r>
                </w:p>
              </w:tc>
            </w:tr>
            <w:tr>
              <w:tc>
                <w:tcPr>
                  <w:tcW w:type="dxa" w:w="28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spacing w:before="105" w:after="105"/>
                    <w:jc w:val="center"/>
                  </w:pPr>
                  <w:r>
                    <w:rPr>
                      <w:rFonts w:ascii="仿宋_GB2312" w:hAnsi="仿宋_GB2312" w:cs="仿宋_GB2312" w:eastAsia="仿宋_GB2312"/>
                      <w:sz w:val="24"/>
                      <w:color w:val="000000"/>
                    </w:rPr>
                    <w:t>13</w:t>
                  </w:r>
                </w:p>
              </w:tc>
              <w:tc>
                <w:tcPr>
                  <w:tcW w:type="dxa" w:w="201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spacing w:before="105" w:after="105"/>
                    <w:jc w:val="center"/>
                  </w:pPr>
                  <w:r>
                    <w:rPr>
                      <w:rFonts w:ascii="仿宋_GB2312" w:hAnsi="仿宋_GB2312" w:cs="仿宋_GB2312" w:eastAsia="仿宋_GB2312"/>
                      <w:sz w:val="24"/>
                      <w:color w:val="000000"/>
                    </w:rPr>
                    <w:t>押乘囚室亚克力板隔断墙，防止嫌疑人通过栅栏间隙攻击执法人员</w:t>
                  </w:r>
                </w:p>
              </w:tc>
              <w:tc>
                <w:tcPr>
                  <w:tcW w:type="dxa" w:w="26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spacing w:before="105" w:after="105"/>
                    <w:jc w:val="center"/>
                  </w:pPr>
                  <w:r>
                    <w:rPr>
                      <w:rFonts w:ascii="仿宋_GB2312" w:hAnsi="仿宋_GB2312" w:cs="仿宋_GB2312" w:eastAsia="仿宋_GB2312"/>
                      <w:sz w:val="24"/>
                      <w:color w:val="000000"/>
                    </w:rPr>
                    <w:t>1套</w:t>
                  </w:r>
                </w:p>
              </w:tc>
            </w:tr>
            <w:tr>
              <w:tc>
                <w:tcPr>
                  <w:tcW w:type="dxa" w:w="28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spacing w:before="105" w:after="105"/>
                    <w:jc w:val="center"/>
                  </w:pPr>
                  <w:r>
                    <w:rPr>
                      <w:rFonts w:ascii="仿宋_GB2312" w:hAnsi="仿宋_GB2312" w:cs="仿宋_GB2312" w:eastAsia="仿宋_GB2312"/>
                      <w:sz w:val="24"/>
                      <w:color w:val="000000"/>
                    </w:rPr>
                    <w:t>14</w:t>
                  </w:r>
                </w:p>
              </w:tc>
              <w:tc>
                <w:tcPr>
                  <w:tcW w:type="dxa" w:w="201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spacing w:before="105" w:after="105"/>
                    <w:jc w:val="center"/>
                  </w:pPr>
                  <w:r>
                    <w:rPr>
                      <w:rFonts w:ascii="仿宋_GB2312" w:hAnsi="仿宋_GB2312" w:cs="仿宋_GB2312" w:eastAsia="仿宋_GB2312"/>
                      <w:sz w:val="24"/>
                      <w:color w:val="000000"/>
                    </w:rPr>
                    <w:t>双人座椅</w:t>
                  </w:r>
                  <w:r>
                    <w:rPr>
                      <w:rFonts w:ascii="仿宋_GB2312" w:hAnsi="仿宋_GB2312" w:cs="仿宋_GB2312" w:eastAsia="仿宋_GB2312"/>
                      <w:sz w:val="24"/>
                      <w:color w:val="000000"/>
                    </w:rPr>
                    <w:t>+两点式安全带（座椅长度为80-90cm)</w:t>
                  </w:r>
                </w:p>
              </w:tc>
              <w:tc>
                <w:tcPr>
                  <w:tcW w:type="dxa" w:w="26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spacing w:before="105" w:after="105"/>
                    <w:jc w:val="center"/>
                  </w:pPr>
                  <w:r>
                    <w:rPr>
                      <w:rFonts w:ascii="仿宋_GB2312" w:hAnsi="仿宋_GB2312" w:cs="仿宋_GB2312" w:eastAsia="仿宋_GB2312"/>
                      <w:sz w:val="24"/>
                      <w:color w:val="000000"/>
                    </w:rPr>
                    <w:t>1套</w:t>
                  </w:r>
                </w:p>
              </w:tc>
            </w:tr>
            <w:tr>
              <w:tc>
                <w:tcPr>
                  <w:tcW w:type="dxa" w:w="28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spacing w:before="105" w:after="105"/>
                    <w:jc w:val="center"/>
                  </w:pPr>
                  <w:r>
                    <w:rPr>
                      <w:rFonts w:ascii="仿宋_GB2312" w:hAnsi="仿宋_GB2312" w:cs="仿宋_GB2312" w:eastAsia="仿宋_GB2312"/>
                      <w:sz w:val="24"/>
                      <w:color w:val="000000"/>
                    </w:rPr>
                    <w:t>15</w:t>
                  </w:r>
                </w:p>
              </w:tc>
              <w:tc>
                <w:tcPr>
                  <w:tcW w:type="dxa" w:w="201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spacing w:before="105" w:after="105"/>
                    <w:jc w:val="center"/>
                  </w:pPr>
                  <w:r>
                    <w:rPr>
                      <w:rFonts w:ascii="仿宋_GB2312" w:hAnsi="仿宋_GB2312" w:cs="仿宋_GB2312" w:eastAsia="仿宋_GB2312"/>
                      <w:sz w:val="24"/>
                      <w:color w:val="000000"/>
                    </w:rPr>
                    <w:t>手铐</w:t>
                  </w:r>
                  <w:r>
                    <w:rPr>
                      <w:rFonts w:ascii="仿宋_GB2312" w:hAnsi="仿宋_GB2312" w:cs="仿宋_GB2312" w:eastAsia="仿宋_GB2312"/>
                      <w:sz w:val="24"/>
                      <w:color w:val="000000"/>
                    </w:rPr>
                    <w:t>/脚镣固定环</w:t>
                  </w:r>
                </w:p>
              </w:tc>
              <w:tc>
                <w:tcPr>
                  <w:tcW w:type="dxa" w:w="26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spacing w:before="105" w:after="105"/>
                    <w:jc w:val="center"/>
                  </w:pPr>
                  <w:r>
                    <w:rPr>
                      <w:rFonts w:ascii="仿宋_GB2312" w:hAnsi="仿宋_GB2312" w:cs="仿宋_GB2312" w:eastAsia="仿宋_GB2312"/>
                      <w:sz w:val="24"/>
                      <w:color w:val="000000"/>
                    </w:rPr>
                    <w:t>各</w:t>
                  </w:r>
                  <w:r>
                    <w:rPr>
                      <w:rFonts w:ascii="仿宋_GB2312" w:hAnsi="仿宋_GB2312" w:cs="仿宋_GB2312" w:eastAsia="仿宋_GB2312"/>
                      <w:sz w:val="24"/>
                      <w:color w:val="000000"/>
                    </w:rPr>
                    <w:t>1套</w:t>
                  </w:r>
                </w:p>
              </w:tc>
            </w:tr>
            <w:tr>
              <w:tc>
                <w:tcPr>
                  <w:tcW w:type="dxa" w:w="28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spacing w:before="105" w:after="105"/>
                    <w:jc w:val="center"/>
                  </w:pPr>
                  <w:r>
                    <w:rPr>
                      <w:rFonts w:ascii="仿宋_GB2312" w:hAnsi="仿宋_GB2312" w:cs="仿宋_GB2312" w:eastAsia="仿宋_GB2312"/>
                      <w:sz w:val="24"/>
                      <w:color w:val="000000"/>
                    </w:rPr>
                    <w:t>16</w:t>
                  </w:r>
                </w:p>
              </w:tc>
              <w:tc>
                <w:tcPr>
                  <w:tcW w:type="dxa" w:w="201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spacing w:before="105" w:after="105"/>
                    <w:jc w:val="center"/>
                  </w:pPr>
                  <w:r>
                    <w:rPr>
                      <w:rFonts w:ascii="仿宋_GB2312" w:hAnsi="仿宋_GB2312" w:cs="仿宋_GB2312" w:eastAsia="仿宋_GB2312"/>
                      <w:sz w:val="24"/>
                      <w:color w:val="000000"/>
                    </w:rPr>
                    <w:t>囚笼前门</w:t>
                  </w:r>
                  <w:r>
                    <w:rPr>
                      <w:rFonts w:ascii="仿宋_GB2312" w:hAnsi="仿宋_GB2312" w:cs="仿宋_GB2312" w:eastAsia="仿宋_GB2312"/>
                      <w:sz w:val="24"/>
                      <w:color w:val="000000"/>
                    </w:rPr>
                    <w:t>/尾门安装外开锁具</w:t>
                  </w:r>
                </w:p>
              </w:tc>
              <w:tc>
                <w:tcPr>
                  <w:tcW w:type="dxa" w:w="26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spacing w:before="105" w:after="105"/>
                    <w:jc w:val="center"/>
                  </w:pPr>
                  <w:r>
                    <w:rPr>
                      <w:rFonts w:ascii="仿宋_GB2312" w:hAnsi="仿宋_GB2312" w:cs="仿宋_GB2312" w:eastAsia="仿宋_GB2312"/>
                      <w:sz w:val="24"/>
                      <w:color w:val="000000"/>
                    </w:rPr>
                    <w:t>各一套</w:t>
                  </w:r>
                </w:p>
              </w:tc>
            </w:tr>
            <w:tr>
              <w:tc>
                <w:tcPr>
                  <w:tcW w:type="dxa" w:w="281"/>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spacing w:before="105" w:after="105"/>
                    <w:jc w:val="center"/>
                  </w:pPr>
                  <w:r>
                    <w:rPr>
                      <w:rFonts w:ascii="仿宋_GB2312" w:hAnsi="仿宋_GB2312" w:cs="仿宋_GB2312" w:eastAsia="仿宋_GB2312"/>
                      <w:sz w:val="24"/>
                      <w:color w:val="000000"/>
                    </w:rPr>
                    <w:t>17</w:t>
                  </w:r>
                </w:p>
              </w:tc>
              <w:tc>
                <w:tcPr>
                  <w:tcW w:type="dxa" w:w="2012"/>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spacing w:before="105" w:after="105"/>
                    <w:jc w:val="center"/>
                  </w:pPr>
                  <w:r>
                    <w:rPr>
                      <w:rFonts w:ascii="仿宋_GB2312" w:hAnsi="仿宋_GB2312" w:cs="仿宋_GB2312" w:eastAsia="仿宋_GB2312"/>
                      <w:sz w:val="24"/>
                      <w:color w:val="000000"/>
                    </w:rPr>
                    <w:t>前后防撞护杠</w:t>
                  </w:r>
                </w:p>
              </w:tc>
              <w:tc>
                <w:tcPr>
                  <w:tcW w:type="dxa" w:w="26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spacing w:before="105" w:after="105"/>
                    <w:jc w:val="center"/>
                  </w:pPr>
                  <w:r>
                    <w:rPr>
                      <w:rFonts w:ascii="仿宋_GB2312" w:hAnsi="仿宋_GB2312" w:cs="仿宋_GB2312" w:eastAsia="仿宋_GB2312"/>
                      <w:sz w:val="24"/>
                      <w:color w:val="000000"/>
                    </w:rPr>
                    <w:t>1套</w:t>
                  </w:r>
                </w:p>
              </w:tc>
            </w:tr>
          </w:tbl>
          <w:p>
            <w:pPr>
              <w:pStyle w:val="null3"/>
              <w:jc w:val="both"/>
            </w:pPr>
            <w:r>
              <w:rPr>
                <w:rFonts w:ascii="仿宋_GB2312" w:hAnsi="仿宋_GB2312" w:cs="仿宋_GB2312" w:eastAsia="仿宋_GB2312"/>
              </w:rPr>
              <w:t xml:space="preserve"> </w:t>
            </w:r>
          </w:p>
          <w:p>
            <w:pPr>
              <w:pStyle w:val="null3"/>
              <w:spacing w:before="105" w:after="105"/>
              <w:jc w:val="both"/>
            </w:pPr>
            <w:r>
              <w:rPr>
                <w:rFonts w:ascii="仿宋_GB2312" w:hAnsi="仿宋_GB2312" w:cs="仿宋_GB2312" w:eastAsia="仿宋_GB2312"/>
                <w:sz w:val="28"/>
                <w:b/>
                <w:color w:val="000000"/>
              </w:rPr>
              <w:t>（二）执法执勤车辆</w:t>
            </w:r>
          </w:p>
          <w:p>
            <w:pPr>
              <w:pStyle w:val="null3"/>
              <w:ind w:left="420"/>
              <w:jc w:val="both"/>
            </w:pPr>
            <w:r>
              <w:rPr>
                <w:rFonts w:ascii="仿宋_GB2312" w:hAnsi="仿宋_GB2312" w:cs="仿宋_GB2312" w:eastAsia="仿宋_GB2312"/>
                <w:sz w:val="28"/>
                <w:color w:val="000000"/>
              </w:rPr>
              <w:t>1.</w:t>
            </w:r>
            <w:r>
              <w:rPr>
                <w:rFonts w:ascii="仿宋_GB2312" w:hAnsi="仿宋_GB2312" w:cs="仿宋_GB2312" w:eastAsia="仿宋_GB2312"/>
                <w:sz w:val="28"/>
                <w:color w:val="000000"/>
              </w:rPr>
              <w:t>车型：越野车</w:t>
            </w:r>
            <w:r>
              <w:rPr>
                <w:rFonts w:ascii="仿宋_GB2312" w:hAnsi="仿宋_GB2312" w:cs="仿宋_GB2312" w:eastAsia="仿宋_GB2312"/>
                <w:sz w:val="28"/>
                <w:color w:val="000000"/>
              </w:rPr>
              <w:t>SUV</w:t>
            </w:r>
          </w:p>
          <w:p>
            <w:pPr>
              <w:pStyle w:val="null3"/>
              <w:ind w:left="420"/>
              <w:jc w:val="both"/>
            </w:pPr>
            <w:r>
              <w:rPr>
                <w:rFonts w:ascii="仿宋_GB2312" w:hAnsi="仿宋_GB2312" w:cs="仿宋_GB2312" w:eastAsia="仿宋_GB2312"/>
                <w:sz w:val="28"/>
                <w:color w:val="000000"/>
              </w:rPr>
              <w:t>2.</w:t>
            </w:r>
            <w:r>
              <w:rPr>
                <w:rFonts w:ascii="仿宋_GB2312" w:hAnsi="仿宋_GB2312" w:cs="仿宋_GB2312" w:eastAsia="仿宋_GB2312"/>
                <w:sz w:val="28"/>
                <w:color w:val="000000"/>
              </w:rPr>
              <w:t>排量：</w:t>
            </w:r>
            <w:r>
              <w:rPr>
                <w:rFonts w:ascii="仿宋_GB2312" w:hAnsi="仿宋_GB2312" w:cs="仿宋_GB2312" w:eastAsia="仿宋_GB2312"/>
                <w:sz w:val="28"/>
                <w:color w:val="000000"/>
              </w:rPr>
              <w:t>≥1.5</w:t>
            </w:r>
          </w:p>
          <w:p>
            <w:pPr>
              <w:pStyle w:val="null3"/>
              <w:ind w:left="420"/>
              <w:jc w:val="both"/>
            </w:pPr>
            <w:r>
              <w:rPr>
                <w:rFonts w:ascii="仿宋_GB2312" w:hAnsi="仿宋_GB2312" w:cs="仿宋_GB2312" w:eastAsia="仿宋_GB2312"/>
                <w:sz w:val="28"/>
                <w:color w:val="000000"/>
              </w:rPr>
              <w:t>3.</w:t>
            </w:r>
            <w:r>
              <w:rPr>
                <w:rFonts w:ascii="仿宋_GB2312" w:hAnsi="仿宋_GB2312" w:cs="仿宋_GB2312" w:eastAsia="仿宋_GB2312"/>
                <w:sz w:val="28"/>
                <w:color w:val="000000"/>
              </w:rPr>
              <w:t>续航</w:t>
            </w:r>
            <w:r>
              <w:rPr>
                <w:rFonts w:ascii="仿宋_GB2312" w:hAnsi="仿宋_GB2312" w:cs="仿宋_GB2312" w:eastAsia="仿宋_GB2312"/>
                <w:sz w:val="28"/>
                <w:color w:val="000000"/>
              </w:rPr>
              <w:t>≥150KM,</w:t>
            </w:r>
          </w:p>
          <w:p>
            <w:pPr>
              <w:pStyle w:val="null3"/>
              <w:ind w:left="420"/>
              <w:jc w:val="both"/>
            </w:pPr>
            <w:r>
              <w:rPr>
                <w:rFonts w:ascii="仿宋_GB2312" w:hAnsi="仿宋_GB2312" w:cs="仿宋_GB2312" w:eastAsia="仿宋_GB2312"/>
                <w:sz w:val="28"/>
                <w:color w:val="000000"/>
              </w:rPr>
              <w:t>4.</w:t>
            </w:r>
            <w:r>
              <w:rPr>
                <w:rFonts w:ascii="仿宋_GB2312" w:hAnsi="仿宋_GB2312" w:cs="仿宋_GB2312" w:eastAsia="仿宋_GB2312"/>
                <w:sz w:val="28"/>
                <w:color w:val="000000"/>
              </w:rPr>
              <w:t>长</w:t>
            </w:r>
            <w:r>
              <w:rPr>
                <w:rFonts w:ascii="仿宋_GB2312" w:hAnsi="仿宋_GB2312" w:cs="仿宋_GB2312" w:eastAsia="仿宋_GB2312"/>
                <w:sz w:val="28"/>
                <w:color w:val="000000"/>
              </w:rPr>
              <w:t>≥4600mm 宽≥1850mm 高≥1650mm</w:t>
            </w:r>
          </w:p>
          <w:p>
            <w:pPr>
              <w:pStyle w:val="null3"/>
              <w:ind w:left="420"/>
              <w:jc w:val="both"/>
            </w:pPr>
            <w:r>
              <w:rPr>
                <w:rFonts w:ascii="仿宋_GB2312" w:hAnsi="仿宋_GB2312" w:cs="仿宋_GB2312" w:eastAsia="仿宋_GB2312"/>
                <w:sz w:val="28"/>
                <w:color w:val="000000"/>
              </w:rPr>
              <w:t>5.</w:t>
            </w:r>
            <w:r>
              <w:rPr>
                <w:rFonts w:ascii="仿宋_GB2312" w:hAnsi="仿宋_GB2312" w:cs="仿宋_GB2312" w:eastAsia="仿宋_GB2312"/>
                <w:sz w:val="28"/>
                <w:color w:val="000000"/>
              </w:rPr>
              <w:t>轴距</w:t>
            </w:r>
            <w:r>
              <w:rPr>
                <w:rFonts w:ascii="仿宋_GB2312" w:hAnsi="仿宋_GB2312" w:cs="仿宋_GB2312" w:eastAsia="仿宋_GB2312"/>
                <w:sz w:val="28"/>
                <w:color w:val="000000"/>
              </w:rPr>
              <w:t>≥2700MM</w:t>
            </w:r>
          </w:p>
          <w:p>
            <w:pPr>
              <w:pStyle w:val="null3"/>
              <w:ind w:left="420"/>
              <w:jc w:val="both"/>
            </w:pPr>
            <w:r>
              <w:rPr>
                <w:rFonts w:ascii="仿宋_GB2312" w:hAnsi="仿宋_GB2312" w:cs="仿宋_GB2312" w:eastAsia="仿宋_GB2312"/>
                <w:sz w:val="28"/>
                <w:color w:val="000000"/>
              </w:rPr>
              <w:t>6.</w:t>
            </w:r>
            <w:r>
              <w:rPr>
                <w:rFonts w:ascii="仿宋_GB2312" w:hAnsi="仿宋_GB2312" w:cs="仿宋_GB2312" w:eastAsia="仿宋_GB2312"/>
                <w:sz w:val="28"/>
                <w:color w:val="000000"/>
              </w:rPr>
              <w:t>电机总功率：</w:t>
            </w:r>
            <w:r>
              <w:rPr>
                <w:rFonts w:ascii="仿宋_GB2312" w:hAnsi="仿宋_GB2312" w:cs="仿宋_GB2312" w:eastAsia="仿宋_GB2312"/>
                <w:sz w:val="28"/>
                <w:color w:val="000000"/>
              </w:rPr>
              <w:t>≥</w:t>
            </w:r>
            <w:r>
              <w:rPr>
                <w:rFonts w:ascii="仿宋_GB2312" w:hAnsi="仿宋_GB2312" w:cs="仿宋_GB2312" w:eastAsia="仿宋_GB2312"/>
                <w:sz w:val="28"/>
                <w:color w:val="000000"/>
              </w:rPr>
              <w:t>180</w:t>
            </w:r>
            <w:r>
              <w:rPr>
                <w:rFonts w:ascii="仿宋_GB2312" w:hAnsi="仿宋_GB2312" w:cs="仿宋_GB2312" w:eastAsia="仿宋_GB2312"/>
                <w:sz w:val="28"/>
                <w:color w:val="000000"/>
              </w:rPr>
              <w:t>KW</w:t>
            </w:r>
          </w:p>
          <w:p>
            <w:pPr>
              <w:pStyle w:val="null3"/>
              <w:ind w:left="420"/>
              <w:jc w:val="both"/>
            </w:pPr>
            <w:r>
              <w:rPr>
                <w:rFonts w:ascii="仿宋_GB2312" w:hAnsi="仿宋_GB2312" w:cs="仿宋_GB2312" w:eastAsia="仿宋_GB2312"/>
                <w:sz w:val="28"/>
                <w:color w:val="000000"/>
              </w:rPr>
              <w:t>7.</w:t>
            </w:r>
            <w:r>
              <w:rPr>
                <w:rFonts w:ascii="仿宋_GB2312" w:hAnsi="仿宋_GB2312" w:cs="仿宋_GB2312" w:eastAsia="仿宋_GB2312"/>
                <w:sz w:val="28"/>
                <w:color w:val="000000"/>
              </w:rPr>
              <w:t>电动机总马力：</w:t>
            </w:r>
            <w:r>
              <w:rPr>
                <w:rFonts w:ascii="仿宋_GB2312" w:hAnsi="仿宋_GB2312" w:cs="仿宋_GB2312" w:eastAsia="仿宋_GB2312"/>
                <w:sz w:val="28"/>
                <w:color w:val="000000"/>
              </w:rPr>
              <w:t>≥270 PS</w:t>
            </w:r>
          </w:p>
          <w:p>
            <w:pPr>
              <w:pStyle w:val="null3"/>
              <w:ind w:left="420"/>
              <w:jc w:val="both"/>
            </w:pPr>
            <w:r>
              <w:rPr>
                <w:rFonts w:ascii="仿宋_GB2312" w:hAnsi="仿宋_GB2312" w:cs="仿宋_GB2312" w:eastAsia="仿宋_GB2312"/>
                <w:sz w:val="28"/>
                <w:color w:val="000000"/>
              </w:rPr>
              <w:t>8.</w:t>
            </w:r>
            <w:r>
              <w:rPr>
                <w:rFonts w:ascii="仿宋_GB2312" w:hAnsi="仿宋_GB2312" w:cs="仿宋_GB2312" w:eastAsia="仿宋_GB2312"/>
                <w:sz w:val="28"/>
                <w:color w:val="000000"/>
              </w:rPr>
              <w:t>环保标准：国</w:t>
            </w:r>
            <w:r>
              <w:rPr>
                <w:rFonts w:ascii="仿宋_GB2312" w:hAnsi="仿宋_GB2312" w:cs="仿宋_GB2312" w:eastAsia="仿宋_GB2312"/>
                <w:sz w:val="28"/>
                <w:color w:val="000000"/>
              </w:rPr>
              <w:t>VI</w:t>
            </w:r>
          </w:p>
          <w:p>
            <w:pPr>
              <w:pStyle w:val="null3"/>
              <w:ind w:left="420"/>
              <w:jc w:val="both"/>
            </w:pPr>
            <w:r>
              <w:rPr>
                <w:rFonts w:ascii="仿宋_GB2312" w:hAnsi="仿宋_GB2312" w:cs="仿宋_GB2312" w:eastAsia="仿宋_GB2312"/>
                <w:sz w:val="28"/>
                <w:color w:val="000000"/>
              </w:rPr>
              <w:t>9.</w:t>
            </w:r>
            <w:r>
              <w:rPr>
                <w:rFonts w:ascii="仿宋_GB2312" w:hAnsi="仿宋_GB2312" w:cs="仿宋_GB2312" w:eastAsia="仿宋_GB2312"/>
                <w:sz w:val="28"/>
                <w:color w:val="000000"/>
              </w:rPr>
              <w:t>电机类型：永磁</w:t>
            </w:r>
            <w:r>
              <w:rPr>
                <w:rFonts w:ascii="仿宋_GB2312" w:hAnsi="仿宋_GB2312" w:cs="仿宋_GB2312" w:eastAsia="仿宋_GB2312"/>
                <w:sz w:val="28"/>
                <w:color w:val="000000"/>
              </w:rPr>
              <w:t>/同步</w:t>
            </w:r>
          </w:p>
          <w:p>
            <w:pPr>
              <w:pStyle w:val="null3"/>
              <w:spacing w:before="105" w:after="105"/>
              <w:ind w:left="420"/>
              <w:jc w:val="both"/>
            </w:pPr>
            <w:r>
              <w:rPr>
                <w:rFonts w:ascii="仿宋_GB2312" w:hAnsi="仿宋_GB2312" w:cs="仿宋_GB2312" w:eastAsia="仿宋_GB2312"/>
                <w:sz w:val="28"/>
                <w:color w:val="000000"/>
              </w:rPr>
              <w:t>10.</w:t>
            </w:r>
            <w:r>
              <w:rPr>
                <w:rFonts w:ascii="仿宋_GB2312" w:hAnsi="仿宋_GB2312" w:cs="仿宋_GB2312" w:eastAsia="仿宋_GB2312"/>
                <w:sz w:val="24"/>
              </w:rPr>
              <w:t xml:space="preserve"> </w:t>
            </w:r>
            <w:r>
              <w:rPr>
                <w:rFonts w:ascii="仿宋_GB2312" w:hAnsi="仿宋_GB2312" w:cs="仿宋_GB2312" w:eastAsia="仿宋_GB2312"/>
                <w:sz w:val="28"/>
                <w:color w:val="000000"/>
              </w:rPr>
              <w:t>CLTC纯电续航</w:t>
            </w:r>
          </w:p>
          <w:p>
            <w:pPr>
              <w:pStyle w:val="null3"/>
              <w:spacing w:before="105" w:after="105"/>
              <w:ind w:left="420"/>
              <w:jc w:val="both"/>
            </w:pPr>
            <w:r>
              <w:rPr>
                <w:rFonts w:ascii="仿宋_GB2312" w:hAnsi="仿宋_GB2312" w:cs="仿宋_GB2312" w:eastAsia="仿宋_GB2312"/>
                <w:sz w:val="28"/>
                <w:color w:val="000000"/>
              </w:rPr>
              <w:t>11.</w:t>
            </w:r>
            <w:r>
              <w:rPr>
                <w:rFonts w:ascii="仿宋_GB2312" w:hAnsi="仿宋_GB2312" w:cs="仿宋_GB2312" w:eastAsia="仿宋_GB2312"/>
                <w:sz w:val="28"/>
                <w:color w:val="000000"/>
              </w:rPr>
              <w:t>综合续航</w:t>
            </w:r>
            <w:r>
              <w:rPr>
                <w:rFonts w:ascii="仿宋_GB2312" w:hAnsi="仿宋_GB2312" w:cs="仿宋_GB2312" w:eastAsia="仿宋_GB2312"/>
                <w:sz w:val="28"/>
                <w:color w:val="000000"/>
              </w:rPr>
              <w:t>≥</w:t>
            </w:r>
            <w:r>
              <w:rPr>
                <w:rFonts w:ascii="仿宋_GB2312" w:hAnsi="仿宋_GB2312" w:cs="仿宋_GB2312" w:eastAsia="仿宋_GB2312"/>
                <w:sz w:val="28"/>
                <w:color w:val="000000"/>
              </w:rPr>
              <w:t>1300KM（60L油箱）</w:t>
            </w:r>
          </w:p>
          <w:p>
            <w:pPr>
              <w:pStyle w:val="null3"/>
              <w:spacing w:before="105" w:after="105"/>
              <w:ind w:left="420"/>
              <w:jc w:val="both"/>
            </w:pPr>
            <w:r>
              <w:rPr>
                <w:rFonts w:ascii="仿宋_GB2312" w:hAnsi="仿宋_GB2312" w:cs="仿宋_GB2312" w:eastAsia="仿宋_GB2312"/>
                <w:sz w:val="28"/>
                <w:color w:val="000000"/>
              </w:rPr>
              <w:t>12.</w:t>
            </w:r>
            <w:r>
              <w:rPr>
                <w:rFonts w:ascii="仿宋_GB2312" w:hAnsi="仿宋_GB2312" w:cs="仿宋_GB2312" w:eastAsia="仿宋_GB2312"/>
                <w:sz w:val="28"/>
                <w:color w:val="000000"/>
              </w:rPr>
              <w:t>前双叉臂，承载式，高强度钢</w:t>
            </w:r>
            <w:r>
              <w:rPr>
                <w:rFonts w:ascii="仿宋_GB2312" w:hAnsi="仿宋_GB2312" w:cs="仿宋_GB2312" w:eastAsia="仿宋_GB2312"/>
                <w:sz w:val="28"/>
                <w:color w:val="000000"/>
              </w:rPr>
              <w:t>≥</w:t>
            </w:r>
            <w:r>
              <w:rPr>
                <w:rFonts w:ascii="仿宋_GB2312" w:hAnsi="仿宋_GB2312" w:cs="仿宋_GB2312" w:eastAsia="仿宋_GB2312"/>
                <w:sz w:val="28"/>
                <w:color w:val="000000"/>
              </w:rPr>
              <w:t>80%</w:t>
            </w:r>
          </w:p>
          <w:p>
            <w:pPr>
              <w:pStyle w:val="null3"/>
              <w:spacing w:before="105" w:after="105"/>
              <w:ind w:left="420"/>
              <w:jc w:val="both"/>
            </w:pPr>
            <w:r>
              <w:rPr>
                <w:rFonts w:ascii="仿宋_GB2312" w:hAnsi="仿宋_GB2312" w:cs="仿宋_GB2312" w:eastAsia="仿宋_GB2312"/>
                <w:sz w:val="28"/>
                <w:color w:val="000000"/>
              </w:rPr>
              <w:t>13.</w:t>
            </w:r>
            <w:r>
              <w:rPr>
                <w:rFonts w:ascii="仿宋_GB2312" w:hAnsi="仿宋_GB2312" w:cs="仿宋_GB2312" w:eastAsia="仿宋_GB2312"/>
                <w:sz w:val="28"/>
                <w:color w:val="000000"/>
              </w:rPr>
              <w:t>标配：激光雷达、高阶智驾，</w:t>
            </w:r>
            <w:r>
              <w:rPr>
                <w:rFonts w:ascii="仿宋_GB2312" w:hAnsi="仿宋_GB2312" w:cs="仿宋_GB2312" w:eastAsia="仿宋_GB2312"/>
                <w:sz w:val="28"/>
                <w:color w:val="000000"/>
              </w:rPr>
              <w:t>≥6</w:t>
            </w:r>
            <w:r>
              <w:rPr>
                <w:rFonts w:ascii="仿宋_GB2312" w:hAnsi="仿宋_GB2312" w:cs="仿宋_GB2312" w:eastAsia="仿宋_GB2312"/>
                <w:sz w:val="28"/>
                <w:color w:val="000000"/>
              </w:rPr>
              <w:t>气囊、</w:t>
            </w:r>
            <w:r>
              <w:rPr>
                <w:rFonts w:ascii="仿宋_GB2312" w:hAnsi="仿宋_GB2312" w:cs="仿宋_GB2312" w:eastAsia="仿宋_GB2312"/>
                <w:sz w:val="28"/>
                <w:color w:val="000000"/>
              </w:rPr>
              <w:t>360</w:t>
            </w:r>
            <w:r>
              <w:rPr>
                <w:rFonts w:ascii="仿宋_GB2312" w:hAnsi="仿宋_GB2312" w:cs="仿宋_GB2312" w:eastAsia="仿宋_GB2312"/>
                <w:sz w:val="28"/>
                <w:color w:val="000000"/>
              </w:rPr>
              <w:t>°</w:t>
            </w:r>
            <w:r>
              <w:rPr>
                <w:rFonts w:ascii="仿宋_GB2312" w:hAnsi="仿宋_GB2312" w:cs="仿宋_GB2312" w:eastAsia="仿宋_GB2312"/>
                <w:sz w:val="28"/>
                <w:color w:val="000000"/>
              </w:rPr>
              <w:t>全景、AEB、BSD，真皮座椅、电动调节、加热。</w:t>
            </w:r>
          </w:p>
          <w:p>
            <w:pPr>
              <w:pStyle w:val="null3"/>
              <w:jc w:val="both"/>
            </w:pPr>
            <w:r>
              <w:rPr>
                <w:rFonts w:ascii="仿宋_GB2312" w:hAnsi="仿宋_GB2312" w:cs="仿宋_GB2312" w:eastAsia="仿宋_GB2312"/>
                <w:sz w:val="28"/>
                <w:b/>
                <w:color w:val="000000"/>
              </w:rPr>
              <w:t>（三）执法执勤车辆</w:t>
            </w:r>
          </w:p>
          <w:p>
            <w:pPr>
              <w:pStyle w:val="null3"/>
              <w:spacing w:before="105" w:after="105"/>
              <w:ind w:left="420"/>
              <w:jc w:val="both"/>
            </w:pPr>
            <w:r>
              <w:rPr>
                <w:rFonts w:ascii="仿宋_GB2312" w:hAnsi="仿宋_GB2312" w:cs="仿宋_GB2312" w:eastAsia="仿宋_GB2312"/>
                <w:sz w:val="28"/>
                <w:color w:val="000000"/>
              </w:rPr>
              <w:t>1.</w:t>
            </w:r>
            <w:r>
              <w:rPr>
                <w:rFonts w:ascii="仿宋_GB2312" w:hAnsi="仿宋_GB2312" w:cs="仿宋_GB2312" w:eastAsia="仿宋_GB2312"/>
                <w:sz w:val="28"/>
                <w:color w:val="000000"/>
              </w:rPr>
              <w:t>车型：越野车</w:t>
            </w:r>
            <w:r>
              <w:rPr>
                <w:rFonts w:ascii="仿宋_GB2312" w:hAnsi="仿宋_GB2312" w:cs="仿宋_GB2312" w:eastAsia="仿宋_GB2312"/>
                <w:sz w:val="28"/>
                <w:color w:val="000000"/>
              </w:rPr>
              <w:t>SUV</w:t>
            </w:r>
          </w:p>
          <w:p>
            <w:pPr>
              <w:pStyle w:val="null3"/>
              <w:spacing w:before="105" w:after="105"/>
              <w:ind w:left="420"/>
              <w:jc w:val="both"/>
            </w:pPr>
            <w:r>
              <w:rPr>
                <w:rFonts w:ascii="仿宋_GB2312" w:hAnsi="仿宋_GB2312" w:cs="仿宋_GB2312" w:eastAsia="仿宋_GB2312"/>
                <w:sz w:val="28"/>
                <w:color w:val="000000"/>
              </w:rPr>
              <w:t>2.</w:t>
            </w:r>
            <w:r>
              <w:rPr>
                <w:rFonts w:ascii="仿宋_GB2312" w:hAnsi="仿宋_GB2312" w:cs="仿宋_GB2312" w:eastAsia="仿宋_GB2312"/>
                <w:sz w:val="28"/>
                <w:color w:val="000000"/>
              </w:rPr>
              <w:t>续航</w:t>
            </w:r>
            <w:r>
              <w:rPr>
                <w:rFonts w:ascii="仿宋_GB2312" w:hAnsi="仿宋_GB2312" w:cs="仿宋_GB2312" w:eastAsia="仿宋_GB2312"/>
                <w:sz w:val="28"/>
                <w:color w:val="000000"/>
              </w:rPr>
              <w:t>≥</w:t>
            </w:r>
            <w:r>
              <w:rPr>
                <w:rFonts w:ascii="仿宋_GB2312" w:hAnsi="仿宋_GB2312" w:cs="仿宋_GB2312" w:eastAsia="仿宋_GB2312"/>
                <w:sz w:val="28"/>
                <w:color w:val="000000"/>
              </w:rPr>
              <w:t>130KM,</w:t>
            </w:r>
          </w:p>
          <w:p>
            <w:pPr>
              <w:pStyle w:val="null3"/>
              <w:spacing w:before="105" w:after="105"/>
              <w:ind w:left="420"/>
              <w:jc w:val="both"/>
            </w:pPr>
            <w:r>
              <w:rPr>
                <w:rFonts w:ascii="仿宋_GB2312" w:hAnsi="仿宋_GB2312" w:cs="仿宋_GB2312" w:eastAsia="仿宋_GB2312"/>
                <w:sz w:val="28"/>
                <w:color w:val="000000"/>
              </w:rPr>
              <w:t>3.</w:t>
            </w:r>
            <w:r>
              <w:rPr>
                <w:rFonts w:ascii="仿宋_GB2312" w:hAnsi="仿宋_GB2312" w:cs="仿宋_GB2312" w:eastAsia="仿宋_GB2312"/>
                <w:sz w:val="28"/>
                <w:color w:val="000000"/>
              </w:rPr>
              <w:t>排量</w:t>
            </w:r>
            <w:r>
              <w:rPr>
                <w:rFonts w:ascii="仿宋_GB2312" w:hAnsi="仿宋_GB2312" w:cs="仿宋_GB2312" w:eastAsia="仿宋_GB2312"/>
                <w:sz w:val="28"/>
                <w:color w:val="000000"/>
              </w:rPr>
              <w:t>：</w:t>
            </w:r>
            <w:r>
              <w:rPr>
                <w:rFonts w:ascii="仿宋_GB2312" w:hAnsi="仿宋_GB2312" w:cs="仿宋_GB2312" w:eastAsia="仿宋_GB2312"/>
                <w:sz w:val="28"/>
                <w:color w:val="000000"/>
              </w:rPr>
              <w:t>≥</w:t>
            </w:r>
            <w:r>
              <w:rPr>
                <w:rFonts w:ascii="仿宋_GB2312" w:hAnsi="仿宋_GB2312" w:cs="仿宋_GB2312" w:eastAsia="仿宋_GB2312"/>
                <w:sz w:val="28"/>
                <w:color w:val="000000"/>
              </w:rPr>
              <w:t>1.5</w:t>
            </w:r>
          </w:p>
          <w:p>
            <w:pPr>
              <w:pStyle w:val="null3"/>
              <w:spacing w:before="105" w:after="105"/>
              <w:ind w:left="420"/>
              <w:jc w:val="both"/>
            </w:pPr>
            <w:r>
              <w:rPr>
                <w:rFonts w:ascii="仿宋_GB2312" w:hAnsi="仿宋_GB2312" w:cs="仿宋_GB2312" w:eastAsia="仿宋_GB2312"/>
                <w:sz w:val="28"/>
                <w:color w:val="000000"/>
              </w:rPr>
              <w:t>4.</w:t>
            </w:r>
            <w:r>
              <w:rPr>
                <w:rFonts w:ascii="仿宋_GB2312" w:hAnsi="仿宋_GB2312" w:cs="仿宋_GB2312" w:eastAsia="仿宋_GB2312"/>
                <w:sz w:val="28"/>
                <w:color w:val="000000"/>
              </w:rPr>
              <w:t>长</w:t>
            </w:r>
            <w:r>
              <w:rPr>
                <w:rFonts w:ascii="仿宋_GB2312" w:hAnsi="仿宋_GB2312" w:cs="仿宋_GB2312" w:eastAsia="仿宋_GB2312"/>
                <w:sz w:val="28"/>
                <w:color w:val="000000"/>
              </w:rPr>
              <w:t>≥</w:t>
            </w:r>
            <w:r>
              <w:rPr>
                <w:rFonts w:ascii="仿宋_GB2312" w:hAnsi="仿宋_GB2312" w:cs="仿宋_GB2312" w:eastAsia="仿宋_GB2312"/>
                <w:sz w:val="28"/>
                <w:color w:val="000000"/>
              </w:rPr>
              <w:t>4800</w:t>
            </w:r>
            <w:r>
              <w:rPr>
                <w:rFonts w:ascii="仿宋_GB2312" w:hAnsi="仿宋_GB2312" w:cs="仿宋_GB2312" w:eastAsia="仿宋_GB2312"/>
                <w:sz w:val="28"/>
                <w:color w:val="000000"/>
              </w:rPr>
              <w:t>MM 宽</w:t>
            </w:r>
            <w:r>
              <w:rPr>
                <w:rFonts w:ascii="仿宋_GB2312" w:hAnsi="仿宋_GB2312" w:cs="仿宋_GB2312" w:eastAsia="仿宋_GB2312"/>
                <w:sz w:val="28"/>
                <w:color w:val="000000"/>
              </w:rPr>
              <w:t>≥</w:t>
            </w:r>
            <w:r>
              <w:rPr>
                <w:rFonts w:ascii="仿宋_GB2312" w:hAnsi="仿宋_GB2312" w:cs="仿宋_GB2312" w:eastAsia="仿宋_GB2312"/>
                <w:sz w:val="28"/>
                <w:color w:val="000000"/>
              </w:rPr>
              <w:t>19</w:t>
            </w:r>
            <w:r>
              <w:rPr>
                <w:rFonts w:ascii="仿宋_GB2312" w:hAnsi="仿宋_GB2312" w:cs="仿宋_GB2312" w:eastAsia="仿宋_GB2312"/>
                <w:sz w:val="28"/>
                <w:color w:val="000000"/>
              </w:rPr>
              <w:t>00</w:t>
            </w:r>
            <w:r>
              <w:rPr>
                <w:rFonts w:ascii="仿宋_GB2312" w:hAnsi="仿宋_GB2312" w:cs="仿宋_GB2312" w:eastAsia="仿宋_GB2312"/>
                <w:sz w:val="28"/>
                <w:color w:val="000000"/>
              </w:rPr>
              <w:t>MM高</w:t>
            </w:r>
            <w:r>
              <w:rPr>
                <w:rFonts w:ascii="仿宋_GB2312" w:hAnsi="仿宋_GB2312" w:cs="仿宋_GB2312" w:eastAsia="仿宋_GB2312"/>
                <w:sz w:val="28"/>
                <w:color w:val="000000"/>
              </w:rPr>
              <w:t>≥</w:t>
            </w:r>
            <w:r>
              <w:rPr>
                <w:rFonts w:ascii="仿宋_GB2312" w:hAnsi="仿宋_GB2312" w:cs="仿宋_GB2312" w:eastAsia="仿宋_GB2312"/>
                <w:sz w:val="28"/>
                <w:color w:val="000000"/>
              </w:rPr>
              <w:t>17</w:t>
            </w:r>
            <w:r>
              <w:rPr>
                <w:rFonts w:ascii="仿宋_GB2312" w:hAnsi="仿宋_GB2312" w:cs="仿宋_GB2312" w:eastAsia="仿宋_GB2312"/>
                <w:sz w:val="28"/>
                <w:color w:val="000000"/>
              </w:rPr>
              <w:t>00</w:t>
            </w:r>
            <w:r>
              <w:rPr>
                <w:rFonts w:ascii="仿宋_GB2312" w:hAnsi="仿宋_GB2312" w:cs="仿宋_GB2312" w:eastAsia="仿宋_GB2312"/>
                <w:sz w:val="28"/>
                <w:color w:val="000000"/>
              </w:rPr>
              <w:t>MM</w:t>
            </w:r>
          </w:p>
          <w:p>
            <w:pPr>
              <w:pStyle w:val="null3"/>
              <w:spacing w:before="105" w:after="105"/>
              <w:ind w:left="420"/>
              <w:jc w:val="both"/>
            </w:pPr>
            <w:r>
              <w:rPr>
                <w:rFonts w:ascii="仿宋_GB2312" w:hAnsi="仿宋_GB2312" w:cs="仿宋_GB2312" w:eastAsia="仿宋_GB2312"/>
                <w:sz w:val="28"/>
                <w:color w:val="000000"/>
              </w:rPr>
              <w:t>5.</w:t>
            </w:r>
            <w:r>
              <w:rPr>
                <w:rFonts w:ascii="仿宋_GB2312" w:hAnsi="仿宋_GB2312" w:cs="仿宋_GB2312" w:eastAsia="仿宋_GB2312"/>
                <w:sz w:val="28"/>
                <w:color w:val="000000"/>
              </w:rPr>
              <w:t>轴距</w:t>
            </w:r>
            <w:r>
              <w:rPr>
                <w:rFonts w:ascii="仿宋_GB2312" w:hAnsi="仿宋_GB2312" w:cs="仿宋_GB2312" w:eastAsia="仿宋_GB2312"/>
                <w:sz w:val="28"/>
                <w:color w:val="000000"/>
              </w:rPr>
              <w:t>≥</w:t>
            </w:r>
            <w:r>
              <w:rPr>
                <w:rFonts w:ascii="仿宋_GB2312" w:hAnsi="仿宋_GB2312" w:cs="仿宋_GB2312" w:eastAsia="仿宋_GB2312"/>
                <w:sz w:val="28"/>
                <w:color w:val="000000"/>
              </w:rPr>
              <w:t>2</w:t>
            </w:r>
            <w:r>
              <w:rPr>
                <w:rFonts w:ascii="仿宋_GB2312" w:hAnsi="仿宋_GB2312" w:cs="仿宋_GB2312" w:eastAsia="仿宋_GB2312"/>
                <w:sz w:val="28"/>
                <w:color w:val="000000"/>
              </w:rPr>
              <w:t>7</w:t>
            </w:r>
            <w:r>
              <w:rPr>
                <w:rFonts w:ascii="仿宋_GB2312" w:hAnsi="仿宋_GB2312" w:cs="仿宋_GB2312" w:eastAsia="仿宋_GB2312"/>
                <w:sz w:val="28"/>
                <w:color w:val="000000"/>
              </w:rPr>
              <w:t>50MM</w:t>
            </w:r>
          </w:p>
          <w:p>
            <w:pPr>
              <w:pStyle w:val="null3"/>
              <w:spacing w:before="105" w:after="105"/>
              <w:ind w:left="420"/>
              <w:jc w:val="both"/>
            </w:pPr>
            <w:r>
              <w:rPr>
                <w:rFonts w:ascii="仿宋_GB2312" w:hAnsi="仿宋_GB2312" w:cs="仿宋_GB2312" w:eastAsia="仿宋_GB2312"/>
                <w:sz w:val="28"/>
                <w:color w:val="000000"/>
              </w:rPr>
              <w:t>6.</w:t>
            </w:r>
            <w:r>
              <w:rPr>
                <w:rFonts w:ascii="仿宋_GB2312" w:hAnsi="仿宋_GB2312" w:cs="仿宋_GB2312" w:eastAsia="仿宋_GB2312"/>
                <w:sz w:val="28"/>
                <w:color w:val="000000"/>
              </w:rPr>
              <w:t>电机总功率：</w:t>
            </w:r>
            <w:r>
              <w:rPr>
                <w:rFonts w:ascii="仿宋_GB2312" w:hAnsi="仿宋_GB2312" w:cs="仿宋_GB2312" w:eastAsia="仿宋_GB2312"/>
                <w:sz w:val="28"/>
                <w:color w:val="000000"/>
              </w:rPr>
              <w:t>≥</w:t>
            </w:r>
            <w:r>
              <w:rPr>
                <w:rFonts w:ascii="仿宋_GB2312" w:hAnsi="仿宋_GB2312" w:cs="仿宋_GB2312" w:eastAsia="仿宋_GB2312"/>
                <w:sz w:val="28"/>
                <w:color w:val="000000"/>
              </w:rPr>
              <w:t>16</w:t>
            </w:r>
            <w:r>
              <w:rPr>
                <w:rFonts w:ascii="仿宋_GB2312" w:hAnsi="仿宋_GB2312" w:cs="仿宋_GB2312" w:eastAsia="仿宋_GB2312"/>
                <w:sz w:val="28"/>
                <w:color w:val="000000"/>
              </w:rPr>
              <w:t>0</w:t>
            </w:r>
            <w:r>
              <w:rPr>
                <w:rFonts w:ascii="仿宋_GB2312" w:hAnsi="仿宋_GB2312" w:cs="仿宋_GB2312" w:eastAsia="仿宋_GB2312"/>
                <w:sz w:val="28"/>
                <w:color w:val="000000"/>
              </w:rPr>
              <w:t>KW</w:t>
            </w:r>
          </w:p>
          <w:p>
            <w:pPr>
              <w:pStyle w:val="null3"/>
              <w:spacing w:before="105" w:after="105"/>
              <w:ind w:left="420"/>
              <w:jc w:val="both"/>
            </w:pPr>
            <w:r>
              <w:rPr>
                <w:rFonts w:ascii="仿宋_GB2312" w:hAnsi="仿宋_GB2312" w:cs="仿宋_GB2312" w:eastAsia="仿宋_GB2312"/>
                <w:sz w:val="28"/>
                <w:color w:val="000000"/>
              </w:rPr>
              <w:t>7.</w:t>
            </w:r>
            <w:r>
              <w:rPr>
                <w:rFonts w:ascii="仿宋_GB2312" w:hAnsi="仿宋_GB2312" w:cs="仿宋_GB2312" w:eastAsia="仿宋_GB2312"/>
                <w:sz w:val="28"/>
                <w:color w:val="000000"/>
              </w:rPr>
              <w:t>电动机总马力：</w:t>
            </w:r>
            <w:r>
              <w:rPr>
                <w:rFonts w:ascii="仿宋_GB2312" w:hAnsi="仿宋_GB2312" w:cs="仿宋_GB2312" w:eastAsia="仿宋_GB2312"/>
                <w:sz w:val="28"/>
                <w:color w:val="000000"/>
              </w:rPr>
              <w:t>≥</w:t>
            </w:r>
            <w:r>
              <w:rPr>
                <w:rFonts w:ascii="仿宋_GB2312" w:hAnsi="仿宋_GB2312" w:cs="仿宋_GB2312" w:eastAsia="仿宋_GB2312"/>
                <w:sz w:val="28"/>
                <w:color w:val="000000"/>
              </w:rPr>
              <w:t>200</w:t>
            </w:r>
            <w:r>
              <w:rPr>
                <w:rFonts w:ascii="仿宋_GB2312" w:hAnsi="仿宋_GB2312" w:cs="仿宋_GB2312" w:eastAsia="仿宋_GB2312"/>
                <w:sz w:val="28"/>
                <w:color w:val="000000"/>
              </w:rPr>
              <w:t>PS</w:t>
            </w:r>
          </w:p>
          <w:p>
            <w:pPr>
              <w:pStyle w:val="null3"/>
              <w:spacing w:before="105" w:after="105"/>
              <w:ind w:left="420"/>
              <w:jc w:val="both"/>
            </w:pPr>
            <w:r>
              <w:rPr>
                <w:rFonts w:ascii="仿宋_GB2312" w:hAnsi="仿宋_GB2312" w:cs="仿宋_GB2312" w:eastAsia="仿宋_GB2312"/>
                <w:sz w:val="28"/>
                <w:color w:val="000000"/>
              </w:rPr>
              <w:t>8.</w:t>
            </w:r>
            <w:r>
              <w:rPr>
                <w:rFonts w:ascii="仿宋_GB2312" w:hAnsi="仿宋_GB2312" w:cs="仿宋_GB2312" w:eastAsia="仿宋_GB2312"/>
                <w:sz w:val="28"/>
                <w:color w:val="000000"/>
              </w:rPr>
              <w:t>环保标准：国</w:t>
            </w:r>
            <w:r>
              <w:rPr>
                <w:rFonts w:ascii="仿宋_GB2312" w:hAnsi="仿宋_GB2312" w:cs="仿宋_GB2312" w:eastAsia="仿宋_GB2312"/>
                <w:sz w:val="28"/>
                <w:color w:val="000000"/>
              </w:rPr>
              <w:t>VI</w:t>
            </w:r>
          </w:p>
          <w:p>
            <w:pPr>
              <w:pStyle w:val="null3"/>
              <w:spacing w:before="105" w:after="105"/>
              <w:ind w:left="420"/>
              <w:jc w:val="both"/>
            </w:pPr>
            <w:r>
              <w:rPr>
                <w:rFonts w:ascii="仿宋_GB2312" w:hAnsi="仿宋_GB2312" w:cs="仿宋_GB2312" w:eastAsia="仿宋_GB2312"/>
                <w:sz w:val="28"/>
                <w:color w:val="000000"/>
              </w:rPr>
              <w:t>9.</w:t>
            </w:r>
            <w:r>
              <w:rPr>
                <w:rFonts w:ascii="仿宋_GB2312" w:hAnsi="仿宋_GB2312" w:cs="仿宋_GB2312" w:eastAsia="仿宋_GB2312"/>
                <w:sz w:val="28"/>
                <w:color w:val="000000"/>
              </w:rPr>
              <w:t>电池类型：磷酸铁锂</w:t>
            </w:r>
            <w:r>
              <w:rPr>
                <w:rFonts w:ascii="仿宋_GB2312" w:hAnsi="仿宋_GB2312" w:cs="仿宋_GB2312" w:eastAsia="仿宋_GB2312"/>
                <w:sz w:val="28"/>
                <w:color w:val="000000"/>
              </w:rPr>
              <w:t>/三元锂电池</w:t>
            </w:r>
          </w:p>
          <w:p>
            <w:pPr>
              <w:pStyle w:val="null3"/>
              <w:spacing w:before="105" w:after="105"/>
              <w:ind w:left="420"/>
              <w:jc w:val="both"/>
            </w:pPr>
            <w:r>
              <w:rPr>
                <w:rFonts w:ascii="仿宋_GB2312" w:hAnsi="仿宋_GB2312" w:cs="仿宋_GB2312" w:eastAsia="仿宋_GB2312"/>
                <w:sz w:val="28"/>
                <w:color w:val="000000"/>
              </w:rPr>
              <w:t>10.</w:t>
            </w:r>
            <w:r>
              <w:rPr>
                <w:rFonts w:ascii="仿宋_GB2312" w:hAnsi="仿宋_GB2312" w:cs="仿宋_GB2312" w:eastAsia="仿宋_GB2312"/>
                <w:sz w:val="28"/>
                <w:color w:val="000000"/>
              </w:rPr>
              <w:t>DHT/ECVT等混动专用变速箱</w:t>
            </w:r>
          </w:p>
          <w:p>
            <w:pPr>
              <w:pStyle w:val="null3"/>
              <w:spacing w:before="105" w:after="105"/>
              <w:ind w:left="420"/>
              <w:jc w:val="both"/>
            </w:pPr>
            <w:r>
              <w:rPr>
                <w:rFonts w:ascii="仿宋_GB2312" w:hAnsi="仿宋_GB2312" w:cs="仿宋_GB2312" w:eastAsia="仿宋_GB2312"/>
                <w:sz w:val="28"/>
                <w:color w:val="000000"/>
              </w:rPr>
              <w:t>11.</w:t>
            </w:r>
            <w:r>
              <w:rPr>
                <w:rFonts w:ascii="仿宋_GB2312" w:hAnsi="仿宋_GB2312" w:cs="仿宋_GB2312" w:eastAsia="仿宋_GB2312"/>
                <w:sz w:val="28"/>
                <w:color w:val="000000"/>
              </w:rPr>
              <w:t>电池容量</w:t>
            </w:r>
            <w:r>
              <w:rPr>
                <w:rFonts w:ascii="仿宋_GB2312" w:hAnsi="仿宋_GB2312" w:cs="仿宋_GB2312" w:eastAsia="仿宋_GB2312"/>
                <w:sz w:val="28"/>
                <w:color w:val="000000"/>
              </w:rPr>
              <w:t>≥</w:t>
            </w:r>
            <w:r>
              <w:rPr>
                <w:rFonts w:ascii="仿宋_GB2312" w:hAnsi="仿宋_GB2312" w:cs="仿宋_GB2312" w:eastAsia="仿宋_GB2312"/>
                <w:sz w:val="28"/>
                <w:color w:val="000000"/>
              </w:rPr>
              <w:t>18kWh</w:t>
            </w:r>
          </w:p>
          <w:p>
            <w:pPr>
              <w:pStyle w:val="null3"/>
              <w:spacing w:before="105" w:after="105"/>
              <w:ind w:left="420"/>
              <w:jc w:val="both"/>
            </w:pPr>
            <w:r>
              <w:rPr>
                <w:rFonts w:ascii="仿宋_GB2312" w:hAnsi="仿宋_GB2312" w:cs="仿宋_GB2312" w:eastAsia="仿宋_GB2312"/>
                <w:sz w:val="28"/>
                <w:color w:val="000000"/>
              </w:rPr>
              <w:t>12.</w:t>
            </w:r>
            <w:r>
              <w:rPr>
                <w:rFonts w:ascii="仿宋_GB2312" w:hAnsi="仿宋_GB2312" w:cs="仿宋_GB2312" w:eastAsia="仿宋_GB2312"/>
                <w:sz w:val="28"/>
                <w:color w:val="000000"/>
              </w:rPr>
              <w:t>纯电续航</w:t>
            </w:r>
            <w:r>
              <w:rPr>
                <w:rFonts w:ascii="仿宋_GB2312" w:hAnsi="仿宋_GB2312" w:cs="仿宋_GB2312" w:eastAsia="仿宋_GB2312"/>
                <w:sz w:val="28"/>
                <w:color w:val="000000"/>
              </w:rPr>
              <w:t>≥</w:t>
            </w:r>
            <w:r>
              <w:rPr>
                <w:rFonts w:ascii="仿宋_GB2312" w:hAnsi="仿宋_GB2312" w:cs="仿宋_GB2312" w:eastAsia="仿宋_GB2312"/>
                <w:sz w:val="28"/>
                <w:color w:val="000000"/>
              </w:rPr>
              <w:t>10</w:t>
            </w:r>
            <w:r>
              <w:rPr>
                <w:rFonts w:ascii="仿宋_GB2312" w:hAnsi="仿宋_GB2312" w:cs="仿宋_GB2312" w:eastAsia="仿宋_GB2312"/>
                <w:sz w:val="28"/>
                <w:color w:val="000000"/>
              </w:rPr>
              <w:t>0</w:t>
            </w:r>
            <w:r>
              <w:rPr>
                <w:rFonts w:ascii="仿宋_GB2312" w:hAnsi="仿宋_GB2312" w:cs="仿宋_GB2312" w:eastAsia="仿宋_GB2312"/>
                <w:sz w:val="28"/>
                <w:color w:val="000000"/>
              </w:rPr>
              <w:t>km (CLTC)</w:t>
            </w:r>
          </w:p>
          <w:p>
            <w:pPr>
              <w:pStyle w:val="null3"/>
              <w:spacing w:before="105" w:after="105"/>
              <w:ind w:left="420"/>
              <w:jc w:val="both"/>
            </w:pPr>
            <w:r>
              <w:rPr>
                <w:rFonts w:ascii="仿宋_GB2312" w:hAnsi="仿宋_GB2312" w:cs="仿宋_GB2312" w:eastAsia="仿宋_GB2312"/>
                <w:sz w:val="28"/>
                <w:color w:val="000000"/>
              </w:rPr>
              <w:t>13.</w:t>
            </w:r>
            <w:r>
              <w:rPr>
                <w:rFonts w:ascii="仿宋_GB2312" w:hAnsi="仿宋_GB2312" w:cs="仿宋_GB2312" w:eastAsia="仿宋_GB2312"/>
                <w:sz w:val="28"/>
                <w:color w:val="000000"/>
              </w:rPr>
              <w:t>综合续航</w:t>
            </w:r>
            <w:r>
              <w:rPr>
                <w:rFonts w:ascii="仿宋_GB2312" w:hAnsi="仿宋_GB2312" w:cs="仿宋_GB2312" w:eastAsia="仿宋_GB2312"/>
                <w:sz w:val="28"/>
                <w:color w:val="000000"/>
              </w:rPr>
              <w:t>≥</w:t>
            </w:r>
            <w:r>
              <w:rPr>
                <w:rFonts w:ascii="仿宋_GB2312" w:hAnsi="仿宋_GB2312" w:cs="仿宋_GB2312" w:eastAsia="仿宋_GB2312"/>
                <w:sz w:val="28"/>
                <w:color w:val="000000"/>
              </w:rPr>
              <w:t>1000km（55L油箱）</w:t>
            </w:r>
          </w:p>
          <w:p>
            <w:pPr>
              <w:pStyle w:val="null3"/>
              <w:spacing w:before="105" w:after="105"/>
              <w:ind w:left="420"/>
              <w:jc w:val="both"/>
            </w:pPr>
            <w:r>
              <w:rPr>
                <w:rFonts w:ascii="仿宋_GB2312" w:hAnsi="仿宋_GB2312" w:cs="仿宋_GB2312" w:eastAsia="仿宋_GB2312"/>
                <w:sz w:val="28"/>
                <w:color w:val="000000"/>
              </w:rPr>
              <w:t>14.</w:t>
            </w:r>
            <w:r>
              <w:rPr>
                <w:rFonts w:ascii="仿宋_GB2312" w:hAnsi="仿宋_GB2312" w:cs="仿宋_GB2312" w:eastAsia="仿宋_GB2312"/>
                <w:sz w:val="28"/>
                <w:color w:val="000000"/>
              </w:rPr>
              <w:t>前麦弗逊</w:t>
            </w:r>
            <w:r>
              <w:rPr>
                <w:rFonts w:ascii="仿宋_GB2312" w:hAnsi="仿宋_GB2312" w:cs="仿宋_GB2312" w:eastAsia="仿宋_GB2312"/>
                <w:sz w:val="28"/>
                <w:color w:val="000000"/>
              </w:rPr>
              <w:t xml:space="preserve"> / 后多连杆独立悬架</w:t>
            </w:r>
          </w:p>
          <w:p>
            <w:pPr>
              <w:pStyle w:val="null3"/>
              <w:spacing w:before="105" w:after="105"/>
              <w:ind w:left="420"/>
              <w:jc w:val="both"/>
            </w:pPr>
            <w:r>
              <w:rPr>
                <w:rFonts w:ascii="仿宋_GB2312" w:hAnsi="仿宋_GB2312" w:cs="仿宋_GB2312" w:eastAsia="仿宋_GB2312"/>
                <w:sz w:val="28"/>
                <w:color w:val="000000"/>
              </w:rPr>
              <w:t>15.</w:t>
            </w:r>
            <w:r>
              <w:rPr>
                <w:rFonts w:ascii="仿宋_GB2312" w:hAnsi="仿宋_GB2312" w:cs="仿宋_GB2312" w:eastAsia="仿宋_GB2312"/>
                <w:sz w:val="28"/>
                <w:color w:val="000000"/>
              </w:rPr>
              <w:t>标配：</w:t>
            </w:r>
            <w:r>
              <w:rPr>
                <w:rFonts w:ascii="仿宋_GB2312" w:hAnsi="仿宋_GB2312" w:cs="仿宋_GB2312" w:eastAsia="仿宋_GB2312"/>
                <w:sz w:val="28"/>
                <w:color w:val="000000"/>
              </w:rPr>
              <w:t>≥</w:t>
            </w:r>
            <w:r>
              <w:rPr>
                <w:rFonts w:ascii="仿宋_GB2312" w:hAnsi="仿宋_GB2312" w:cs="仿宋_GB2312" w:eastAsia="仿宋_GB2312"/>
                <w:sz w:val="28"/>
                <w:color w:val="000000"/>
              </w:rPr>
              <w:t>6气囊</w:t>
            </w:r>
          </w:p>
          <w:p>
            <w:pPr>
              <w:pStyle w:val="null3"/>
              <w:spacing w:before="105" w:after="105"/>
              <w:ind w:left="420"/>
              <w:jc w:val="both"/>
            </w:pPr>
            <w:r>
              <w:rPr>
                <w:rFonts w:ascii="仿宋_GB2312" w:hAnsi="仿宋_GB2312" w:cs="仿宋_GB2312" w:eastAsia="仿宋_GB2312"/>
                <w:sz w:val="28"/>
                <w:color w:val="000000"/>
              </w:rPr>
              <w:t>16.</w:t>
            </w:r>
            <w:r>
              <w:rPr>
                <w:rFonts w:ascii="仿宋_GB2312" w:hAnsi="仿宋_GB2312" w:cs="仿宋_GB2312" w:eastAsia="仿宋_GB2312"/>
                <w:sz w:val="28"/>
                <w:color w:val="000000"/>
              </w:rPr>
              <w:t>360</w:t>
            </w:r>
            <w:r>
              <w:rPr>
                <w:rFonts w:ascii="仿宋_GB2312" w:hAnsi="仿宋_GB2312" w:cs="仿宋_GB2312" w:eastAsia="仿宋_GB2312"/>
                <w:sz w:val="28"/>
                <w:color w:val="000000"/>
              </w:rPr>
              <w:t>°</w:t>
            </w:r>
            <w:r>
              <w:rPr>
                <w:rFonts w:ascii="仿宋_GB2312" w:hAnsi="仿宋_GB2312" w:cs="仿宋_GB2312" w:eastAsia="仿宋_GB2312"/>
                <w:sz w:val="28"/>
                <w:color w:val="000000"/>
              </w:rPr>
              <w:t>全景影像、主动刹车，真皮座椅、电动调节、通风／加热</w:t>
            </w:r>
          </w:p>
          <w:p>
            <w:pPr>
              <w:pStyle w:val="null3"/>
              <w:spacing w:before="105" w:after="105"/>
              <w:ind w:left="420"/>
              <w:jc w:val="both"/>
            </w:pPr>
            <w:r>
              <w:rPr>
                <w:rFonts w:ascii="仿宋_GB2312" w:hAnsi="仿宋_GB2312" w:cs="仿宋_GB2312" w:eastAsia="仿宋_GB2312"/>
                <w:sz w:val="28"/>
                <w:color w:val="000000"/>
              </w:rPr>
              <w:t>17.</w:t>
            </w:r>
            <w:r>
              <w:rPr>
                <w:rFonts w:ascii="仿宋_GB2312" w:hAnsi="仿宋_GB2312" w:cs="仿宋_GB2312" w:eastAsia="仿宋_GB2312"/>
                <w:sz w:val="28"/>
                <w:color w:val="000000"/>
              </w:rPr>
              <w:t>≥</w:t>
            </w:r>
            <w:r>
              <w:rPr>
                <w:rFonts w:ascii="仿宋_GB2312" w:hAnsi="仿宋_GB2312" w:cs="仿宋_GB2312" w:eastAsia="仿宋_GB2312"/>
                <w:sz w:val="28"/>
                <w:color w:val="000000"/>
              </w:rPr>
              <w:t>3.3</w:t>
            </w:r>
            <w:r>
              <w:rPr>
                <w:rFonts w:ascii="仿宋_GB2312" w:hAnsi="仿宋_GB2312" w:cs="仿宋_GB2312" w:eastAsia="仿宋_GB2312"/>
                <w:sz w:val="28"/>
                <w:color w:val="000000"/>
              </w:rPr>
              <w:t>kW大功率对外供电</w:t>
            </w:r>
          </w:p>
          <w:p>
            <w:pPr>
              <w:pStyle w:val="null3"/>
              <w:jc w:val="both"/>
            </w:pP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合同签订后15日历日内交货。</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甲方指定地点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合同签订，货到现场、安装调试完毕经验收合格并交付使用</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详见拟签订的合同文本</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本车辆整车质量保证期为6年或行驶里程150,000公里，二者以先到者为准；车辆动力电池享受终身质量保证服务。</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详见拟签订的合同文本</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提供盖章的《汉中市政府采购供应商资格承诺函》</w:t>
            </w:r>
          </w:p>
        </w:tc>
        <w:tc>
          <w:tcPr>
            <w:tcW w:type="dxa" w:w="1661"/>
          </w:tcPr>
          <w:p>
            <w:pPr>
              <w:pStyle w:val="null3"/>
            </w:pPr>
            <w:r>
              <w:rPr>
                <w:rFonts w:ascii="仿宋_GB2312" w:hAnsi="仿宋_GB2312" w:cs="仿宋_GB2312" w:eastAsia="仿宋_GB2312"/>
              </w:rPr>
              <w:t>汉中-资格证明文件.docx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提供盖章的《汉中市政府采购供应商资格承诺函》</w:t>
            </w:r>
          </w:p>
        </w:tc>
        <w:tc>
          <w:tcPr>
            <w:tcW w:type="dxa" w:w="1661"/>
          </w:tcPr>
          <w:p>
            <w:pPr>
              <w:pStyle w:val="null3"/>
            </w:pPr>
            <w:r>
              <w:rPr>
                <w:rFonts w:ascii="仿宋_GB2312" w:hAnsi="仿宋_GB2312" w:cs="仿宋_GB2312" w:eastAsia="仿宋_GB2312"/>
              </w:rPr>
              <w:t>汉中-资格证明文件.docx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汉中-资格证明文件.docx 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信用信息</w:t>
            </w:r>
          </w:p>
        </w:tc>
        <w:tc>
          <w:tcPr>
            <w:tcW w:type="dxa" w:w="3322"/>
          </w:tcPr>
          <w:p>
            <w:pPr>
              <w:pStyle w:val="null3"/>
            </w:pPr>
            <w:r>
              <w:rPr>
                <w:rFonts w:ascii="仿宋_GB2312" w:hAnsi="仿宋_GB2312" w:cs="仿宋_GB2312" w:eastAsia="仿宋_GB2312"/>
              </w:rPr>
              <w:t>投标人在递交投标文件截止时间前被“信用中国”网站（www.creditchina.gov.cn）和中国政府采购网（www.ccgp.gov.cn）上被列入失信被执行人、重大税收违法失信主体、政府采购严重违法失信行为记录名单的，不得参加投标；</w:t>
            </w:r>
          </w:p>
        </w:tc>
        <w:tc>
          <w:tcPr>
            <w:tcW w:type="dxa" w:w="1661"/>
          </w:tcPr>
          <w:p>
            <w:pPr>
              <w:pStyle w:val="null3"/>
            </w:pPr>
            <w:r>
              <w:rPr>
                <w:rFonts w:ascii="仿宋_GB2312" w:hAnsi="仿宋_GB2312" w:cs="仿宋_GB2312" w:eastAsia="仿宋_GB2312"/>
              </w:rPr>
              <w:t>汉中-资格证明文件.docx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投标人参加本项目的合法授权人授权委托书</w:t>
            </w:r>
          </w:p>
        </w:tc>
        <w:tc>
          <w:tcPr>
            <w:tcW w:type="dxa" w:w="3322"/>
          </w:tcPr>
          <w:p>
            <w:pPr>
              <w:pStyle w:val="null3"/>
            </w:pPr>
            <w:r>
              <w:rPr>
                <w:rFonts w:ascii="仿宋_GB2312" w:hAnsi="仿宋_GB2312" w:cs="仿宋_GB2312" w:eastAsia="仿宋_GB2312"/>
              </w:rPr>
              <w:t>投标人参加本项目的合法授权人授权委托书：投标人应授权合法的人员参加投标全过程，其中法定代表人直接参加投标的，须出具法人身份证，并与营业执照上信息一致。法定代表人授权代表参加投标的，须出具法定代表人授权书及授权代表身份证、授权代表本单位证明（养老保险缴纳证明）；</w:t>
            </w:r>
          </w:p>
        </w:tc>
        <w:tc>
          <w:tcPr>
            <w:tcW w:type="dxa" w:w="1661"/>
          </w:tcPr>
          <w:p>
            <w:pPr>
              <w:pStyle w:val="null3"/>
            </w:pPr>
            <w:r>
              <w:rPr>
                <w:rFonts w:ascii="仿宋_GB2312" w:hAnsi="仿宋_GB2312" w:cs="仿宋_GB2312" w:eastAsia="仿宋_GB2312"/>
              </w:rPr>
              <w:t>汉中-资格证明文件.docx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特定资格要求1</w:t>
            </w:r>
          </w:p>
        </w:tc>
        <w:tc>
          <w:tcPr>
            <w:tcW w:type="dxa" w:w="3322"/>
          </w:tcPr>
          <w:p>
            <w:pPr>
              <w:pStyle w:val="null3"/>
            </w:pPr>
            <w:r>
              <w:rPr>
                <w:rFonts w:ascii="仿宋_GB2312" w:hAnsi="仿宋_GB2312" w:cs="仿宋_GB2312" w:eastAsia="仿宋_GB2312"/>
              </w:rPr>
              <w:t>投标车辆所属生产企业及车辆产品本身，须已纳入工业和信息化部正式发布的《道路机动车辆生产企业及产品公告》管理范围。投标时需提供工信部官方网站对应公告查询页面的截图证明材料，截图需清晰显示生产企业名称、车辆产品型号相关信息。</w:t>
            </w:r>
          </w:p>
        </w:tc>
        <w:tc>
          <w:tcPr>
            <w:tcW w:type="dxa" w:w="1661"/>
          </w:tcPr>
          <w:p>
            <w:pPr>
              <w:pStyle w:val="null3"/>
            </w:pPr>
            <w:r>
              <w:rPr>
                <w:rFonts w:ascii="仿宋_GB2312" w:hAnsi="仿宋_GB2312" w:cs="仿宋_GB2312" w:eastAsia="仿宋_GB2312"/>
              </w:rPr>
              <w:t>汉中-资格证明文件.docx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特定资格要求2</w:t>
            </w:r>
          </w:p>
        </w:tc>
        <w:tc>
          <w:tcPr>
            <w:tcW w:type="dxa" w:w="3322"/>
          </w:tcPr>
          <w:p>
            <w:pPr>
              <w:pStyle w:val="null3"/>
            </w:pPr>
            <w:r>
              <w:rPr>
                <w:rFonts w:ascii="仿宋_GB2312" w:hAnsi="仿宋_GB2312" w:cs="仿宋_GB2312" w:eastAsia="仿宋_GB2312"/>
              </w:rPr>
              <w:t>本次投标的囚车产品，须为上述《道路机动车辆生产企业及产品公告》中明确标注车辆类型为「囚车」的专用车型。投标时需提供工信部公告对应车型详情页面的截图证明材料，截图内容需完整显示车辆型号、车辆类型字段，且车辆类型描述中包含「囚车」字样。</w:t>
            </w:r>
          </w:p>
        </w:tc>
        <w:tc>
          <w:tcPr>
            <w:tcW w:type="dxa" w:w="1661"/>
          </w:tcPr>
          <w:p>
            <w:pPr>
              <w:pStyle w:val="null3"/>
            </w:pPr>
            <w:r>
              <w:rPr>
                <w:rFonts w:ascii="仿宋_GB2312" w:hAnsi="仿宋_GB2312" w:cs="仿宋_GB2312" w:eastAsia="仿宋_GB2312"/>
              </w:rPr>
              <w:t>汉中-资格证明文件.docx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一、评审中出现下列情形之一的，评标委员会应当启动异常低价投标审查程序： 1.投标报价低于采购项目最高限价45%的，即投标报价&lt;采购项目最高限价×45%； 2.评标委员会基于专业判断，认为供应商报价过低，有可能影响产品质量或者不能诚信履约的其他情形。相关法律法规对供应商报价有规定的，从其规定。 二、评标委员会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评标委员会依据专业经验，参考同类项目中标（成交）价格、类似产品市场价格水平、行业人工费用标准、国家有关部门指导行业协会发布的行业平均成本等情况，对报价合理性进行判断。 三、投标人提交的相关说明和证明材料，应当加盖投标人（法定名称）电子印章，在评标委员会要求的时间内通过项目电子化交易系统进行提交，否则提交的相关证明材料无效。投标供应商不能提供书面说明、证明材料，或者提供的书面说明、证明材料不能证明其报价合理性的，评标委员会应当将其作为无效投标处理。</w:t>
            </w:r>
          </w:p>
        </w:tc>
        <w:tc>
          <w:tcPr>
            <w:tcW w:type="dxa" w:w="1661"/>
          </w:tcPr>
          <w:p>
            <w:pPr>
              <w:pStyle w:val="null3"/>
            </w:pPr>
            <w:r>
              <w:rPr>
                <w:rFonts w:ascii="仿宋_GB2312" w:hAnsi="仿宋_GB2312" w:cs="仿宋_GB2312" w:eastAsia="仿宋_GB2312"/>
              </w:rPr>
              <w:t>开标一览表 投标分项报价表.docx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投标文件签署、盖章</w:t>
            </w:r>
          </w:p>
        </w:tc>
        <w:tc>
          <w:tcPr>
            <w:tcW w:type="dxa" w:w="3322"/>
          </w:tcPr>
          <w:p>
            <w:pPr>
              <w:pStyle w:val="null3"/>
            </w:pPr>
            <w:r>
              <w:rPr>
                <w:rFonts w:ascii="仿宋_GB2312" w:hAnsi="仿宋_GB2312" w:cs="仿宋_GB2312" w:eastAsia="仿宋_GB2312"/>
              </w:rPr>
              <w:t>投标文件按招标文件要求签署、盖章</w:t>
            </w:r>
          </w:p>
        </w:tc>
        <w:tc>
          <w:tcPr>
            <w:tcW w:type="dxa" w:w="1661"/>
          </w:tcPr>
          <w:p>
            <w:pPr>
              <w:pStyle w:val="null3"/>
            </w:pPr>
            <w:r>
              <w:rPr>
                <w:rFonts w:ascii="仿宋_GB2312" w:hAnsi="仿宋_GB2312" w:cs="仿宋_GB2312" w:eastAsia="仿宋_GB2312"/>
              </w:rPr>
              <w:t>开标一览表 投标分项报价表.docx 汉中-资格证明文件.docx 投标函 标的清单 投标文件封面 投标人参加政府采购活动承诺书.docx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投标有效期满足招标文件要求的</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投标人投标报价没有超出采购预算或最高限价或单项最高限价</w:t>
            </w:r>
          </w:p>
        </w:tc>
        <w:tc>
          <w:tcPr>
            <w:tcW w:type="dxa" w:w="1661"/>
          </w:tcPr>
          <w:p>
            <w:pPr>
              <w:pStyle w:val="null3"/>
            </w:pPr>
            <w:r>
              <w:rPr>
                <w:rFonts w:ascii="仿宋_GB2312" w:hAnsi="仿宋_GB2312" w:cs="仿宋_GB2312" w:eastAsia="仿宋_GB2312"/>
              </w:rPr>
              <w:t>开标一览表 投标分项报价表.docx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投标内容</w:t>
            </w:r>
          </w:p>
        </w:tc>
        <w:tc>
          <w:tcPr>
            <w:tcW w:type="dxa" w:w="3322"/>
          </w:tcPr>
          <w:p>
            <w:pPr>
              <w:pStyle w:val="null3"/>
            </w:pPr>
            <w:r>
              <w:rPr>
                <w:rFonts w:ascii="仿宋_GB2312" w:hAnsi="仿宋_GB2312" w:cs="仿宋_GB2312" w:eastAsia="仿宋_GB2312"/>
              </w:rPr>
              <w:t>投标内容不存在漏项或数量与要求不符合招标文件规定情形，投标内容满足招标文件的商务、技术等实质性要求，不存在采购档次降低或影响采购性能、功能的情形</w:t>
            </w:r>
          </w:p>
        </w:tc>
        <w:tc>
          <w:tcPr>
            <w:tcW w:type="dxa" w:w="1661"/>
          </w:tcPr>
          <w:p>
            <w:pPr>
              <w:pStyle w:val="null3"/>
            </w:pPr>
            <w:r>
              <w:rPr>
                <w:rFonts w:ascii="仿宋_GB2312" w:hAnsi="仿宋_GB2312" w:cs="仿宋_GB2312" w:eastAsia="仿宋_GB2312"/>
              </w:rPr>
              <w:t>投标方案.docx 投标分项报价表.docx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公平竞争</w:t>
            </w:r>
          </w:p>
        </w:tc>
        <w:tc>
          <w:tcPr>
            <w:tcW w:type="dxa" w:w="3322"/>
          </w:tcPr>
          <w:p>
            <w:pPr>
              <w:pStyle w:val="null3"/>
            </w:pPr>
            <w:r>
              <w:rPr>
                <w:rFonts w:ascii="仿宋_GB2312" w:hAnsi="仿宋_GB2312" w:cs="仿宋_GB2312" w:eastAsia="仿宋_GB2312"/>
              </w:rPr>
              <w:t>遵循公平竞争的原则，没有弄虚作假、恶意串通或妨碍其他投标人的竞争行为，损害采购人或者其他投标人的合法权益。</w:t>
            </w:r>
          </w:p>
        </w:tc>
        <w:tc>
          <w:tcPr>
            <w:tcW w:type="dxa" w:w="1661"/>
          </w:tcPr>
          <w:p>
            <w:pPr>
              <w:pStyle w:val="null3"/>
            </w:pPr>
            <w:r>
              <w:rPr>
                <w:rFonts w:ascii="仿宋_GB2312" w:hAnsi="仿宋_GB2312" w:cs="仿宋_GB2312" w:eastAsia="仿宋_GB2312"/>
              </w:rPr>
              <w:t>开标一览表 投标方案.docx 关于符合本国产品标准的声明函.docx 中小企业声明函 节能产品、环境标志产品明细表.docx 投标保证金支付凭证或担保函（复印件）.docx 投标分项报价表.docx 汉中-资格证明文件.docx 投标函 残疾人福利性单位声明函 标的清单 投标文件封面 投标人参加政府采购活动承诺书.docx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其它</w:t>
            </w:r>
          </w:p>
        </w:tc>
        <w:tc>
          <w:tcPr>
            <w:tcW w:type="dxa" w:w="3322"/>
          </w:tcPr>
          <w:p>
            <w:pPr>
              <w:pStyle w:val="null3"/>
            </w:pPr>
            <w:r>
              <w:rPr>
                <w:rFonts w:ascii="仿宋_GB2312" w:hAnsi="仿宋_GB2312" w:cs="仿宋_GB2312" w:eastAsia="仿宋_GB2312"/>
              </w:rPr>
              <w:t>不存在其它不符合法律法规或招标文件规定的投标无效条款的情形</w:t>
            </w:r>
          </w:p>
        </w:tc>
        <w:tc>
          <w:tcPr>
            <w:tcW w:type="dxa" w:w="1661"/>
          </w:tcPr>
          <w:p>
            <w:pPr>
              <w:pStyle w:val="null3"/>
            </w:pPr>
            <w:r>
              <w:rPr>
                <w:rFonts w:ascii="仿宋_GB2312" w:hAnsi="仿宋_GB2312" w:cs="仿宋_GB2312" w:eastAsia="仿宋_GB2312"/>
              </w:rPr>
              <w:t>开标一览表 投标方案.docx 关于符合本国产品标准的声明函.docx 中小企业声明函 节能产品、环境标志产品明细表.docx 投标保证金支付凭证或担保函（复印件）.docx 投标分项报价表.docx 汉中-资格证明文件.docx 投标函 残疾人福利性单位声明函 标的清单 投标文件封面 投标人参加政府采购活动承诺书.docx 监狱企业的证明文件</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节能、环境标志产品</w:t>
            </w:r>
          </w:p>
        </w:tc>
        <w:tc>
          <w:tcPr>
            <w:tcW w:type="dxa" w:w="2492"/>
          </w:tcPr>
          <w:p>
            <w:pPr>
              <w:pStyle w:val="null3"/>
            </w:pPr>
            <w:r>
              <w:rPr>
                <w:rFonts w:ascii="仿宋_GB2312" w:hAnsi="仿宋_GB2312" w:cs="仿宋_GB2312" w:eastAsia="仿宋_GB2312"/>
              </w:rPr>
              <w:t>投标人所投产品属于节能产品、环境标志产品优先采购范围（除政府强制采购的节能产品外）： 1、所投产品属于节能产品得0.5分； 评审依据：所投产品具有国家确定的认证机构出具的、处于有效期之内的节能产品认证证书（提供证书扫描件）。 2、所投产品属于环境标志产品得0.5分； 评审依据：所投产品具有国家确定的认证机构出具的、处于有效期之内的环境标志产品认证证书（提供证书扫描件）。 注：节能产品、环境标志产品优先采购范围以品目清单为准。财政部、发展改革委、生态环境部等部门根据产品节能环保性能、技术水平和市场成熟程度等因素，确定实施政府优先采购和强制采购的产品类别及所依据的相关标准规范，以品目清单的形式发布并适时调整。</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节能产品、环境标志产品明细表.docx</w:t>
            </w:r>
          </w:p>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投标产品技术指标评审内容</w:t>
            </w:r>
          </w:p>
        </w:tc>
        <w:tc>
          <w:tcPr>
            <w:tcW w:type="dxa" w:w="2492"/>
          </w:tcPr>
          <w:p>
            <w:pPr>
              <w:pStyle w:val="null3"/>
            </w:pPr>
            <w:r>
              <w:rPr>
                <w:rFonts w:ascii="仿宋_GB2312" w:hAnsi="仿宋_GB2312" w:cs="仿宋_GB2312" w:eastAsia="仿宋_GB2312"/>
              </w:rPr>
              <w:t>投标产品的技术指标评审：完全响应得32分。技术参数一项不满足扣1分，扣完为止。 评审依据：按照技术参数要求提供相应的证明文件，在技术偏离表“说明”栏中标明证明材料的页码。</w:t>
            </w:r>
          </w:p>
        </w:tc>
        <w:tc>
          <w:tcPr>
            <w:tcW w:type="dxa" w:w="831"/>
          </w:tcPr>
          <w:p>
            <w:pPr>
              <w:pStyle w:val="null3"/>
              <w:jc w:val="right"/>
            </w:pPr>
            <w:r>
              <w:rPr>
                <w:rFonts w:ascii="仿宋_GB2312" w:hAnsi="仿宋_GB2312" w:cs="仿宋_GB2312" w:eastAsia="仿宋_GB2312"/>
              </w:rPr>
              <w:t>32.0000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投标产品的先进性和可靠性</w:t>
            </w:r>
          </w:p>
        </w:tc>
        <w:tc>
          <w:tcPr>
            <w:tcW w:type="dxa" w:w="2492"/>
          </w:tcPr>
          <w:p>
            <w:pPr>
              <w:pStyle w:val="null3"/>
            </w:pPr>
            <w:r>
              <w:rPr>
                <w:rFonts w:ascii="仿宋_GB2312" w:hAnsi="仿宋_GB2312" w:cs="仿宋_GB2312" w:eastAsia="仿宋_GB2312"/>
              </w:rPr>
              <w:t>所投设备技术先进、可靠性强、成熟度高，完全满足用户需求，得5分； 所投设备技术成熟、性能稳定，基本满足用户需求，得3分； 所投设备技术成熟、性能满足、影响用户使用效果，得1分。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实施方案-1、供货方案</w:t>
            </w:r>
          </w:p>
        </w:tc>
        <w:tc>
          <w:tcPr>
            <w:tcW w:type="dxa" w:w="2492"/>
          </w:tcPr>
          <w:p>
            <w:pPr>
              <w:pStyle w:val="null3"/>
            </w:pPr>
            <w:r>
              <w:rPr>
                <w:rFonts w:ascii="仿宋_GB2312" w:hAnsi="仿宋_GB2312" w:cs="仿宋_GB2312" w:eastAsia="仿宋_GB2312"/>
              </w:rPr>
              <w:t>内容完整、可实施、且有针对性得3分；内容完整、可实施得2分；方案基本完整得1分；未提供不得分。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实施方案-2、安全配置方案</w:t>
            </w:r>
          </w:p>
        </w:tc>
        <w:tc>
          <w:tcPr>
            <w:tcW w:type="dxa" w:w="2492"/>
          </w:tcPr>
          <w:p>
            <w:pPr>
              <w:pStyle w:val="null3"/>
            </w:pPr>
            <w:r>
              <w:rPr>
                <w:rFonts w:ascii="仿宋_GB2312" w:hAnsi="仿宋_GB2312" w:cs="仿宋_GB2312" w:eastAsia="仿宋_GB2312"/>
              </w:rPr>
              <w:t>内容完整、可实施、且有针对性得3分；内容完整、可实施得2分；方案基本完整得1分；未提供不得分。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实施方案-3、交货工期保证措施</w:t>
            </w:r>
          </w:p>
        </w:tc>
        <w:tc>
          <w:tcPr>
            <w:tcW w:type="dxa" w:w="2492"/>
          </w:tcPr>
          <w:p>
            <w:pPr>
              <w:pStyle w:val="null3"/>
            </w:pPr>
            <w:r>
              <w:rPr>
                <w:rFonts w:ascii="仿宋_GB2312" w:hAnsi="仿宋_GB2312" w:cs="仿宋_GB2312" w:eastAsia="仿宋_GB2312"/>
              </w:rPr>
              <w:t>内容完整、可实施、且有针对性得3分；内容完整、可实施得2分；方案基本完整得1分；未提供不得分。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实施方案-4、车辆保护措施</w:t>
            </w:r>
          </w:p>
        </w:tc>
        <w:tc>
          <w:tcPr>
            <w:tcW w:type="dxa" w:w="2492"/>
          </w:tcPr>
          <w:p>
            <w:pPr>
              <w:pStyle w:val="null3"/>
            </w:pPr>
            <w:r>
              <w:rPr>
                <w:rFonts w:ascii="仿宋_GB2312" w:hAnsi="仿宋_GB2312" w:cs="仿宋_GB2312" w:eastAsia="仿宋_GB2312"/>
              </w:rPr>
              <w:t>内容完整、可实施、且有针对性得3分；内容完整、可实施得2分；方案基本完整得1分；未提供不得分。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实施方案-5、警用改装专项方案</w:t>
            </w:r>
          </w:p>
        </w:tc>
        <w:tc>
          <w:tcPr>
            <w:tcW w:type="dxa" w:w="2492"/>
          </w:tcPr>
          <w:p>
            <w:pPr>
              <w:pStyle w:val="null3"/>
            </w:pPr>
            <w:r>
              <w:rPr>
                <w:rFonts w:ascii="仿宋_GB2312" w:hAnsi="仿宋_GB2312" w:cs="仿宋_GB2312" w:eastAsia="仿宋_GB2312"/>
              </w:rPr>
              <w:t>内容完整、可实施、且有针对性得3分；内容完整、可实施得2分；方案基本完整得1分；未提供不得分。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实施方案-6、验收方案</w:t>
            </w:r>
          </w:p>
        </w:tc>
        <w:tc>
          <w:tcPr>
            <w:tcW w:type="dxa" w:w="2492"/>
          </w:tcPr>
          <w:p>
            <w:pPr>
              <w:pStyle w:val="null3"/>
            </w:pPr>
            <w:r>
              <w:rPr>
                <w:rFonts w:ascii="仿宋_GB2312" w:hAnsi="仿宋_GB2312" w:cs="仿宋_GB2312" w:eastAsia="仿宋_GB2312"/>
              </w:rPr>
              <w:t>内容完整、可实施、且有针对性得3分；内容完整、可实施得2分；方案基本完整得1分；未提供不得分。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售后服务方案-1、售后服务范围及保障措施</w:t>
            </w:r>
          </w:p>
        </w:tc>
        <w:tc>
          <w:tcPr>
            <w:tcW w:type="dxa" w:w="2492"/>
          </w:tcPr>
          <w:p>
            <w:pPr>
              <w:pStyle w:val="null3"/>
            </w:pPr>
            <w:r>
              <w:rPr>
                <w:rFonts w:ascii="仿宋_GB2312" w:hAnsi="仿宋_GB2312" w:cs="仿宋_GB2312" w:eastAsia="仿宋_GB2312"/>
              </w:rPr>
              <w:t>内容完整、可实施、且有针对性得3分；内容完整、可实施得2分；方案基本完整得1分；未提供不得分。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售后服务方案-2、故障处理及补救措施</w:t>
            </w:r>
          </w:p>
        </w:tc>
        <w:tc>
          <w:tcPr>
            <w:tcW w:type="dxa" w:w="2492"/>
          </w:tcPr>
          <w:p>
            <w:pPr>
              <w:pStyle w:val="null3"/>
            </w:pPr>
            <w:r>
              <w:rPr>
                <w:rFonts w:ascii="仿宋_GB2312" w:hAnsi="仿宋_GB2312" w:cs="仿宋_GB2312" w:eastAsia="仿宋_GB2312"/>
              </w:rPr>
              <w:t>内容完整、可实施、且有针对性得3分；内容完整、可实施得2分；方案基本完整得1分；未提供不得分。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售后服务方案-3、备品配件服务承诺</w:t>
            </w:r>
          </w:p>
        </w:tc>
        <w:tc>
          <w:tcPr>
            <w:tcW w:type="dxa" w:w="2492"/>
          </w:tcPr>
          <w:p>
            <w:pPr>
              <w:pStyle w:val="null3"/>
            </w:pPr>
            <w:r>
              <w:rPr>
                <w:rFonts w:ascii="仿宋_GB2312" w:hAnsi="仿宋_GB2312" w:cs="仿宋_GB2312" w:eastAsia="仿宋_GB2312"/>
              </w:rPr>
              <w:t>内容完整、可实施、且有针对性得3分；内容完整、可实施得2分；方案基本完整得1分；未提供不得分。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产品业绩</w:t>
            </w:r>
          </w:p>
        </w:tc>
        <w:tc>
          <w:tcPr>
            <w:tcW w:type="dxa" w:w="2492"/>
          </w:tcPr>
          <w:p>
            <w:pPr>
              <w:pStyle w:val="null3"/>
            </w:pPr>
            <w:r>
              <w:rPr>
                <w:rFonts w:ascii="仿宋_GB2312" w:hAnsi="仿宋_GB2312" w:cs="仿宋_GB2312" w:eastAsia="仿宋_GB2312"/>
              </w:rPr>
              <w:t>提供2023年1月1日至投标截止时间（以合同签订时间为准）投标人或生产厂家的类似项目业绩，每提供一个业绩得2.5分，满分5分。 评审依据：以加盖公章的业绩合同复印件为准，合同至少需包含合同首页、产品页、签章页。</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满足招标文件要求且投标价格最低的投标报价为评标基准价，其价格分为满分。其他投标人的价格分统一按照下列公式计算：投标报价得分=（评标基准价/投标报价）×价格权值 （小微企业、监狱企业或残疾人福利性单位用投标报价扣除后的价格参加评审。专门面向中小企业采购的项目不进行价格扣除。） （①支持本国产品。根据《国务院办公厅关于在政府采购中实施本国产品标准及相关政策的通知》（国办发﹝2025﹞34号）和《陕西省财政厅关于在政府采购活动中实施本国产品标准及相关政策的通知》（陕财办采〔2026〕2 号）要求，当采购项目或采购包的采购标的仅包含单一产品时，政府采购活动中既有本国产品又有非本国产品参与竞争的，依法对本国产品给予价格评审优惠，对本国产品的报价给予20%的价格扣除，用扣除后的价格参与评审。当采购项目或者采购包的采购标的中含有多种产品，供应商为该采购项目或者采购包提供的符合本国产品标准的产品成本之和占该供应商提供的全部产品成本之和的比例达到80%以上时，且供应商在投标（响应）文件中对此作出承诺的，则依法对该供应商提供的全部产品给予价格评审优惠，即对该供应商提供的全部产品的总报价给予20%的价格扣除，用扣除后的价格参与评审。全部产品是指货物或服务采购项目或采购包中包含的全部货物、服务产品。供应商对其提供的产品出具《关于符合本国产品标准的声明函》（格式详见投标文件格式）或财政部会同有关部门规定的有关证明文件，《声明函》或有关证明文件符合要求的，该产品视为本国产品。②异常低价审查 。一、评审中出现下列情形之一的，评标委员会应当启动异常低价投标审查程序：1.投标报价低于全部通过符合性审查供应商投标报价平均值50%的，即投标报价&lt;全部通过符合性审查供应商投标报价平均值×50%；2.投标报价低于通过符合性审查的次低报价供应商投标报价50%的，即投标报价&lt;通过符合性审查的次低报价供应商投标报价×50%；3.投标报价低于采购项目最高限价45%的，即投标报价&lt;采购项目最高限价×45%；4.评标委员会基于专业判断，认为供应商报价过低，有可能影响产品质量或者不能诚信履约的其他情形。相关法律法规对供应商报价有规定的，从其规定。 二、评标委员会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评标委员会依据专业经验，参考同类项目中标（成交）价格、类似产品市场价格水平、行业人工费用标准、国家有关部门指导行业协会发布的行业平均成本等情况，对报价合理性进行判断。 三、投标人提交的相关说明和证明材料，应当加盖投标人（法定名称）电子印章，在评标委员会要求的时间内通过项目电子化交易系统进行提交，否则提交的相关证明材料无效。投标供应商不能提供书面说明、证明材料，或者提供的书面说明、证明材料不能证明其报价合理性的，评标委员会应当将其作为无效投标处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详见附件：关于符合本国产品标准的声明函.docx</w:t>
      </w:r>
    </w:p>
    <w:p>
      <w:pPr>
        <w:pStyle w:val="null3"/>
        <w:ind w:firstLine="960"/>
      </w:pPr>
      <w:r>
        <w:rPr>
          <w:rFonts w:ascii="仿宋_GB2312" w:hAnsi="仿宋_GB2312" w:cs="仿宋_GB2312" w:eastAsia="仿宋_GB2312"/>
        </w:rPr>
        <w:t>详见附件：汉中-资格证明文件.docx</w:t>
      </w:r>
    </w:p>
    <w:p>
      <w:pPr>
        <w:pStyle w:val="null3"/>
        <w:ind w:firstLine="960"/>
      </w:pPr>
      <w:r>
        <w:rPr>
          <w:rFonts w:ascii="仿宋_GB2312" w:hAnsi="仿宋_GB2312" w:cs="仿宋_GB2312" w:eastAsia="仿宋_GB2312"/>
        </w:rPr>
        <w:t>详见附件：投标分项报价表.docx</w:t>
      </w:r>
    </w:p>
    <w:p>
      <w:pPr>
        <w:pStyle w:val="null3"/>
        <w:ind w:firstLine="960"/>
      </w:pPr>
      <w:r>
        <w:rPr>
          <w:rFonts w:ascii="仿宋_GB2312" w:hAnsi="仿宋_GB2312" w:cs="仿宋_GB2312" w:eastAsia="仿宋_GB2312"/>
        </w:rPr>
        <w:t>详见附件：节能产品、环境标志产品明细表.docx</w:t>
      </w:r>
    </w:p>
    <w:p>
      <w:pPr>
        <w:pStyle w:val="null3"/>
        <w:ind w:firstLine="960"/>
      </w:pPr>
      <w:r>
        <w:rPr>
          <w:rFonts w:ascii="仿宋_GB2312" w:hAnsi="仿宋_GB2312" w:cs="仿宋_GB2312" w:eastAsia="仿宋_GB2312"/>
        </w:rPr>
        <w:t>详见附件：投标方案.docx</w:t>
      </w:r>
    </w:p>
    <w:p>
      <w:pPr>
        <w:pStyle w:val="null3"/>
        <w:ind w:firstLine="960"/>
      </w:pPr>
      <w:r>
        <w:rPr>
          <w:rFonts w:ascii="仿宋_GB2312" w:hAnsi="仿宋_GB2312" w:cs="仿宋_GB2312" w:eastAsia="仿宋_GB2312"/>
        </w:rPr>
        <w:t>详见附件：投标人参加政府采购活动承诺书.docx</w:t>
      </w:r>
    </w:p>
    <w:p>
      <w:pPr>
        <w:pStyle w:val="null3"/>
        <w:ind w:firstLine="960"/>
      </w:pPr>
      <w:r>
        <w:rPr>
          <w:rFonts w:ascii="仿宋_GB2312" w:hAnsi="仿宋_GB2312" w:cs="仿宋_GB2312" w:eastAsia="仿宋_GB2312"/>
        </w:rPr>
        <w:t>详见附件：投标保证金支付凭证或担保函（复印件）.docx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详见附件：拟签订采购合同文本.docx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