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版本号：ZYZX2026-01220260612001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2026年度智慧环卫车联网考核平台项目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ZYZX2026-012</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2026年度智慧环卫车联网考核平台项目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ZYZX2026-012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2026年度智慧环卫车联网考核平台项目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2026年度智慧环卫车联网考核平台项目，具体内容详见第三章磋商项目技术、服务、商务及其他要求。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采购包1（2026年度智慧环卫车联网考核平台项目）：属于专门面向中小企业采购。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029-85381214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029-81101622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代理服务费收费标准：1.参照国家计委颁布的《招标代理服务收费管理暂行办法》（计价格[2002]1980号）和（发改办价格[2003]857号）、发改价格[2011]534号中服务类的收费标准计取。 2.成交单位在领取成交通知书之前，须向代理机构支付招标代理服务费。 3.招标代理服务费以转账或现金形式缴纳至以下账户：开户名称：正飏（陕西）项目管理咨询有限公司 开户银行：上海浦东发展银行股份有限公司西安电子正街支行 账号：72230078801300000775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联系人：王浩</w:t>
      </w:r>
    </w:p>
    <w:p>
      <w:pPr>
        <w:pStyle w:val="null3"/>
      </w:pPr>
      <w:r>
        <w:rPr>
          <w:rFonts w:ascii="仿宋_GB2312" w:hAnsi="仿宋_GB2312" w:cs="仿宋_GB2312" w:eastAsia="仿宋_GB2312"/>
        </w:rPr>
        <w:t>联系电话：029-81101622</w:t>
      </w:r>
    </w:p>
    <w:p>
      <w:pPr>
        <w:pStyle w:val="null3"/>
      </w:pPr>
      <w:r>
        <w:rPr>
          <w:rFonts w:ascii="仿宋_GB2312" w:hAnsi="仿宋_GB2312" w:cs="仿宋_GB2312" w:eastAsia="仿宋_GB2312"/>
        </w:rPr>
        <w:t>地址：西安市雁塔区电子正街云锦紫豪商务中心13层06室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2026年度智慧环卫车联网考核平台项目，具体内容详见第三章磋商项目技术、服务、商务及其他要求。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2026年度智慧环卫车联网考核平台项目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标的名称：2026年度智慧环卫车联网考核平台项目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1.基础数据管理系统：</w:t>
            </w:r>
          </w:p>
          <w:p>
            <w:pPr>
              <w:pStyle w:val="null3"/>
            </w:pPr>
            <w:r>
              <w:rPr>
                <w:rFonts w:ascii="仿宋_GB2312" w:hAnsi="仿宋_GB2312" w:cs="仿宋_GB2312" w:eastAsia="仿宋_GB2312"/>
              </w:rPr>
              <w:t>项目管理：支持对环卫保洁项目的增删改查及基础信息维护；</w:t>
            </w:r>
          </w:p>
          <w:p>
            <w:pPr>
              <w:pStyle w:val="null3"/>
            </w:pPr>
            <w:r>
              <w:rPr>
                <w:rFonts w:ascii="仿宋_GB2312" w:hAnsi="仿宋_GB2312" w:cs="仿宋_GB2312" w:eastAsia="仿宋_GB2312"/>
              </w:rPr>
              <w:t>组织架构管理：支持多层级组织架构的搭建与维护；</w:t>
            </w:r>
          </w:p>
          <w:p>
            <w:pPr>
              <w:pStyle w:val="null3"/>
            </w:pPr>
            <w:r>
              <w:rPr>
                <w:rFonts w:ascii="仿宋_GB2312" w:hAnsi="仿宋_GB2312" w:cs="仿宋_GB2312" w:eastAsia="仿宋_GB2312"/>
              </w:rPr>
              <w:t>人员综合管理：支持环卫、保洁、巡检等各类人员信息的统一管理；</w:t>
            </w:r>
          </w:p>
          <w:p>
            <w:pPr>
              <w:pStyle w:val="null3"/>
            </w:pPr>
            <w:r>
              <w:rPr>
                <w:rFonts w:ascii="仿宋_GB2312" w:hAnsi="仿宋_GB2312" w:cs="仿宋_GB2312" w:eastAsia="仿宋_GB2312"/>
              </w:rPr>
              <w:t>车辆综合管理：支持环卫作业车辆的信息维护及状态管理；</w:t>
            </w:r>
          </w:p>
          <w:p>
            <w:pPr>
              <w:pStyle w:val="null3"/>
            </w:pPr>
            <w:r>
              <w:rPr>
                <w:rFonts w:ascii="仿宋_GB2312" w:hAnsi="仿宋_GB2312" w:cs="仿宋_GB2312" w:eastAsia="仿宋_GB2312"/>
              </w:rPr>
              <w:t>设施综合管理：支持环卫设施（中转站、公厕等）的信息维护；</w:t>
            </w:r>
          </w:p>
          <w:p>
            <w:pPr>
              <w:pStyle w:val="null3"/>
            </w:pPr>
            <w:r>
              <w:rPr>
                <w:rFonts w:ascii="仿宋_GB2312" w:hAnsi="仿宋_GB2312" w:cs="仿宋_GB2312" w:eastAsia="仿宋_GB2312"/>
              </w:rPr>
              <w:t>设备综合管理：支持车载设备、监控设备等硬件设备的基础信息管理；</w:t>
            </w:r>
          </w:p>
          <w:p>
            <w:pPr>
              <w:pStyle w:val="null3"/>
            </w:pPr>
            <w:r>
              <w:rPr>
                <w:rFonts w:ascii="仿宋_GB2312" w:hAnsi="仿宋_GB2312" w:cs="仿宋_GB2312" w:eastAsia="仿宋_GB2312"/>
              </w:rPr>
              <w:t>资产管理：支持对上述人员、车辆、设施、设备的资产台账管理。</w:t>
            </w:r>
          </w:p>
          <w:p>
            <w:pPr>
              <w:pStyle w:val="null3"/>
            </w:pPr>
            <w:r>
              <w:rPr>
                <w:rFonts w:ascii="仿宋_GB2312" w:hAnsi="仿宋_GB2312" w:cs="仿宋_GB2312" w:eastAsia="仿宋_GB2312"/>
              </w:rPr>
              <w:t>2.机械保洁管理系统：</w:t>
            </w:r>
          </w:p>
          <w:p>
            <w:pPr>
              <w:pStyle w:val="null3"/>
            </w:pPr>
            <w:r>
              <w:rPr>
                <w:rFonts w:ascii="仿宋_GB2312" w:hAnsi="仿宋_GB2312" w:cs="仿宋_GB2312" w:eastAsia="仿宋_GB2312"/>
              </w:rPr>
              <w:t>机械作业仪表盘：支持机械保洁作业实时状态的可视化展示；支持按项目、按车辆、按日期切换视图，集成作业车辆数、在线率、作业时长、里程总计等核心数据；</w:t>
            </w:r>
          </w:p>
          <w:p>
            <w:pPr>
              <w:pStyle w:val="null3"/>
            </w:pPr>
            <w:r>
              <w:rPr>
                <w:rFonts w:ascii="仿宋_GB2312" w:hAnsi="仿宋_GB2312" w:cs="仿宋_GB2312" w:eastAsia="仿宋_GB2312"/>
              </w:rPr>
              <w:t>机械作业配置管理：支持使用单位、作业里程配置、作业路段统计配置等基础配置；支持关联设备号、责任部门、设备类型、作业速度等表达式配置；</w:t>
            </w:r>
          </w:p>
          <w:p>
            <w:pPr>
              <w:pStyle w:val="null3"/>
            </w:pPr>
            <w:r>
              <w:rPr>
                <w:rFonts w:ascii="仿宋_GB2312" w:hAnsi="仿宋_GB2312" w:cs="仿宋_GB2312" w:eastAsia="仿宋_GB2312"/>
              </w:rPr>
              <w:t>机械作业要求管理：支持作业要求、作业及排班方案、作业路线等机械保洁作业标准的配置管理与下发；</w:t>
            </w:r>
          </w:p>
          <w:p>
            <w:pPr>
              <w:pStyle w:val="null3"/>
            </w:pPr>
            <w:r>
              <w:rPr>
                <w:rFonts w:ascii="仿宋_GB2312" w:hAnsi="仿宋_GB2312" w:cs="仿宋_GB2312" w:eastAsia="仿宋_GB2312"/>
              </w:rPr>
              <w:t>作业违规管理：支持车辆停车记录、车辆违规记录、车辆作业违规记录、路段作业违规记录、车辆作业实况记录、驾驶行为违规记录等管理；</w:t>
            </w:r>
          </w:p>
          <w:p>
            <w:pPr>
              <w:pStyle w:val="null3"/>
            </w:pPr>
            <w:r>
              <w:rPr>
                <w:rFonts w:ascii="仿宋_GB2312" w:hAnsi="仿宋_GB2312" w:cs="仿宋_GB2312" w:eastAsia="仿宋_GB2312"/>
              </w:rPr>
              <w:t>作业考核管理：支持车辆作业日报、路段作业日报管理，支持自动生成考核结果。</w:t>
            </w:r>
          </w:p>
          <w:p>
            <w:pPr>
              <w:pStyle w:val="null3"/>
            </w:pPr>
            <w:r>
              <w:rPr>
                <w:rFonts w:ascii="仿宋_GB2312" w:hAnsi="仿宋_GB2312" w:cs="仿宋_GB2312" w:eastAsia="仿宋_GB2312"/>
              </w:rPr>
              <w:t>3.车辆运行管理系统：</w:t>
            </w:r>
          </w:p>
          <w:p>
            <w:pPr>
              <w:pStyle w:val="null3"/>
            </w:pPr>
            <w:r>
              <w:rPr>
                <w:rFonts w:ascii="仿宋_GB2312" w:hAnsi="仿宋_GB2312" w:cs="仿宋_GB2312" w:eastAsia="仿宋_GB2312"/>
              </w:rPr>
              <w:t>车辆在线监控：实时展示纳入平台管理的车辆在线状态及位置信息；</w:t>
            </w:r>
          </w:p>
          <w:p>
            <w:pPr>
              <w:pStyle w:val="null3"/>
            </w:pPr>
            <w:r>
              <w:rPr>
                <w:rFonts w:ascii="仿宋_GB2312" w:hAnsi="仿宋_GB2312" w:cs="仿宋_GB2312" w:eastAsia="仿宋_GB2312"/>
              </w:rPr>
              <w:t>车辆轨迹管理：支持车辆历史轨迹的查询及回放；</w:t>
            </w:r>
          </w:p>
          <w:p>
            <w:pPr>
              <w:pStyle w:val="null3"/>
            </w:pPr>
            <w:r>
              <w:rPr>
                <w:rFonts w:ascii="仿宋_GB2312" w:hAnsi="仿宋_GB2312" w:cs="仿宋_GB2312" w:eastAsia="仿宋_GB2312"/>
              </w:rPr>
              <w:t>车辆运行报表：支持按车辆、时间段等维度统计车辆运行数据；</w:t>
            </w:r>
          </w:p>
          <w:p>
            <w:pPr>
              <w:pStyle w:val="null3"/>
            </w:pPr>
            <w:r>
              <w:rPr>
                <w:rFonts w:ascii="仿宋_GB2312" w:hAnsi="仿宋_GB2312" w:cs="仿宋_GB2312" w:eastAsia="仿宋_GB2312"/>
              </w:rPr>
              <w:t>车辆设备管理：支持对车辆关联的车载终端设备的配置及状态管理。</w:t>
            </w:r>
          </w:p>
          <w:p>
            <w:pPr>
              <w:pStyle w:val="null3"/>
            </w:pPr>
            <w:r>
              <w:rPr>
                <w:rFonts w:ascii="仿宋_GB2312" w:hAnsi="仿宋_GB2312" w:cs="仿宋_GB2312" w:eastAsia="仿宋_GB2312"/>
              </w:rPr>
              <w:t>4.现场视频监管系统：</w:t>
            </w:r>
          </w:p>
          <w:p>
            <w:pPr>
              <w:pStyle w:val="null3"/>
            </w:pPr>
            <w:r>
              <w:rPr>
                <w:rFonts w:ascii="仿宋_GB2312" w:hAnsi="仿宋_GB2312" w:cs="仿宋_GB2312" w:eastAsia="仿宋_GB2312"/>
              </w:rPr>
              <w:t>实时视频监控：支持接入车载摄像头及固定监控设备，实现环卫作业现场的实时视频监控；</w:t>
            </w:r>
          </w:p>
          <w:p>
            <w:pPr>
              <w:pStyle w:val="null3"/>
            </w:pPr>
            <w:r>
              <w:rPr>
                <w:rFonts w:ascii="仿宋_GB2312" w:hAnsi="仿宋_GB2312" w:cs="仿宋_GB2312" w:eastAsia="仿宋_GB2312"/>
              </w:rPr>
              <w:t>历史视频调阅：支持按项目、时间、车辆等条件查询及回放历史视频；</w:t>
            </w:r>
          </w:p>
          <w:p>
            <w:pPr>
              <w:pStyle w:val="null3"/>
            </w:pPr>
            <w:r>
              <w:rPr>
                <w:rFonts w:ascii="仿宋_GB2312" w:hAnsi="仿宋_GB2312" w:cs="仿宋_GB2312" w:eastAsia="仿宋_GB2312"/>
              </w:rPr>
              <w:t>视频设备管理：支持视频监控设备的视频源管理、配置及在线状态管理。</w:t>
            </w:r>
          </w:p>
          <w:p>
            <w:pPr>
              <w:pStyle w:val="null3"/>
            </w:pPr>
            <w:r>
              <w:rPr>
                <w:rFonts w:ascii="仿宋_GB2312" w:hAnsi="仿宋_GB2312" w:cs="仿宋_GB2312" w:eastAsia="仿宋_GB2312"/>
              </w:rPr>
              <w:t>5.作业违规分析系统：</w:t>
            </w:r>
          </w:p>
          <w:p>
            <w:pPr>
              <w:pStyle w:val="null3"/>
            </w:pPr>
            <w:r>
              <w:rPr>
                <w:rFonts w:ascii="仿宋_GB2312" w:hAnsi="仿宋_GB2312" w:cs="仿宋_GB2312" w:eastAsia="仿宋_GB2312"/>
              </w:rPr>
              <w:t>车辆违规设置：支持对车辆超速、偏离作业路线、非作业时段运行等违规行为规则的配置；</w:t>
            </w:r>
          </w:p>
          <w:p>
            <w:pPr>
              <w:pStyle w:val="null3"/>
            </w:pPr>
            <w:r>
              <w:rPr>
                <w:rFonts w:ascii="仿宋_GB2312" w:hAnsi="仿宋_GB2312" w:cs="仿宋_GB2312" w:eastAsia="仿宋_GB2312"/>
              </w:rPr>
              <w:t>违规预警记录：系统自动记录并留存违规事件，支持按车辆、时间等条件查询，生成违规统计报表。</w:t>
            </w:r>
          </w:p>
          <w:p>
            <w:pPr>
              <w:pStyle w:val="null3"/>
            </w:pPr>
            <w:r>
              <w:rPr>
                <w:rFonts w:ascii="仿宋_GB2312" w:hAnsi="仿宋_GB2312" w:cs="仿宋_GB2312" w:eastAsia="仿宋_GB2312"/>
              </w:rPr>
              <w:t>6.巡检监管系统：</w:t>
            </w:r>
          </w:p>
          <w:p>
            <w:pPr>
              <w:pStyle w:val="null3"/>
            </w:pPr>
            <w:r>
              <w:rPr>
                <w:rFonts w:ascii="仿宋_GB2312" w:hAnsi="仿宋_GB2312" w:cs="仿宋_GB2312" w:eastAsia="仿宋_GB2312"/>
              </w:rPr>
              <w:t>巡检岗位管理：支持对巡检岗位的设置及巡检人员排班管理；</w:t>
            </w:r>
          </w:p>
          <w:p>
            <w:pPr>
              <w:pStyle w:val="null3"/>
            </w:pPr>
            <w:r>
              <w:rPr>
                <w:rFonts w:ascii="仿宋_GB2312" w:hAnsi="仿宋_GB2312" w:cs="仿宋_GB2312" w:eastAsia="仿宋_GB2312"/>
              </w:rPr>
              <w:t>巡检计划管理：支持按区域、周期制定巡检计划，并下发至移动端；</w:t>
            </w:r>
          </w:p>
          <w:p>
            <w:pPr>
              <w:pStyle w:val="null3"/>
            </w:pPr>
            <w:r>
              <w:rPr>
                <w:rFonts w:ascii="仿宋_GB2312" w:hAnsi="仿宋_GB2312" w:cs="仿宋_GB2312" w:eastAsia="仿宋_GB2312"/>
              </w:rPr>
              <w:t>巡检日报：自动生成巡检工作日报，统计问题发现数量、整改情况等；</w:t>
            </w:r>
          </w:p>
          <w:p>
            <w:pPr>
              <w:pStyle w:val="null3"/>
            </w:pPr>
            <w:r>
              <w:rPr>
                <w:rFonts w:ascii="仿宋_GB2312" w:hAnsi="仿宋_GB2312" w:cs="仿宋_GB2312" w:eastAsia="仿宋_GB2312"/>
              </w:rPr>
              <w:t>巡检监管看板：支持对巡检执行情况的可视化监管，包含任务完成率、问题分布等。</w:t>
            </w:r>
          </w:p>
          <w:p>
            <w:pPr>
              <w:pStyle w:val="null3"/>
            </w:pPr>
            <w:r>
              <w:rPr>
                <w:rFonts w:ascii="仿宋_GB2312" w:hAnsi="仿宋_GB2312" w:cs="仿宋_GB2312" w:eastAsia="仿宋_GB2312"/>
              </w:rPr>
              <w:t>7.质量考核系统：</w:t>
            </w:r>
          </w:p>
          <w:p>
            <w:pPr>
              <w:pStyle w:val="null3"/>
            </w:pPr>
            <w:r>
              <w:rPr>
                <w:rFonts w:ascii="仿宋_GB2312" w:hAnsi="仿宋_GB2312" w:cs="仿宋_GB2312" w:eastAsia="仿宋_GB2312"/>
              </w:rPr>
              <w:t>系统办件管理：支持督查问题的在线登记、派发、整改及核查闭环管理；</w:t>
            </w:r>
          </w:p>
          <w:p>
            <w:pPr>
              <w:pStyle w:val="null3"/>
            </w:pPr>
            <w:r>
              <w:rPr>
                <w:rFonts w:ascii="仿宋_GB2312" w:hAnsi="仿宋_GB2312" w:cs="仿宋_GB2312" w:eastAsia="仿宋_GB2312"/>
              </w:rPr>
              <w:t>问题上报配置：支持对责任区域设定、责任人员设置等规则的配置；</w:t>
            </w:r>
          </w:p>
          <w:p>
            <w:pPr>
              <w:pStyle w:val="null3"/>
            </w:pPr>
            <w:r>
              <w:rPr>
                <w:rFonts w:ascii="仿宋_GB2312" w:hAnsi="仿宋_GB2312" w:cs="仿宋_GB2312" w:eastAsia="仿宋_GB2312"/>
              </w:rPr>
              <w:t>考核统计分析：支持对考核基本信息、扣分扣款台账、扣分扣款统计表等进行管理。</w:t>
            </w:r>
          </w:p>
          <w:p>
            <w:pPr>
              <w:pStyle w:val="null3"/>
            </w:pPr>
            <w:r>
              <w:rPr>
                <w:rFonts w:ascii="仿宋_GB2312" w:hAnsi="仿宋_GB2312" w:cs="仿宋_GB2312" w:eastAsia="仿宋_GB2312"/>
              </w:rPr>
              <w:t>8.公告管理系统：</w:t>
            </w:r>
          </w:p>
          <w:p>
            <w:pPr>
              <w:pStyle w:val="null3"/>
            </w:pPr>
            <w:r>
              <w:rPr>
                <w:rFonts w:ascii="仿宋_GB2312" w:hAnsi="仿宋_GB2312" w:cs="仿宋_GB2312" w:eastAsia="仿宋_GB2312"/>
              </w:rPr>
              <w:t>支持发布内部公告及重要事项通知；支持在网页端查看公告列表及详情。</w:t>
            </w:r>
          </w:p>
          <w:p>
            <w:pPr>
              <w:pStyle w:val="null3"/>
            </w:pPr>
            <w:r>
              <w:rPr>
                <w:rFonts w:ascii="仿宋_GB2312" w:hAnsi="仿宋_GB2312" w:cs="仿宋_GB2312" w:eastAsia="仿宋_GB2312"/>
              </w:rPr>
              <w:t>9.移动端：</w:t>
            </w:r>
          </w:p>
          <w:p>
            <w:pPr>
              <w:pStyle w:val="null3"/>
            </w:pPr>
            <w:r>
              <w:rPr>
                <w:rFonts w:ascii="仿宋_GB2312" w:hAnsi="仿宋_GB2312" w:cs="仿宋_GB2312" w:eastAsia="仿宋_GB2312"/>
              </w:rPr>
              <w:t>支持移动端系统办件及问题上报；支持移动端巡检任务接收、执行及结果反馈；界面简洁，操作便捷，支持移动端设备。</w:t>
            </w:r>
          </w:p>
          <w:p>
            <w:pPr>
              <w:pStyle w:val="null3"/>
            </w:pPr>
            <w:r>
              <w:rPr>
                <w:rFonts w:ascii="仿宋_GB2312" w:hAnsi="仿宋_GB2312" w:cs="仿宋_GB2312" w:eastAsia="仿宋_GB2312"/>
              </w:rPr>
              <w:t>10.技术要求：</w:t>
            </w:r>
          </w:p>
          <w:p>
            <w:pPr>
              <w:pStyle w:val="null3"/>
            </w:pPr>
            <w:r>
              <w:rPr>
                <w:rFonts w:ascii="仿宋_GB2312" w:hAnsi="仿宋_GB2312" w:cs="仿宋_GB2312" w:eastAsia="仿宋_GB2312"/>
              </w:rPr>
              <w:t>(1)提供系统软件整合、安装调试、启动运行及检测等服务。</w:t>
            </w:r>
          </w:p>
          <w:p>
            <w:pPr>
              <w:pStyle w:val="null3"/>
            </w:pPr>
            <w:r>
              <w:rPr>
                <w:rFonts w:ascii="仿宋_GB2312" w:hAnsi="仿宋_GB2312" w:cs="仿宋_GB2312" w:eastAsia="仿宋_GB2312"/>
              </w:rPr>
              <w:t>(2)提供专业技术团队及专业化技术指导。</w:t>
            </w:r>
          </w:p>
          <w:p>
            <w:pPr>
              <w:pStyle w:val="null3"/>
            </w:pPr>
            <w:r>
              <w:rPr>
                <w:rFonts w:ascii="仿宋_GB2312" w:hAnsi="仿宋_GB2312" w:cs="仿宋_GB2312" w:eastAsia="仿宋_GB2312"/>
              </w:rPr>
              <w:t>(3)具备紧急情况的处理能力。</w:t>
            </w:r>
          </w:p>
          <w:p>
            <w:pPr>
              <w:pStyle w:val="null3"/>
            </w:pPr>
            <w:r>
              <w:rPr>
                <w:rFonts w:ascii="仿宋_GB2312" w:hAnsi="仿宋_GB2312" w:cs="仿宋_GB2312" w:eastAsia="仿宋_GB2312"/>
              </w:rPr>
              <w:t>(4)具备接入采购人提供的办公平台的技术能力。</w:t>
            </w:r>
          </w:p>
          <w:p>
            <w:pPr>
              <w:pStyle w:val="null3"/>
            </w:pPr>
            <w:r>
              <w:rPr>
                <w:rFonts w:ascii="仿宋_GB2312" w:hAnsi="仿宋_GB2312" w:cs="仿宋_GB2312" w:eastAsia="仿宋_GB2312"/>
              </w:rPr>
              <w:t>(5)提供智慧平台的培训服务。</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（一）人员配置：提供至少</w:t>
            </w:r>
            <w:r>
              <w:rPr>
                <w:rFonts w:ascii="仿宋_GB2312" w:hAnsi="仿宋_GB2312" w:cs="仿宋_GB2312" w:eastAsia="仿宋_GB2312"/>
              </w:rPr>
              <w:t>2人技术服务。</w:t>
            </w:r>
          </w:p>
          <w:p>
            <w:pPr>
              <w:pStyle w:val="null3"/>
            </w:pPr>
            <w:r>
              <w:rPr>
                <w:rFonts w:ascii="仿宋_GB2312" w:hAnsi="仿宋_GB2312" w:cs="仿宋_GB2312" w:eastAsia="仿宋_GB2312"/>
              </w:rPr>
              <w:t>（二）服务标准：系统须基于</w:t>
            </w:r>
            <w:r>
              <w:rPr>
                <w:rFonts w:ascii="仿宋_GB2312" w:hAnsi="仿宋_GB2312" w:cs="仿宋_GB2312" w:eastAsia="仿宋_GB2312"/>
              </w:rPr>
              <w:t>B/S架构，支持在主流浏览器（Chrome、Edge等）正常运行，无需安装客户端。</w:t>
            </w:r>
          </w:p>
          <w:p>
            <w:pPr>
              <w:pStyle w:val="null3"/>
            </w:pPr>
            <w:r>
              <w:rPr>
                <w:rFonts w:ascii="仿宋_GB2312" w:hAnsi="仿宋_GB2312" w:cs="仿宋_GB2312" w:eastAsia="仿宋_GB2312"/>
              </w:rPr>
              <w:t>（三）运维服务：提供</w:t>
            </w:r>
            <w:r>
              <w:rPr>
                <w:rFonts w:ascii="仿宋_GB2312" w:hAnsi="仿宋_GB2312" w:cs="仿宋_GB2312" w:eastAsia="仿宋_GB2312"/>
              </w:rPr>
              <w:t>7×24小时的技术支持服务，响应时间不超过2小时；紧急故障应在8小时内解决，如无法按时解决，须及时向采购人说明原因并提供临时解决方案。</w:t>
            </w:r>
          </w:p>
          <w:p>
            <w:pPr>
              <w:pStyle w:val="null3"/>
            </w:pPr>
            <w:r>
              <w:rPr>
                <w:rFonts w:ascii="仿宋_GB2312" w:hAnsi="仿宋_GB2312" w:cs="仿宋_GB2312" w:eastAsia="仿宋_GB2312"/>
              </w:rPr>
              <w:t>三、服务期限</w:t>
            </w:r>
            <w:r>
              <w:rPr>
                <w:rFonts w:ascii="仿宋_GB2312" w:hAnsi="仿宋_GB2312" w:cs="仿宋_GB2312" w:eastAsia="仿宋_GB2312"/>
              </w:rPr>
              <w:t>：一年</w:t>
            </w:r>
          </w:p>
          <w:p>
            <w:pPr>
              <w:pStyle w:val="null3"/>
            </w:pPr>
            <w:r>
              <w:rPr>
                <w:rFonts w:ascii="仿宋_GB2312" w:hAnsi="仿宋_GB2312" w:cs="仿宋_GB2312" w:eastAsia="仿宋_GB2312"/>
              </w:rPr>
              <w:t>四、服务地点：采购人指定地点</w:t>
            </w:r>
          </w:p>
          <w:p>
            <w:pPr>
              <w:pStyle w:val="null3"/>
            </w:pPr>
            <w:r>
              <w:rPr>
                <w:rFonts w:ascii="仿宋_GB2312" w:hAnsi="仿宋_GB2312" w:cs="仿宋_GB2312" w:eastAsia="仿宋_GB2312"/>
              </w:rPr>
              <w:t>五、</w:t>
            </w:r>
            <w:r>
              <w:rPr>
                <w:rFonts w:ascii="仿宋_GB2312" w:hAnsi="仿宋_GB2312" w:cs="仿宋_GB2312" w:eastAsia="仿宋_GB2312"/>
              </w:rPr>
              <w:t>其他</w:t>
            </w:r>
          </w:p>
          <w:p>
            <w:pPr>
              <w:pStyle w:val="null3"/>
            </w:pPr>
            <w:r>
              <w:rPr>
                <w:rFonts w:ascii="仿宋_GB2312" w:hAnsi="仿宋_GB2312" w:cs="仿宋_GB2312" w:eastAsia="仿宋_GB2312"/>
              </w:rPr>
              <w:t>（一）进度要求</w:t>
            </w:r>
          </w:p>
          <w:p>
            <w:pPr>
              <w:pStyle w:val="null3"/>
            </w:pPr>
            <w:r>
              <w:rPr>
                <w:rFonts w:ascii="仿宋_GB2312" w:hAnsi="仿宋_GB2312" w:cs="仿宋_GB2312" w:eastAsia="仿宋_GB2312"/>
              </w:rPr>
              <w:t>合同签订后的</w:t>
            </w:r>
            <w:r>
              <w:rPr>
                <w:rFonts w:ascii="仿宋_GB2312" w:hAnsi="仿宋_GB2312" w:cs="仿宋_GB2312" w:eastAsia="仿宋_GB2312"/>
              </w:rPr>
              <w:t>15个工作日内完成所有系统安装、调试及验收。</w:t>
            </w:r>
          </w:p>
          <w:p>
            <w:pPr>
              <w:pStyle w:val="null3"/>
            </w:pPr>
            <w:r>
              <w:rPr>
                <w:rFonts w:ascii="仿宋_GB2312" w:hAnsi="仿宋_GB2312" w:cs="仿宋_GB2312" w:eastAsia="仿宋_GB2312"/>
              </w:rPr>
              <w:t>（二）成果交付要求</w:t>
            </w:r>
          </w:p>
          <w:p>
            <w:pPr>
              <w:pStyle w:val="null3"/>
            </w:pPr>
            <w:r>
              <w:rPr>
                <w:rFonts w:ascii="仿宋_GB2312" w:hAnsi="仿宋_GB2312" w:cs="仿宋_GB2312" w:eastAsia="仿宋_GB2312"/>
              </w:rPr>
              <w:t>合同签订之日起15个工作日内完成全部服务交付，并在服务期内提供运维和技术支持。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进度款，合同签订后乙方完成系统安装调试、上线运行并经甲方验收合格后，达到付款条件起30个工作日内，支付合同总金额的70.0%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进度款，服务期满后，经甲方确认无质量问题后，达到付款条件起30个工作日内，支付合同总金额的30.0%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 3.本项目成交供应商须在领取成交通知书时，提供纸质版响应文件壹份，纸质版响应文件需与系统签章版响应文件保持一致。具体要求详见磋商公告。 4.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5.本项目专门面向中小企业采购（残疾人福利性单位、监狱企业视同小型、微型企业）。 6.由于系统原因，本项目付款方式、确定供应商及签订合同分别按以下执行：（1）合同签订后乙方完成系统安装调试、上线运行并经甲方验收合格后的30日内，甲方向乙方支付合同款的70%。服务期满后，经甲方确认无质量问题后的30日内，甲方向乙方支付合同款的30%。（2）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相关资格证明资料.docx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身份证明文件.docx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相关资格证明资料.docx 方案响应部分.docx 磋商第一次报价表及报价明细表.docx 标的清单 承诺书.docx 报价表 响应函 身份证明文件.docx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报价唯一，且没有高于本项目采购预算</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磋商第一次报价表及报价明细表.docx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进度要求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磋商第一次报价表及报价明细表.docx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成果交付要求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磋商第一次报价表及报价明细表.docx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相关资格证明资料.docx 方案响应部分.docx 磋商第一次报价表及报价明细表.docx 标的清单 承诺书.docx 报价表 响应函 身份证明文件.docx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一、评审内容针对本项目提出适用于本项目的项目需求分析，内容包括：①对项目背景分析②服务目标。 二、评审标准 1、完整性：内容必须全面，对评审内容中的各项要求有详细描述；2、可实施性：切合本项目实际情况，提出清晰、合理的内容；3、针对性：内容能够紧扣项目实际情况，内容科学合理。 三、赋分标准（满分6分）①对项目背景分析：每完全满足一个评审标准得1分，满分3分； ②服务目标: 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一、评审内容供应商提出针对本项目的实施方案，内容包括：基础数据管理系统实施方案。 二、评审标准 1、完整性：方案必须全面，对评审内容中的各项要求有详细描述； 2、可实施性：切合本项目实际情况，提出步骤清晰、合理的方案；3、针对性：方案能够紧扣项目实际情况，内容科学合理。 三、赋分标准（满分6分）基础数据管理系统实施方案：每完全满足一个评审标准得2分，满分6分。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一、评审内容供应商提出针对本项目的实施方案，内容包括：①机械保洁管理系统实施方案②车辆运行管理系统实施方案。 二、评审标准 1、完整性：方案必须全面，对评审内容中的各项要求有详细描述； 2、可实施性：切合本项目实际情况，提出步骤清晰、合理的方案；3、针对性：方案能够紧扣项目实际情况，内容科学合理。 三、赋分标准（满分12分） ① 机械保洁管理系统服务方案：每完全满足一个评审标准得2分，满分6分；②车辆运行管理系统服务方案：每完全满足一个评审标准得2分，满分6分。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一、评审内容供应商提出针对本项目的实施方案，内容包括：①现场视频监管系统实施方案②作业违规分析系统实施方案③巡检监管系统实施方案④质量考核系统实施方案。 二、评审标准 1、完整性：方案必须全面，对评审内容中的各项要求有详细描述； 2、可实施性：切合本项目实际情况，提出步骤清晰、合理的方案；3、针对性：方案能够紧扣项目实际情况，内容科学合理。 三、赋分标准（满分24分） ① 现场视频监管系统实施方案：每完全满足一个评审标准得2分，满分6分；②作业违规分析系统实施方案：每完全满足一个评审标准得2分，满分6分。③巡检监管系统实施方案：每完全满足一个评审标准得2分，满分6分。④质量考核系统实施方案：每完全满足一个评审标准得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一、评审内容供应商提出针对本项目的实施方案，内容包括：①公告管理系统实施方案②移动端实施方案。 二、评审标准 1、完整性：方案必须全面，对评审内容中的各项要求有详细描述； 2、可实施性：切合本项目实际情况，提出步骤清晰、合理的方案；3、针对性：方案能够紧扣项目实际情况，内容科学合理。 三、赋分标准（满分12分） ①公告管理系统实施方案：每完全满足一个评审标准得2分，满分6分；②移动端实施方案：每完全满足一个评审标准得2分，满分6分。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项目服务、运维服务质量保障</w:t>
            </w:r>
          </w:p>
        </w:tc>
        <w:tc>
          <w:tcPr>
            <w:tcW w:type="dxa" w:w="2492"/>
          </w:tcPr>
          <w:p>
            <w:pPr>
              <w:pStyle w:val="null3"/>
            </w:pPr>
            <w:r>
              <w:rPr>
                <w:rFonts w:ascii="仿宋_GB2312" w:hAnsi="仿宋_GB2312" w:cs="仿宋_GB2312" w:eastAsia="仿宋_GB2312"/>
              </w:rPr>
              <w:t>一、评审内容供应商提出针对本项目服务、运维服务质量保障，内容包括：①服务保障体系②服务质量保障措施③运维服务保障方案。 二、评审标准 1、完整性：方案必须全面，对评审内容中的各项要求有详细描述； 2、可实施性：切合本项目实际情况，提出步骤清晰、合理的方案；3、针对性：方案能够紧扣项目实际情况，内容科学合理。 三、赋分标准（满分9分） ① 服务保障体系：每完全满足一个评审标准得1分，满分3分； ②服务质量保障措施：每完全满足一个评审标准得1分，满分3分；③运维服务保障方案：每完全满足一个评审标准得1分，满分3分。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拟投入本项目服务人员</w:t>
            </w:r>
          </w:p>
        </w:tc>
        <w:tc>
          <w:tcPr>
            <w:tcW w:type="dxa" w:w="2492"/>
          </w:tcPr>
          <w:p>
            <w:pPr>
              <w:pStyle w:val="null3"/>
            </w:pPr>
            <w:r>
              <w:rPr>
                <w:rFonts w:ascii="仿宋_GB2312" w:hAnsi="仿宋_GB2312" w:cs="仿宋_GB2312" w:eastAsia="仿宋_GB2312"/>
              </w:rPr>
              <w:t>一、评审内容 根据供应商拟投入本项目服务人员进行评审，内容包括①人员数量及岗位分工②人员管理制度。 二、评审标准 1、完整性：方案须全面，对评审内容中的各项要求有详细描述及说明 2、可实施性：切合本项目实际情况，实施步骤清晰、合理 3、针对性：方案能够紧扣项目实际情况，内容科学合理。 三、赋分标准（满分6分） ①人员数量及岗位分工：每完全满足一项评审标准得1分，满分3分； ②人员管理制度：每完全满足一项评审标准得1分，满分3分。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进度及成果交付计划、保障措施</w:t>
            </w:r>
          </w:p>
        </w:tc>
        <w:tc>
          <w:tcPr>
            <w:tcW w:type="dxa" w:w="2492"/>
          </w:tcPr>
          <w:p>
            <w:pPr>
              <w:pStyle w:val="null3"/>
            </w:pPr>
            <w:r>
              <w:rPr>
                <w:rFonts w:ascii="仿宋_GB2312" w:hAnsi="仿宋_GB2312" w:cs="仿宋_GB2312" w:eastAsia="仿宋_GB2312"/>
              </w:rPr>
              <w:t>一、评审内容 根据供应商工作进度及成果交付方案进行评审，内容包括①工作进度、成果交付计划安排②工作时效、成果交付时效保证措施。 二、评审标准 1、完整性：方案须全面，对评审内容中的各项要求有详细描述及说明 2、可实施性：切合本项目实际情况，实施步骤清晰、合理 3、针对性：方案能够紧扣项目实际情况，内容科学合理。 三、赋分标准（满分6分）①工作进度、成果交付计划安排：每完全满足一项评审标准得1分，满分3分；②工作时效、成果交付时效保证措施：每完全满足一项评审标准得1分，满分3分。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应急预案及培训方案</w:t>
            </w:r>
          </w:p>
        </w:tc>
        <w:tc>
          <w:tcPr>
            <w:tcW w:type="dxa" w:w="2492"/>
          </w:tcPr>
          <w:p>
            <w:pPr>
              <w:pStyle w:val="null3"/>
            </w:pPr>
            <w:r>
              <w:rPr>
                <w:rFonts w:ascii="仿宋_GB2312" w:hAnsi="仿宋_GB2312" w:cs="仿宋_GB2312" w:eastAsia="仿宋_GB2312"/>
              </w:rPr>
              <w:t>一、评审内容 供应商针对本项目提供应急预案及培训方案，内容包含①应急响应方案②培训方案 二、评审标准 1、完整性：方案须全面，对评审内容中的各项要求有详细描述及说明 2、可实施性：切合本项目实际情况，实施步骤清晰、合理 3、针对性：方案能够紧扣项目实际情况，内容科学合理。 三、赋分标准（满分6分） ①应急响应方案：每完全满足一项评审标准得1分，满分3分。 ②培训方案：每完全满足一项评审标准得1分，满分3分。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供应商提供具备接入采购人提供的办公平台的技术能力的承诺书，满分3分。未提供或提供的承诺书不符合上述要求不得分。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5）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磋商第一次报价表及报价明细表.docx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磋商第一次报价表及报价明细表.docx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详见附件：磋商第一次报价表及报价明细表.docx</w:t>
      </w:r>
    </w:p>
    <w:p>
      <w:pPr>
        <w:pStyle w:val="null3"/>
        <w:ind w:firstLine="960"/>
      </w:pPr>
      <w:r>
        <w:rPr>
          <w:rFonts w:ascii="仿宋_GB2312" w:hAnsi="仿宋_GB2312" w:cs="仿宋_GB2312" w:eastAsia="仿宋_GB2312"/>
        </w:rPr>
        <w:t>详见附件：相关资格证明资料.docx</w:t>
      </w:r>
    </w:p>
    <w:p>
      <w:pPr>
        <w:pStyle w:val="null3"/>
        <w:ind w:firstLine="960"/>
      </w:pPr>
      <w:r>
        <w:rPr>
          <w:rFonts w:ascii="仿宋_GB2312" w:hAnsi="仿宋_GB2312" w:cs="仿宋_GB2312" w:eastAsia="仿宋_GB2312"/>
        </w:rPr>
        <w:t>详见附件：身份证明文件.docx</w:t>
      </w:r>
    </w:p>
    <w:p>
      <w:pPr>
        <w:pStyle w:val="null3"/>
        <w:ind w:firstLine="960"/>
      </w:pPr>
      <w:r>
        <w:rPr>
          <w:rFonts w:ascii="仿宋_GB2312" w:hAnsi="仿宋_GB2312" w:cs="仿宋_GB2312" w:eastAsia="仿宋_GB2312"/>
        </w:rPr>
        <w:t>详见附件：方案响应部分.docx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