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版本号：ZYTT2026-HZ02420260602002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略阳县特困供养人员服务机构管理服务采购项目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ZYTT2026-HZ024</w:t>
      </w:r>
      <w:r>
        <w:br/>
      </w:r>
      <w:r>
        <w:br/>
      </w:r>
      <w:r>
        <w:br/>
      </w:r>
    </w:p>
    <w:p>
      <w:pPr>
        <w:pStyle w:val="null3"/>
        <w:jc w:val="center"/>
        <w:outlineLvl w:val="2"/>
      </w:pPr>
      <w:r>
        <w:rPr>
          <w:rFonts w:ascii="仿宋_GB2312" w:hAnsi="仿宋_GB2312" w:cs="仿宋_GB2312" w:eastAsia="仿宋_GB2312"/>
          <w:sz w:val="28"/>
          <w:b/>
        </w:rPr>
        <w:t>略阳县民政局</w:t>
      </w:r>
    </w:p>
    <w:p>
      <w:pPr>
        <w:pStyle w:val="null3"/>
        <w:jc w:val="center"/>
        <w:outlineLvl w:val="2"/>
      </w:pPr>
      <w:r>
        <w:rPr>
          <w:rFonts w:ascii="仿宋_GB2312" w:hAnsi="仿宋_GB2312" w:cs="仿宋_GB2312" w:eastAsia="仿宋_GB2312"/>
          <w:sz w:val="28"/>
          <w:b/>
        </w:rPr>
        <w:t>陕西正圆通泰项目管理有限公司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陕西正圆通泰项目管理有限公司</w:t>
      </w:r>
      <w:r>
        <w:rPr>
          <w:rFonts w:ascii="仿宋_GB2312" w:hAnsi="仿宋_GB2312" w:cs="仿宋_GB2312" w:eastAsia="仿宋_GB2312"/>
        </w:rPr>
        <w:t>（以下简称“代理机构”）受</w:t>
      </w:r>
      <w:r>
        <w:rPr>
          <w:rFonts w:ascii="仿宋_GB2312" w:hAnsi="仿宋_GB2312" w:cs="仿宋_GB2312" w:eastAsia="仿宋_GB2312"/>
        </w:rPr>
        <w:t>略阳县民政局</w:t>
      </w:r>
      <w:r>
        <w:rPr>
          <w:rFonts w:ascii="仿宋_GB2312" w:hAnsi="仿宋_GB2312" w:cs="仿宋_GB2312" w:eastAsia="仿宋_GB2312"/>
        </w:rPr>
        <w:t>委托，拟对</w:t>
      </w:r>
      <w:r>
        <w:rPr>
          <w:rFonts w:ascii="仿宋_GB2312" w:hAnsi="仿宋_GB2312" w:cs="仿宋_GB2312" w:eastAsia="仿宋_GB2312"/>
        </w:rPr>
        <w:t>略阳县特困供养人员服务机构管理服务采购项目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ZYTT2026-HZ024</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略阳县特困供养人员服务机构管理服务采购项目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略阳县特困供养人员服务机构管理服务采购项目拟为略阳县中心敬老院、养老服务中心、徐家坪敬老院、金家河敬老院、郭镇敬老院、仙台坝敬老院、接官亭敬老院、黑河敬老院、王家庄敬老院、三岔子敬老院10个院采购供养人员的日常护理服务，内容涵盖护理服务、食堂炊事员服务、后勤服务三大服务范围。</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采购包1（略阳县特困供养人员服务机构管理服务采购项目）：属于专门面向中小企业采购。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1、营业执照或相关证明文件：供应商具有独立承担民事责任能力的法人、其他组织或自然人，提供合法有效的统一社会信用代码营业执照或事业单位法人证书（自然人应提供身份证明）</w:t>
      </w:r>
    </w:p>
    <w:p>
      <w:pPr>
        <w:pStyle w:val="null3"/>
      </w:pPr>
      <w:r>
        <w:rPr>
          <w:rFonts w:ascii="仿宋_GB2312" w:hAnsi="仿宋_GB2312" w:cs="仿宋_GB2312" w:eastAsia="仿宋_GB2312"/>
        </w:rPr>
        <w:t>2、法定代表人证明书及授权书：法定代表人直接参加开标的，须出具法定代表人（单位负责人）身份证明。法定代表人授权代表参加开标的，须出具法定代表人（单位负责人）授权委托书及被授权人身份证复印件</w:t>
      </w:r>
    </w:p>
    <w:p>
      <w:pPr>
        <w:pStyle w:val="null3"/>
      </w:pPr>
      <w:r>
        <w:rPr>
          <w:rFonts w:ascii="仿宋_GB2312" w:hAnsi="仿宋_GB2312" w:cs="仿宋_GB2312" w:eastAsia="仿宋_GB2312"/>
        </w:rPr>
        <w:t>3、供应商资格承诺函：供应商须具有健全的财务会计制度、具有履⾏ 合同所必需的设备和专业技术能⼒、具有依法 缴纳税收和社会保障资⾦的良好记录，参加本 项⽬采购活动前三年内在经营活动中⽆重⼤违 法活动记录，未列⼊在信⽤中国⽹站“失信被执 ⾏⼈”、“重⼤税收违法案件当事⼈名单”中（w ww.creditchina.gov.cn)，未列⼊中国政府采 购⽹“政府采购严重违法失信⾏为记录名单”中 （www.ccgp.gov.cn)，供应商需提供加盖公 章的《汉中市政府采购供应商资格承诺函》。</w:t>
      </w:r>
    </w:p>
    <w:p>
      <w:pPr>
        <w:pStyle w:val="null3"/>
      </w:pPr>
      <w:r>
        <w:rPr>
          <w:rFonts w:ascii="仿宋_GB2312" w:hAnsi="仿宋_GB2312" w:cs="仿宋_GB2312" w:eastAsia="仿宋_GB2312"/>
        </w:rPr>
        <w:t>4、资格要求：供应商应具有有效的《劳务派遣经营许可证》</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略阳县民政局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陕西省略阳县狮凤路</w:t>
      </w:r>
    </w:p>
    <w:p>
      <w:pPr>
        <w:pStyle w:val="null3"/>
      </w:pPr>
      <w:r>
        <w:rPr>
          <w:rFonts w:ascii="仿宋_GB2312" w:hAnsi="仿宋_GB2312" w:cs="仿宋_GB2312" w:eastAsia="仿宋_GB2312"/>
        </w:rPr>
        <w:t xml:space="preserve"> 邮编： </w:t>
      </w:r>
      <w:r>
        <w:rPr>
          <w:rFonts w:ascii="仿宋_GB2312" w:hAnsi="仿宋_GB2312" w:cs="仿宋_GB2312" w:eastAsia="仿宋_GB2312"/>
        </w:rPr>
        <w:t>724300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略阳县民政局经办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0916-4822279</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陕西正圆通泰项目管理有限公司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汉中市汉台区滨江东路晨晖帝景府A1号楼2402室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罗恒</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0916-8890636</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略阳县政府采购管理股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杨晶晶</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18109165798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采购包1：4,350,000.00元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印发的《招标代理服务收费管理暂行办法》（计价格[2002]1980号）和国家发改委办公厅印发的《关于招标代理服务收费有关问题的通知》（发改办价格[2003]857号）的有关规定执行。</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略阳县民政局</w:t>
      </w:r>
      <w:r>
        <w:rPr>
          <w:rFonts w:ascii="仿宋_GB2312" w:hAnsi="仿宋_GB2312" w:cs="仿宋_GB2312" w:eastAsia="仿宋_GB2312"/>
        </w:rPr>
        <w:t>和</w:t>
      </w:r>
      <w:r>
        <w:rPr>
          <w:rFonts w:ascii="仿宋_GB2312" w:hAnsi="仿宋_GB2312" w:cs="仿宋_GB2312" w:eastAsia="仿宋_GB2312"/>
        </w:rPr>
        <w:t>陕西正圆通泰项目管理有限公司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略阳县民政局</w:t>
      </w:r>
      <w:r>
        <w:rPr>
          <w:rFonts w:ascii="仿宋_GB2312" w:hAnsi="仿宋_GB2312" w:cs="仿宋_GB2312" w:eastAsia="仿宋_GB2312"/>
        </w:rPr>
        <w:t>负责解释。除上述招标文件内容，其他内容由</w:t>
      </w:r>
      <w:r>
        <w:rPr>
          <w:rFonts w:ascii="仿宋_GB2312" w:hAnsi="仿宋_GB2312" w:cs="仿宋_GB2312" w:eastAsia="仿宋_GB2312"/>
        </w:rPr>
        <w:t>陕西正圆通泰项目管理有限公司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略阳县民政局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陕西正圆通泰项目管理有限公司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符合国家、省、市相关的法规和规章以及采购人的要求。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陕西正圆通泰项目管理有限公司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陕西正圆通泰项目管理有限公司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陕西正圆通泰项目管理有限公司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联系人：罗恒</w:t>
      </w:r>
    </w:p>
    <w:p>
      <w:pPr>
        <w:pStyle w:val="null3"/>
      </w:pPr>
      <w:r>
        <w:rPr>
          <w:rFonts w:ascii="仿宋_GB2312" w:hAnsi="仿宋_GB2312" w:cs="仿宋_GB2312" w:eastAsia="仿宋_GB2312"/>
        </w:rPr>
        <w:t>联系电话：0916-8890636</w:t>
      </w:r>
    </w:p>
    <w:p>
      <w:pPr>
        <w:pStyle w:val="null3"/>
      </w:pPr>
      <w:r>
        <w:rPr>
          <w:rFonts w:ascii="仿宋_GB2312" w:hAnsi="仿宋_GB2312" w:cs="仿宋_GB2312" w:eastAsia="仿宋_GB2312"/>
        </w:rPr>
        <w:t>地址：汉中市汉台区滨江东路晨晖帝景府A1号楼2402室</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略阳县特困供养人员服务机构管理服务采购项目拟为略阳县中心敬老院、养老服务中心、徐家坪敬老院、金家河敬老院、郭镇敬老院、仙台坝敬老院、接官亭敬老院、黑河敬老院、王家庄敬老院、三岔子敬老院10个院采购供养人员的日常护理服务，内容涵盖护理服务、食堂炊事员服务、后勤服务三大服务范围。</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4,350,000.00</w:t>
      </w:r>
    </w:p>
    <w:p>
      <w:pPr>
        <w:pStyle w:val="null3"/>
      </w:pPr>
      <w:r>
        <w:rPr>
          <w:rFonts w:ascii="仿宋_GB2312" w:hAnsi="仿宋_GB2312" w:cs="仿宋_GB2312" w:eastAsia="仿宋_GB2312"/>
        </w:rPr>
        <w:t>采购包最高限价（元）: 4,350,000.00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特困供养人员服务机构管理服务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4,350,000.00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标的名称：特困供养人员服务机构管理服务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略阳县特困供养人员服务机构管理服务采购项目拟为略阳县中心敬老院、养老服务中心、徐家坪敬老院、金家河敬老院、郭镇敬老院、仙台坝敬老院、接官亭敬老院、黑河敬老院、王家庄敬老院、三岔子敬老院</w:t>
            </w:r>
            <w:r>
              <w:rPr>
                <w:rFonts w:ascii="仿宋_GB2312" w:hAnsi="仿宋_GB2312" w:cs="仿宋_GB2312" w:eastAsia="仿宋_GB2312"/>
              </w:rPr>
              <w:t>10个院采购供养人员的日常护理服务。一、项目内容涵盖</w:t>
            </w:r>
            <w:r>
              <w:rPr>
                <w:rFonts w:ascii="仿宋_GB2312" w:hAnsi="仿宋_GB2312" w:cs="仿宋_GB2312" w:eastAsia="仿宋_GB2312"/>
              </w:rPr>
              <w:t>：</w:t>
            </w:r>
            <w:r>
              <w:rPr>
                <w:rFonts w:ascii="仿宋_GB2312" w:hAnsi="仿宋_GB2312" w:cs="仿宋_GB2312" w:eastAsia="仿宋_GB2312"/>
              </w:rPr>
              <w:t>1.生活照料服务。日常起居、穿衣洗漱、饮食喂服、翻身叩背、压疮预防、衣物清洗、房间整理。协助行动、如厕护理、夜间巡查、情绪安抚、精神慰藉。2.专业护理服务。健康监测、体温血压测量、用药提醒与协助、基础康复辅助。突发疾病应急处置、院感防控、传染病预防、风险评估.3.膳食保障服务。按营养标准制作三餐、食材验收储存、餐具消毒、食堂卫生管理。满足失能、慢性病老人特殊饮食需求。4.安全保卫服务。24小时值班、门禁管理、消防安全巡查、设施设备检查、应急处置。5.环境卫生服务。公共区域、居室、卫生间、走廊清洁消毒，垃圾规范处理。6.人员管理与培训。依法签订劳动合同、缴纳社会保险、定期技能培训、持证上岗、规范考勤。</w:t>
            </w:r>
          </w:p>
          <w:p>
            <w:pPr>
              <w:pStyle w:val="null3"/>
            </w:pPr>
            <w:r>
              <w:rPr>
                <w:rFonts w:ascii="仿宋_GB2312" w:hAnsi="仿宋_GB2312" w:cs="仿宋_GB2312" w:eastAsia="仿宋_GB2312"/>
              </w:rPr>
              <w:t>二、绩效目标：</w:t>
            </w:r>
          </w:p>
          <w:p>
            <w:pPr>
              <w:pStyle w:val="null3"/>
            </w:pPr>
            <w:r>
              <w:rPr>
                <w:rFonts w:ascii="仿宋_GB2312" w:hAnsi="仿宋_GB2312" w:cs="仿宋_GB2312" w:eastAsia="仿宋_GB2312"/>
              </w:rPr>
              <w:t>(一)护理服务</w:t>
            </w:r>
          </w:p>
          <w:p>
            <w:pPr>
              <w:pStyle w:val="null3"/>
            </w:pPr>
            <w:r>
              <w:rPr>
                <w:rFonts w:ascii="仿宋_GB2312" w:hAnsi="仿宋_GB2312" w:cs="仿宋_GB2312" w:eastAsia="仿宋_GB2312"/>
              </w:rPr>
              <w:t>1.服务量。保障略阳县中心敬老院、养老服务中心、徐家坪敬老院、金家河敬老院、郭镇敬老院、仙台坝敬老院、接官亭敬老院、黑河敬老院、王家庄敬老院、三岔子敬老院等10个养老机构供养人员的日常护理服务需求。</w:t>
            </w:r>
            <w:r>
              <w:br/>
            </w:r>
            <w:r>
              <w:rPr>
                <w:rFonts w:ascii="仿宋_GB2312" w:hAnsi="仿宋_GB2312" w:cs="仿宋_GB2312" w:eastAsia="仿宋_GB2312"/>
              </w:rPr>
              <w:t xml:space="preserve"> </w:t>
            </w:r>
            <w:r>
              <w:rPr>
                <w:rFonts w:ascii="仿宋_GB2312" w:hAnsi="仿宋_GB2312" w:cs="仿宋_GB2312" w:eastAsia="仿宋_GB2312"/>
              </w:rPr>
              <w:t>2.服务内容。主要包含掌握供养人员身体情况，配合开展供养人员健康体检和疾病预防工作，建立并保管好供养人员档案，日常查房查餐工作，掌握供养人员动态，并做好记录，定时清扫供养人员宿舍，定时消毒工作等。</w:t>
            </w:r>
            <w:r>
              <w:br/>
            </w:r>
            <w:r>
              <w:rPr>
                <w:rFonts w:ascii="仿宋_GB2312" w:hAnsi="仿宋_GB2312" w:cs="仿宋_GB2312" w:eastAsia="仿宋_GB2312"/>
              </w:rPr>
              <w:t xml:space="preserve"> </w:t>
            </w:r>
            <w:r>
              <w:rPr>
                <w:rFonts w:ascii="仿宋_GB2312" w:hAnsi="仿宋_GB2312" w:cs="仿宋_GB2312" w:eastAsia="仿宋_GB2312"/>
              </w:rPr>
              <w:t>3.基本要求。护理人员必须是身体健康，无传染性疾病，掌握一定的卫生护理知识，热爱本职工作的人员，对待供养人员要态度和蔼、耐心细致、热情周到，视供养人员为亲人。要随时掌握供养人员的身体状况，配合开展供养人员健康体检和疾病预防工作，建立并保管好供养人员档案。要经常与供养人员进行情感交流，在供养人员出现身体或心理问题时及时与其亲属沟通，消除供养人员的心理障碍。做好查房查餐工作及巡查工作，随时掌握供养人员动态，并做好记录。发现供养人员走失要及时汇报，不得迟报瞒报。对供养人员宿舍定时清扫，定时消毒，确保干净卫生，空气清新。协助供养人员搞好个人卫生，及时清洗衣物，经常晾晒被褥，保持供养人员身上无异味。</w:t>
            </w:r>
          </w:p>
          <w:p>
            <w:pPr>
              <w:pStyle w:val="null3"/>
            </w:pPr>
            <w:r>
              <w:rPr>
                <w:rFonts w:ascii="仿宋_GB2312" w:hAnsi="仿宋_GB2312" w:cs="仿宋_GB2312" w:eastAsia="仿宋_GB2312"/>
              </w:rPr>
              <w:t>(二)食堂炊事员服务</w:t>
            </w:r>
            <w:r>
              <w:br/>
            </w:r>
            <w:r>
              <w:rPr>
                <w:rFonts w:ascii="仿宋_GB2312" w:hAnsi="仿宋_GB2312" w:cs="仿宋_GB2312" w:eastAsia="仿宋_GB2312"/>
              </w:rPr>
              <w:t xml:space="preserve"> </w:t>
            </w:r>
            <w:r>
              <w:rPr>
                <w:rFonts w:ascii="仿宋_GB2312" w:hAnsi="仿宋_GB2312" w:cs="仿宋_GB2312" w:eastAsia="仿宋_GB2312"/>
              </w:rPr>
              <w:t>1.服务量。满足略阳县中心敬老院、养老服务中心、徐家坪敬老院、金家河敬老院、郭镇敬老院、仙台坝敬老院、接官亭敬老院、黑河敬老院、王家庄敬老院、三岔子敬老院等10个养老机构的餐厅一日三餐就餐需求。</w:t>
            </w:r>
            <w:r>
              <w:br/>
            </w:r>
            <w:r>
              <w:rPr>
                <w:rFonts w:ascii="仿宋_GB2312" w:hAnsi="仿宋_GB2312" w:cs="仿宋_GB2312" w:eastAsia="仿宋_GB2312"/>
              </w:rPr>
              <w:t xml:space="preserve"> </w:t>
            </w:r>
            <w:r>
              <w:rPr>
                <w:rFonts w:ascii="仿宋_GB2312" w:hAnsi="仿宋_GB2312" w:cs="仿宋_GB2312" w:eastAsia="仿宋_GB2312"/>
              </w:rPr>
              <w:t>2.服务内容。主要包含食堂菜肴的搭配与制作，确保饭菜、面点等的食品安全、卫生、营养和健康，做好餐厅、厨房环境卫生的消毒工作等。3.基本要求。员工培训合格后，持健康证件上岗。准时保质、保量开餐。遇特殊情况临时供应加餐时，相关餐厨服务人员需随时到达现场，30分钟内全员到达。严格按照食品、疾控等主管部门规定，清洗食材、餐具，各类餐厨设施设备和餐具的整理消杀，制作饭菜、面点，确保食品、餐具、餐厨人员和餐厨环境的卫生和安全。严格按规定规程操作各类餐厨设备和设施，包括但不限于水、电、燃料、燃气的正确使用，炉灶、蒸车、烤箱、冰柜等设备的操作及维护。</w:t>
            </w:r>
          </w:p>
          <w:p>
            <w:pPr>
              <w:pStyle w:val="null3"/>
            </w:pPr>
            <w:r>
              <w:rPr>
                <w:rFonts w:ascii="仿宋_GB2312" w:hAnsi="仿宋_GB2312" w:cs="仿宋_GB2312" w:eastAsia="仿宋_GB2312"/>
                <w:sz w:val="21"/>
              </w:rPr>
              <w:t>(三)后勤服务</w:t>
            </w:r>
            <w:r>
              <w:br/>
            </w:r>
            <w:r>
              <w:rPr>
                <w:rFonts w:ascii="仿宋_GB2312" w:hAnsi="仿宋_GB2312" w:cs="仿宋_GB2312" w:eastAsia="仿宋_GB2312"/>
                <w:sz w:val="21"/>
              </w:rPr>
              <w:t xml:space="preserve"> </w:t>
            </w:r>
            <w:r>
              <w:rPr>
                <w:rFonts w:ascii="仿宋_GB2312" w:hAnsi="仿宋_GB2312" w:cs="仿宋_GB2312" w:eastAsia="仿宋_GB2312"/>
                <w:sz w:val="21"/>
              </w:rPr>
              <w:t>1.服务量。确保略阳县中心敬老院、养老服务中心、徐家坪敬老院、金家河敬老院、郭镇敬老院、仙台坝敬老院、接官亭敬老院、黑河敬老院、王家庄敬老院、三岔子敬老院等10个养老机构后勤工作服务需求。</w:t>
            </w:r>
            <w:r>
              <w:br/>
            </w:r>
            <w:r>
              <w:rPr>
                <w:rFonts w:ascii="仿宋_GB2312" w:hAnsi="仿宋_GB2312" w:cs="仿宋_GB2312" w:eastAsia="仿宋_GB2312"/>
                <w:sz w:val="21"/>
              </w:rPr>
              <w:t xml:space="preserve"> </w:t>
            </w:r>
            <w:r>
              <w:rPr>
                <w:rFonts w:ascii="仿宋_GB2312" w:hAnsi="仿宋_GB2312" w:cs="仿宋_GB2312" w:eastAsia="仿宋_GB2312"/>
                <w:sz w:val="21"/>
              </w:rPr>
              <w:t>2.服务内容。门岗24小时安全守护服务，确保敬老院工作安全、高效开展所需日常协助管理、生产服务等工作。</w:t>
            </w:r>
            <w:r>
              <w:br/>
            </w:r>
            <w:r>
              <w:rPr>
                <w:rFonts w:ascii="仿宋_GB2312" w:hAnsi="仿宋_GB2312" w:cs="仿宋_GB2312" w:eastAsia="仿宋_GB2312"/>
                <w:sz w:val="21"/>
              </w:rPr>
              <w:t xml:space="preserve"> </w:t>
            </w:r>
            <w:r>
              <w:rPr>
                <w:rFonts w:ascii="仿宋_GB2312" w:hAnsi="仿宋_GB2312" w:cs="仿宋_GB2312" w:eastAsia="仿宋_GB2312"/>
                <w:sz w:val="21"/>
              </w:rPr>
              <w:t>3.基本要求。门卫岗位要做好进出人员的登记、接待工作。包括供养人员、来访人员及敬老院工作人员出入的登记工作;坚持白天及夜间全院巡查，协助护理员处理各种突发事件，严防安全事故发生。库房管理员岗位负责物资管理、储存与发放;严谨执行物资入库、出库流程，做好登记，定期盘点库存，防止积压、变质;精准发放物资，确保老人、员工及时领用。水电工岗位做好设施设备维护与保养，定期巡查敬老院的建筑、水电设备、电器、家具等设施;承担一些力所能及的日常维护工作;配合专业维修人员进行设施维修，确保正常运转。协助管理员岗位要做好负责区域内的协助管理工作，全面协助管理人员督促落实护理、炊事、后勤等工作;做好对外、对内的沟通协调工作;做好物资管理工作;处理好各类报表、文件等文字工作;完成管理人员交办的其他工作。其他岗位后勤人员按相关要求完成本职工作及各项临时性工作，保障院内正常运转。</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满足本项目采购内容需求</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满足本项目采购内容需求</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按照《政府购买服务管理办法》及有关规定，实行一次采购使用三年，考核与续签管理执行“一年一评估、一年一续签”机制，服务期满由县民政局组织考核评估，评估合格续签下一年度合同，不合格终止服务。</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服务期限一年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由甲方负责组织验收，或者邀请有关专家等进行验收，并填写政府采购项目验收报告单。验收须以合同、招标文件及响应文件、澄清及国家相应的标准、规范等为依据。</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进度款，按月支付，达到付款条件起10个工作日内，支付合同总金额的8.3%</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进度款，按月付款，达到付款条件起10个工作日内，支付合同总金额的8.3%</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进度款，按月付款，达到付款条件起10个工作日内，支付合同总金额的8.3%</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进度款，按月付款，达到付款条件起10个工作日内，支付合同总金额的8.3%</w:t>
      </w:r>
    </w:p>
    <w:p>
      <w:pPr>
        <w:pStyle w:val="null3"/>
        <w:ind w:firstLine="1200"/>
      </w:pPr>
      <w:r>
        <w:rPr>
          <w:rFonts w:ascii="仿宋_GB2312" w:hAnsi="仿宋_GB2312" w:cs="仿宋_GB2312" w:eastAsia="仿宋_GB2312"/>
        </w:rPr>
        <w:t>5、</w:t>
      </w:r>
      <w:r>
        <w:rPr>
          <w:rFonts w:ascii="仿宋_GB2312" w:hAnsi="仿宋_GB2312" w:cs="仿宋_GB2312" w:eastAsia="仿宋_GB2312"/>
        </w:rPr>
        <w:t>进度款，按月付款，达到付款条件起10个工作日内，支付合同总金额的8.3%</w:t>
      </w:r>
    </w:p>
    <w:p>
      <w:pPr>
        <w:pStyle w:val="null3"/>
        <w:ind w:firstLine="1200"/>
      </w:pPr>
      <w:r>
        <w:rPr>
          <w:rFonts w:ascii="仿宋_GB2312" w:hAnsi="仿宋_GB2312" w:cs="仿宋_GB2312" w:eastAsia="仿宋_GB2312"/>
        </w:rPr>
        <w:t>6、</w:t>
      </w:r>
      <w:r>
        <w:rPr>
          <w:rFonts w:ascii="仿宋_GB2312" w:hAnsi="仿宋_GB2312" w:cs="仿宋_GB2312" w:eastAsia="仿宋_GB2312"/>
        </w:rPr>
        <w:t>进度款，按月付款，达到付款条件起10个工作日内，支付合同总金额的8.3%</w:t>
      </w:r>
    </w:p>
    <w:p>
      <w:pPr>
        <w:pStyle w:val="null3"/>
        <w:ind w:firstLine="1200"/>
      </w:pPr>
      <w:r>
        <w:rPr>
          <w:rFonts w:ascii="仿宋_GB2312" w:hAnsi="仿宋_GB2312" w:cs="仿宋_GB2312" w:eastAsia="仿宋_GB2312"/>
        </w:rPr>
        <w:t>7、</w:t>
      </w:r>
      <w:r>
        <w:rPr>
          <w:rFonts w:ascii="仿宋_GB2312" w:hAnsi="仿宋_GB2312" w:cs="仿宋_GB2312" w:eastAsia="仿宋_GB2312"/>
        </w:rPr>
        <w:t>进度款，按月付款，达到付款条件起10个工作日内，支付合同总金额的8.3%</w:t>
      </w:r>
    </w:p>
    <w:p>
      <w:pPr>
        <w:pStyle w:val="null3"/>
        <w:ind w:firstLine="1200"/>
      </w:pPr>
      <w:r>
        <w:rPr>
          <w:rFonts w:ascii="仿宋_GB2312" w:hAnsi="仿宋_GB2312" w:cs="仿宋_GB2312" w:eastAsia="仿宋_GB2312"/>
        </w:rPr>
        <w:t>8、</w:t>
      </w:r>
      <w:r>
        <w:rPr>
          <w:rFonts w:ascii="仿宋_GB2312" w:hAnsi="仿宋_GB2312" w:cs="仿宋_GB2312" w:eastAsia="仿宋_GB2312"/>
        </w:rPr>
        <w:t>进度款，按月付款，达到付款条件起10个工作日内，支付合同总金额的8.3%</w:t>
      </w:r>
    </w:p>
    <w:p>
      <w:pPr>
        <w:pStyle w:val="null3"/>
        <w:ind w:firstLine="1200"/>
      </w:pPr>
      <w:r>
        <w:rPr>
          <w:rFonts w:ascii="仿宋_GB2312" w:hAnsi="仿宋_GB2312" w:cs="仿宋_GB2312" w:eastAsia="仿宋_GB2312"/>
        </w:rPr>
        <w:t>9、</w:t>
      </w:r>
      <w:r>
        <w:rPr>
          <w:rFonts w:ascii="仿宋_GB2312" w:hAnsi="仿宋_GB2312" w:cs="仿宋_GB2312" w:eastAsia="仿宋_GB2312"/>
        </w:rPr>
        <w:t>进度款，按月付款，达到付款条件起10个工作日内，支付合同总金额的8.3%</w:t>
      </w:r>
    </w:p>
    <w:p>
      <w:pPr>
        <w:pStyle w:val="null3"/>
        <w:ind w:firstLine="1200"/>
      </w:pPr>
      <w:r>
        <w:rPr>
          <w:rFonts w:ascii="仿宋_GB2312" w:hAnsi="仿宋_GB2312" w:cs="仿宋_GB2312" w:eastAsia="仿宋_GB2312"/>
        </w:rPr>
        <w:t>10、</w:t>
      </w:r>
      <w:r>
        <w:rPr>
          <w:rFonts w:ascii="仿宋_GB2312" w:hAnsi="仿宋_GB2312" w:cs="仿宋_GB2312" w:eastAsia="仿宋_GB2312"/>
        </w:rPr>
        <w:t>进度款，按月付款，达到付款条件起10个工作日内，支付合同总金额的8.3%</w:t>
      </w:r>
    </w:p>
    <w:p>
      <w:pPr>
        <w:pStyle w:val="null3"/>
        <w:ind w:firstLine="1200"/>
      </w:pPr>
      <w:r>
        <w:rPr>
          <w:rFonts w:ascii="仿宋_GB2312" w:hAnsi="仿宋_GB2312" w:cs="仿宋_GB2312" w:eastAsia="仿宋_GB2312"/>
        </w:rPr>
        <w:t>11、</w:t>
      </w:r>
      <w:r>
        <w:rPr>
          <w:rFonts w:ascii="仿宋_GB2312" w:hAnsi="仿宋_GB2312" w:cs="仿宋_GB2312" w:eastAsia="仿宋_GB2312"/>
        </w:rPr>
        <w:t>进度款，按月付款，达到付款条件起10个工作日内，支付合同总金额的8.3%</w:t>
      </w:r>
    </w:p>
    <w:p>
      <w:pPr>
        <w:pStyle w:val="null3"/>
        <w:ind w:firstLine="1200"/>
      </w:pPr>
      <w:r>
        <w:rPr>
          <w:rFonts w:ascii="仿宋_GB2312" w:hAnsi="仿宋_GB2312" w:cs="仿宋_GB2312" w:eastAsia="仿宋_GB2312"/>
        </w:rPr>
        <w:t>12、</w:t>
      </w:r>
      <w:r>
        <w:rPr>
          <w:rFonts w:ascii="仿宋_GB2312" w:hAnsi="仿宋_GB2312" w:cs="仿宋_GB2312" w:eastAsia="仿宋_GB2312"/>
        </w:rPr>
        <w:t>进度款，按月付款，达到付款条件起10个工作日内，支付合同总金额的8.7%</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一、违约责任 1、甲乙双方必须遵守本合同并执行合同中的各项规定，保证本合同的正常履行。 2、如因乙方工作人员在履行职务过程中的疏忽、失职、过错等故意或者过失原因给甲方造成损失或侵害，包括但不限于甲方本身 的财产损失以及由此而导致的甲方对任何第三方的法律责任等，乙方对此均应承担全部的赔偿责任。 二、解决合同纠纷的方式 1、合同一经签订，不得随意变更、中止或终止。对确需变更、调整或者中止、终止合同的，应按规定履行相应的手续。 2、合同执行中发生争议的，甲、乙双方应协商解决，协商达不成一致时，可向甲方所在地人民法院提请诉讼。</w:t>
      </w:r>
    </w:p>
    <w:p>
      <w:pPr>
        <w:pStyle w:val="null3"/>
        <w:jc w:val="left"/>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营业执照或相关证明文件</w:t>
            </w:r>
          </w:p>
        </w:tc>
        <w:tc>
          <w:tcPr>
            <w:tcW w:type="dxa" w:w="3322"/>
          </w:tcPr>
          <w:p>
            <w:pPr>
              <w:pStyle w:val="null3"/>
            </w:pPr>
            <w:r>
              <w:rPr>
                <w:rFonts w:ascii="仿宋_GB2312" w:hAnsi="仿宋_GB2312" w:cs="仿宋_GB2312" w:eastAsia="仿宋_GB2312"/>
              </w:rPr>
              <w:t>供应商具有独立承担民事责任能力的法人、其他组织或自然人，提供合法有效的统一社会信用代码营业执照或事业单位法人证书（自然人应提供身份证明）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法定代表人证明书及授权书</w:t>
            </w:r>
          </w:p>
        </w:tc>
        <w:tc>
          <w:tcPr>
            <w:tcW w:type="dxa" w:w="3322"/>
          </w:tcPr>
          <w:p>
            <w:pPr>
              <w:pStyle w:val="null3"/>
            </w:pPr>
            <w:r>
              <w:rPr>
                <w:rFonts w:ascii="仿宋_GB2312" w:hAnsi="仿宋_GB2312" w:cs="仿宋_GB2312" w:eastAsia="仿宋_GB2312"/>
              </w:rPr>
              <w:t>法定代表人直接参加开标的，须出具法定代表人（单位负责人）身份证明。法定代表人授权代表参加开标的，须出具法定代表人（单位负责人）授权委托书及被授权人身份证复印件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供应商资格承诺函</w:t>
            </w:r>
          </w:p>
        </w:tc>
        <w:tc>
          <w:tcPr>
            <w:tcW w:type="dxa" w:w="3322"/>
          </w:tcPr>
          <w:p>
            <w:pPr>
              <w:pStyle w:val="null3"/>
            </w:pPr>
            <w:r>
              <w:rPr>
                <w:rFonts w:ascii="仿宋_GB2312" w:hAnsi="仿宋_GB2312" w:cs="仿宋_GB2312" w:eastAsia="仿宋_GB2312"/>
              </w:rPr>
              <w:t>供应商须具有健全的财务会计制度、具有履⾏ 合同所必需的设备和专业技术能⼒、具有依法 缴纳税收和社会保障资⾦的良好记录，参加本 项⽬采购活动前三年内在经营活动中⽆重⼤违 法活动记录，未列⼊在信⽤中国⽹站“失信被执 ⾏⼈”、“重⼤税收违法案件当事⼈名单”中（w ww.creditchina.gov.cn)，未列⼊中国政府采 购⽹“政府采购严重违法失信⾏为记录名单”中 （www.ccgp.gov.cn)，供应商需提供加盖公 章的《汉中市政府采购供应商资格承诺函》。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资格要求</w:t>
            </w:r>
          </w:p>
        </w:tc>
        <w:tc>
          <w:tcPr>
            <w:tcW w:type="dxa" w:w="3322"/>
          </w:tcPr>
          <w:p>
            <w:pPr>
              <w:pStyle w:val="null3"/>
            </w:pPr>
            <w:r>
              <w:rPr>
                <w:rFonts w:ascii="仿宋_GB2312" w:hAnsi="仿宋_GB2312" w:cs="仿宋_GB2312" w:eastAsia="仿宋_GB2312"/>
              </w:rPr>
              <w:t>供应商应具有有效的《劳务派遣经营许可证》</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 且报价不超过采购预算金额或最高限价</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响应文件内容</w:t>
            </w:r>
          </w:p>
        </w:tc>
        <w:tc>
          <w:tcPr>
            <w:tcW w:type="dxa" w:w="3322"/>
          </w:tcPr>
          <w:p>
            <w:pPr>
              <w:pStyle w:val="null3"/>
            </w:pPr>
            <w:r>
              <w:rPr>
                <w:rFonts w:ascii="仿宋_GB2312" w:hAnsi="仿宋_GB2312" w:cs="仿宋_GB2312" w:eastAsia="仿宋_GB2312"/>
              </w:rPr>
              <w:t>响应文件内容符合招标文件要求</w:t>
            </w:r>
          </w:p>
        </w:tc>
        <w:tc>
          <w:tcPr>
            <w:tcW w:type="dxa" w:w="1661"/>
          </w:tcPr>
          <w:p>
            <w:pPr>
              <w:pStyle w:val="null3"/>
            </w:pPr>
            <w:r>
              <w:rPr>
                <w:rFonts w:ascii="仿宋_GB2312" w:hAnsi="仿宋_GB2312" w:cs="仿宋_GB2312" w:eastAsia="仿宋_GB2312"/>
              </w:rPr>
              <w:t>商务应答表 服务内容及服务要求应答表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响应文件的签署盖章符合招标文件要求</w:t>
            </w:r>
          </w:p>
        </w:tc>
        <w:tc>
          <w:tcPr>
            <w:tcW w:type="dxa" w:w="1661"/>
          </w:tcPr>
          <w:p>
            <w:pPr>
              <w:pStyle w:val="null3"/>
            </w:pPr>
            <w:r>
              <w:rPr>
                <w:rFonts w:ascii="仿宋_GB2312" w:hAnsi="仿宋_GB2312" w:cs="仿宋_GB2312" w:eastAsia="仿宋_GB2312"/>
              </w:rPr>
              <w:t>供应商应提交的相关资格证明材料.docx 投标函 类似项目业绩.docx 中小企业声明函 残疾人福利性单位声明函 商务应答表 服务方案 服务内容及服务要求应答表 标的清单 投标文件封面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项目需求分析</w:t>
            </w:r>
          </w:p>
        </w:tc>
        <w:tc>
          <w:tcPr>
            <w:tcW w:type="dxa" w:w="2492"/>
          </w:tcPr>
          <w:p>
            <w:pPr>
              <w:pStyle w:val="null3"/>
            </w:pPr>
            <w:r>
              <w:rPr>
                <w:rFonts w:ascii="仿宋_GB2312" w:hAnsi="仿宋_GB2312" w:cs="仿宋_GB2312" w:eastAsia="仿宋_GB2312"/>
              </w:rPr>
              <w:t>一、评审内容： 供应商针对本项目进行项目需求分析，内容包含但不限于：①项目内容及概况了解和分析、②工作内容理解与分析、③本项目重点难点分析并提出解决措施。二、评审标准： 1、针对性： （1）针对性强：方案能够完全切合本项目实际情况。 （2）具有一定的针对性：方案结构基本完整，能切合本项实际情况，对项目关键环节及服务要求针对性较强。 （3）针对性一般：方案中多数内容能够切合本项目实际情况，但存在至少一处不适用本项目实际的内容。 （4）缺乏针对性：方案描述不符合本项目实际情况，存在明显套用其他项目方案的内容。 2、可实施性： （1）可实施性强：方案工作流程完善，实施步骤清晰，科学合理，可实施性强。 （2）具有 一定的可实施性：方案工作流程基本 完善，能切合本项实际情况，可实施性较强。 （3）可实施性一般：方案中存在至少一处表述模糊、难以执行或不够科学合理的内容。 （4）缺乏可实施性：方案内容空洞，工作流程不完善，实施标准、实施质量不利于采购需求的实现，存在逻辑漏洞、常识错误或合理 性差。 三、赋分标准 ：1、完整性：方案内容完整全面，对评审内容均有描述及说明，得4分；缺1项，得2.6分；缺2项，得1.2分；此项未提供不得分。2、针对性：针对性强，得4分；具有一定针对性，得3分；针对性一般，得2分；缺乏针对性，得1分；此项未提供不得分。3、可实施性：可实施性强，得4分；具有一定可实施性，得3分；可实施性一般，得2分；缺乏可实施性，得1分；此项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 供应商针对本项目提供项目服务方案，内容包含但不限于：①护理服务方案、②食堂炊事服务方案、③后勤服务方案。二、评审标准： 1、针对性： （1）针对性强：方案能够完全切合本项目实际情况。 （2）具有一定的针对性：方案结构基本完整，能切合本项实际情况，对项目关键环节及服务要求针对性较强。 （3）针对性一般：方案中多数内容能够切合本项目实际情况，但存在至少一处不适用本项目实际的内容。 （4）缺乏针对性：方案描述不符合本项目实际情况，存在明显套用其他项目方案的内容。 2、可实施性： （1）可实施性强：方案工作流程完善，实施步骤清晰，科学合理，可实施性强。 （2）具有 一定的可实施性：方案工作流程基本 完善，能切合本项实际情况，可实施性较强。 （3）可实施性一般：方案中存在至少一处表述模糊、难以执行或不够科学合理的内容。 （4）缺乏可实施性：方案内容空洞，工作流程不完善，实施标准、实施质量不利于采购需求的实现，存在逻辑漏洞、常识错误或合理 性差。 三、赋分标准 ：1、完整性：方案内容完整全面，对评审内容均有描述及说明，得4分；缺1项，得2.6分；缺2项，得1.2分；此项未提供不得分。2、针对性：针对性强，得4分；具有一定针对性，得3分；针对性一般，得2分；缺乏针对性，得1分；此项未提供不得分。3、可实施性：可实施性强，得4分；具有一定可实施性，得3分；可实施性一般，得2分；缺乏可实施性，得1分；此项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一、评审内容： 供应商针对本项目提供相关管理制度，内容包含但不限于：①岗位职责、②内控制度、③人员管理制度。 二、评审标准： 1、针对性： （1）针对性强：方案能够完全切合本项目实际情况。 （2）具有一定的针对性：方案结构基本完整，能切合本项实际情况，对项目关键环节及服务要求针对性较强。 （3）针对性一般：方案中多数内容能够切合本项目实际情况，但存在至少一处不适用本项目实际的内容。 （4）缺乏针对性：方案描述不符合本项目实际情况，存在明显套用其他项目方案的内容。 2、可实施性： （1）可实施性强：方案工作流程完善，实施步骤清晰，科学合理，可实施性强。 （2）具有 一定的可实施性：方案工作流程基本 完善，能切合本项实际情况，可实施性较强。 （3）可实施性一般：方案中存在至少一处表述模糊、难以执行或不够科学合理的内容。 （4）缺乏可实施性：方案内容空洞，工作流程不完善，实施标准、实施质量不利于采购需求的实现，存在逻辑漏洞、常识错误或合理 性差。 三、赋分标准 ：1、完整性：方案内容完整全面，对评审内容均有描述及说明，得4分；缺1项，得2.6分；缺2项，得1.2分；此项未提供不得分。2、针对性：针对性强，得4分；具有一定针对性，得3分；针对性一般，得2分；缺乏针对性，得1分；此项未提供不得分。3、可实施性：可实施性强，得4分；具有一定可实施性，得3分；可实施性一般，得2分；缺乏可实施性，得1分；此项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一、评审内容：供应商针对本项目提供应急预案，内容包含但不限于：①突发事件解决措施、②紧急故障处理预案、③应急服务响应时间。二、评审标准： 1、针对性： （1）针对性强：方案能够完全切合本项目实际情况。 （2）具有一定的针对性：方案结构基本完整，能切合本项实际情况，对项目关键环节及服务要求针对性较强。 （3）针对性一般：方案中多数内容能够切合本项目实际情况，但存在至少一处不适用本项目实际的内容。 （4）缺乏针对性：方案描述不符合本项目实际情况，存在明显套用其他项目方案的内容。 2、可实施性： （1）可实施性强：方案工作流程完善，实施步骤清晰，科学合理，可实施性强。 （2）具有 一定的可实施性：方案工作流程基本 完善，能切合本项实际情况，可实施性较强。 （3）可实施性一般：方案中存在至少一处表述模糊、难以执行或不够科学合理的内容。 （4）缺乏可实施性：方案内容空洞，工作流程不完善，实施标准、实施质量不利于采购需求的实现，存在逻辑漏洞、常识错误或合理 性差。 三、赋分标准 ：1、完整性：方案内容完整全面，对评审内容均有描述及说明，得4分；缺1项，得2.6分；缺2项，得1.2分；此项未提供不得分。2、针对性：针对性强，得4分；具有一定针对性，得3分；针对性一般，得2分；缺乏针对性，得1分；此项未提供不得分。3、可实施性：可实施性强，得4分；具有一定可实施性，得3分；可实施性一般，得2分；缺乏可实施性，得1分；此项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内容：供应商结合本项目要求，提供人员培训方案，明确培训内容。培训应包括岗前培训和在岗培训，内容包含但不限于：①护理服务岗位培训、②食堂炊事服务岗位培训、③后勤服务岗位培训。二、评审标准： 1、针对性： （1）针对性强：方案能够完全切合本项目实际情况。 （2）具有一定的针对性：方案结构基本完整，能切合本项实际情况，对项目关键环节及服务要求针对性较强。 （3）针对性一般：方案中多数内容能够切合本项目实际情况，但存在至少一处不适用本项目实际的内容。 （4）缺乏针对性：方案描述不符合本项目实际情况，存在明显套用其他项目方案的内容。 2、可实施性： （1）可实施性强：方案工作流程完善，实施步骤清晰，科学合理，可实施性强。 （2）具有 一定的可实施性：方案工作流程基本 完善，能切合本项实际情况，可实施性较强。 （3）可实施性一般：方案中存在至少一处表述模糊、难以执行或不够科学合理的内容。 （4）缺乏可实施性：方案内容空洞，工作流程不完善，实施标准、实施质量不利于采购需求的实现，存在逻辑漏洞、常识错误或合理 性差。 三、赋分标准 ：1、完整性：方案内容完整全面，对评审内容均有描述及说明，得4分；缺1项，得2.6分；缺2项，得1.2分；此项未提供不得分。2、针对性：针对性强，得4分；具有一定针对性，得3分；针对性一般，得2分；缺乏针对性，得1分；此项未提供不得分。3、可实施性：可实施性强，得4分；具有一定可实施性，得3分；可实施性一般，得2分；缺乏可实施性，得1分；此项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质量管理及保障方案</w:t>
            </w:r>
          </w:p>
        </w:tc>
        <w:tc>
          <w:tcPr>
            <w:tcW w:type="dxa" w:w="2492"/>
          </w:tcPr>
          <w:p>
            <w:pPr>
              <w:pStyle w:val="null3"/>
            </w:pPr>
            <w:r>
              <w:rPr>
                <w:rFonts w:ascii="仿宋_GB2312" w:hAnsi="仿宋_GB2312" w:cs="仿宋_GB2312" w:eastAsia="仿宋_GB2312"/>
              </w:rPr>
              <w:t>一、评审内容：供应商针对本项目制定详细、具体、可行的质量管理及保障方案，内容包含但不限于：①服务质量保障措施及考核标准、②环境卫生保障方案、③回访制度和投诉处理机制。 二、评审标准： 1、针对性： （1）针对性强：方案能够完全切合本项目实际情况。 （2）具有一定的针对性：方案结构基本完整，能切合本项实际情况，对项目关键环节及服务要求针对性较强。 （3）针对性一般：方案中多数内容能够切合本项目实际情况，但存在至少一处不适用本项目实际的内容。 （4）缺乏针对性：方案描述不符合本项目实际情况，存在明显套用其他项目方案的内容。 2、可实施性： （1）可实施性强：方案工作流程完善，实施步骤清晰，科学合理，可实施性强。 （2）具有 一定的可实施性：方案工作流程基本 完善，能切合本项实际情况，可实施性较强。 （3）可实施性一般：方案中存在至少一处表述模糊、难以执行或不够科学合理的内容。 （4）缺乏可实施性：方案内容空洞，工作流程不完善，实施标准、实施质量不利于采购需求的实现，存在逻辑漏洞、常识错误或合理 性差。 三、赋分标准 ：1、完整性：方案内容完整全面，对评审内容均有描述及说明，得4分；缺1项，得2.6分；缺2项，得1.2分；此项未提供不得分。2、针对性：针对性强，得4分；具有一定针对性，得3分；针对性一般，得2分；缺乏针对性，得1分；此项未提供不得分。3、可实施性：可实施性强，得4分；具有一定可实施性，得3分；可实施性一般，得2分；缺乏可实施性，得1分；此项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项目组织机构</w:t>
            </w:r>
          </w:p>
        </w:tc>
        <w:tc>
          <w:tcPr>
            <w:tcW w:type="dxa" w:w="2492"/>
          </w:tcPr>
          <w:p>
            <w:pPr>
              <w:pStyle w:val="null3"/>
            </w:pPr>
            <w:r>
              <w:rPr>
                <w:rFonts w:ascii="仿宋_GB2312" w:hAnsi="仿宋_GB2312" w:cs="仿宋_GB2312" w:eastAsia="仿宋_GB2312"/>
              </w:rPr>
              <w:t>一、评审内容：针对本项目提供人员配备方案，内容包含但不限于：①人员配备情况、②职责分工及组织管理方案。 二、评审标准： 1、针对性： （1）针对性强：方案能够完全切合本项目实际情况。 （2）具有一定的针对性：方案结构基本完整，能切合本项实际情况，对项目关键环节及服务要求针对性较强。 （3）针对性一般：方案中多数内容能够切合本项目实际情况，但存在至少一处不适用本项目实际的内容。 （4）缺乏针对性：方案描述不符合本项目实际情况，存在明显套用其他项目方案的内容。 2、可实施性： （1）可实施性强：方案工作流程完善，实施步骤清晰，科学合理，可实施性强。 （2）具有 一定的可实施性：方案工作流程基本 完善，能切合本项实际情况，可实施性较强。 （3）可实施性一般：方案中存在至少一处表述模糊、难以执行或不够科学合理的内容。 （4）缺乏可实施性：方案内容空洞，工作流程不完善，实施标准、实施质量不利于采购需求的实现，存在逻辑漏洞、常识错误或合理 性差。 三、赋分标准 ：1、完整性：方案内容完整全面，对评审内容均有描述及说明，得1分；缺1项，得0.5分；此项未提供不得分。2、针对性：针对性强，得4分；具有一定针对性，得3分；针对性一般，得2分；缺乏针对性，得1分；此项未提供不得分。3、可实施性：可实施性强，得4分；具有一定可实施性，得3分；可实施性一般，得2分；缺乏可实施性，得1分；此项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类似项目业绩</w:t>
            </w:r>
          </w:p>
        </w:tc>
        <w:tc>
          <w:tcPr>
            <w:tcW w:type="dxa" w:w="2492"/>
          </w:tcPr>
          <w:p>
            <w:pPr>
              <w:pStyle w:val="null3"/>
            </w:pPr>
            <w:r>
              <w:rPr>
                <w:rFonts w:ascii="仿宋_GB2312" w:hAnsi="仿宋_GB2312" w:cs="仿宋_GB2312" w:eastAsia="仿宋_GB2312"/>
              </w:rPr>
              <w:t>供应商提供2023年01月01日至今完成的类似项目业绩证明，每提供一份得2分，最高得4分； 注：业绩须是供应商完成的类似项目，以中标通知书或协议书（合同）加盖公章的复印件为准，否则此项将不得分。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类似项目业绩.docx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投标文件，其投标报价为有效投标报价，对符合政策性扣减的供应商的有效投标价格进行政策性扣减，并依据扣减后的价格(评审价格)进行价格评审。2.满足投标文件实质性要求且最终报价最低的供应商的价格为基准价，其价格分15分。3.投标报价得分=(基准价/最终报价)x15的公式计算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详见附件：类似项目业绩.docx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详见附件：拟签订采购合同文本（服务）.docx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